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56E34" w14:textId="77777777" w:rsidR="005D6740" w:rsidRPr="00207748" w:rsidRDefault="00447357" w:rsidP="0031161F">
      <w:pPr>
        <w:pStyle w:val="LeitLTitel"/>
      </w:pPr>
      <w:bookmarkStart w:id="0" w:name="_GoBack"/>
      <w:bookmarkEnd w:id="0"/>
      <w:r w:rsidRPr="00207748">
        <w:t>S3-Leitlinie</w:t>
      </w:r>
    </w:p>
    <w:p w14:paraId="50617C62" w14:textId="77777777" w:rsidR="00E11869" w:rsidRPr="00207748" w:rsidRDefault="00447357" w:rsidP="0031161F">
      <w:pPr>
        <w:pStyle w:val="LeitLTitel"/>
      </w:pPr>
      <w:r w:rsidRPr="00207748">
        <w:t>Sepsis – Prävention, Diagnose, Therapie und Nachsorge</w:t>
      </w:r>
      <w:r w:rsidRPr="00207748">
        <w:br/>
      </w:r>
    </w:p>
    <w:p w14:paraId="46ED9DFB" w14:textId="77777777" w:rsidR="00E11869" w:rsidRPr="0091423B" w:rsidRDefault="00342FB3" w:rsidP="004454B6">
      <w:pPr>
        <w:rPr>
          <w:rFonts w:ascii="Cambria" w:hAnsi="Cambria" w:cs="Arial"/>
          <w:sz w:val="24"/>
          <w:szCs w:val="24"/>
        </w:rPr>
      </w:pPr>
      <w:r w:rsidRPr="0091423B">
        <w:rPr>
          <w:rFonts w:ascii="Cambria" w:hAnsi="Cambria" w:cs="Arial"/>
          <w:sz w:val="24"/>
          <w:szCs w:val="24"/>
        </w:rPr>
        <w:t>Langversion 1.0</w:t>
      </w:r>
      <w:r w:rsidR="00385EF9" w:rsidRPr="0091423B">
        <w:rPr>
          <w:rFonts w:ascii="Cambria" w:hAnsi="Cambria" w:cs="Arial"/>
          <w:sz w:val="24"/>
          <w:szCs w:val="24"/>
        </w:rPr>
        <w:t xml:space="preserve"> </w:t>
      </w:r>
      <w:r w:rsidR="005D6740" w:rsidRPr="0091423B">
        <w:rPr>
          <w:rFonts w:ascii="Cambria" w:hAnsi="Cambria" w:cs="Arial"/>
          <w:sz w:val="24"/>
          <w:szCs w:val="24"/>
        </w:rPr>
        <w:t>–</w:t>
      </w:r>
      <w:r w:rsidR="00156F8E" w:rsidRPr="0091423B">
        <w:rPr>
          <w:rFonts w:ascii="Cambria" w:hAnsi="Cambria" w:cs="Arial"/>
          <w:sz w:val="24"/>
          <w:szCs w:val="24"/>
        </w:rPr>
        <w:t xml:space="preserve"> 2018</w:t>
      </w:r>
    </w:p>
    <w:p w14:paraId="24D292FB" w14:textId="77777777" w:rsidR="00E11869" w:rsidRPr="0091423B" w:rsidRDefault="00447357" w:rsidP="004454B6">
      <w:pPr>
        <w:rPr>
          <w:rFonts w:ascii="Cambria" w:hAnsi="Cambria" w:cs="Arial"/>
          <w:sz w:val="24"/>
          <w:szCs w:val="24"/>
        </w:rPr>
      </w:pPr>
      <w:r w:rsidRPr="0091423B">
        <w:rPr>
          <w:rFonts w:ascii="Cambria" w:hAnsi="Cambria" w:cs="Arial"/>
          <w:sz w:val="24"/>
          <w:szCs w:val="24"/>
        </w:rPr>
        <w:t>AWMF-Registernummer: 079 - 001</w:t>
      </w:r>
    </w:p>
    <w:p w14:paraId="3D5D7722" w14:textId="77777777" w:rsidR="00E11869" w:rsidRPr="0091423B" w:rsidRDefault="00156F8E" w:rsidP="004454B6">
      <w:pPr>
        <w:rPr>
          <w:rFonts w:ascii="Cambria" w:hAnsi="Cambria" w:cs="Arial"/>
          <w:sz w:val="24"/>
          <w:szCs w:val="24"/>
        </w:rPr>
      </w:pPr>
      <w:r w:rsidRPr="0091423B">
        <w:rPr>
          <w:rFonts w:ascii="Cambria" w:hAnsi="Cambria" w:cs="Arial"/>
          <w:sz w:val="24"/>
          <w:szCs w:val="24"/>
        </w:rPr>
        <w:t>Deutsche Sepsis Gesellschaft e. V. (federführend)</w:t>
      </w:r>
    </w:p>
    <w:p w14:paraId="45B025EC" w14:textId="77777777" w:rsidR="00264D62" w:rsidRPr="00207748" w:rsidRDefault="00264D62" w:rsidP="004454B6">
      <w:pPr>
        <w:rPr>
          <w:rFonts w:ascii="Cambria" w:eastAsia="Arial" w:hAnsi="Cambria" w:cs="Arial"/>
          <w:sz w:val="20"/>
          <w:szCs w:val="20"/>
        </w:rPr>
      </w:pPr>
      <w:r w:rsidRPr="00207748">
        <w:rPr>
          <w:rFonts w:ascii="Cambria" w:eastAsia="Arial" w:hAnsi="Cambria" w:cs="Arial"/>
          <w:b/>
          <w:bCs/>
          <w:iCs/>
          <w:noProof/>
          <w:color w:val="000080"/>
          <w:sz w:val="20"/>
          <w:szCs w:val="20"/>
          <w:u w:color="000080"/>
        </w:rPr>
        <w:drawing>
          <wp:anchor distT="57150" distB="57150" distL="57150" distR="57150" simplePos="0" relativeHeight="251663360" behindDoc="0" locked="0" layoutInCell="1" allowOverlap="1" wp14:anchorId="773D131D" wp14:editId="7D134953">
            <wp:simplePos x="0" y="0"/>
            <wp:positionH relativeFrom="column">
              <wp:posOffset>5715</wp:posOffset>
            </wp:positionH>
            <wp:positionV relativeFrom="line">
              <wp:posOffset>85725</wp:posOffset>
            </wp:positionV>
            <wp:extent cx="838200" cy="838200"/>
            <wp:effectExtent l="0" t="0" r="0" b="0"/>
            <wp:wrapThrough wrapText="bothSides" distL="57150" distR="57150">
              <wp:wrapPolygon edited="1">
                <wp:start x="0" y="0"/>
                <wp:lineTo x="21600" y="0"/>
                <wp:lineTo x="21600" y="21600"/>
                <wp:lineTo x="0" y="21600"/>
                <wp:lineTo x="0" y="0"/>
              </wp:wrapPolygon>
            </wp:wrapThrough>
            <wp:docPr id="1073741825" name="officeArt object" descr="Logo-hompage"/>
            <wp:cNvGraphicFramePr/>
            <a:graphic xmlns:a="http://schemas.openxmlformats.org/drawingml/2006/main">
              <a:graphicData uri="http://schemas.openxmlformats.org/drawingml/2006/picture">
                <pic:pic xmlns:pic="http://schemas.openxmlformats.org/drawingml/2006/picture">
                  <pic:nvPicPr>
                    <pic:cNvPr id="1073741825" name="Logo-hompage" descr="Logo-hompage"/>
                    <pic:cNvPicPr>
                      <a:picLocks noChangeAspect="1"/>
                    </pic:cNvPicPr>
                  </pic:nvPicPr>
                  <pic:blipFill>
                    <a:blip r:embed="rId9">
                      <a:extLst/>
                    </a:blip>
                    <a:stretch>
                      <a:fillRect/>
                    </a:stretch>
                  </pic:blipFill>
                  <pic:spPr>
                    <a:xfrm>
                      <a:off x="0" y="0"/>
                      <a:ext cx="838200" cy="838200"/>
                    </a:xfrm>
                    <a:prstGeom prst="rect">
                      <a:avLst/>
                    </a:prstGeom>
                    <a:ln w="12700" cap="flat">
                      <a:noFill/>
                      <a:miter lim="400000"/>
                    </a:ln>
                    <a:effectLst/>
                  </pic:spPr>
                </pic:pic>
              </a:graphicData>
            </a:graphic>
          </wp:anchor>
        </w:drawing>
      </w:r>
    </w:p>
    <w:p w14:paraId="11ABAF05" w14:textId="62846CFA" w:rsidR="00524587" w:rsidRPr="00207748" w:rsidRDefault="00524587" w:rsidP="004454B6">
      <w:pPr>
        <w:spacing w:after="0"/>
        <w:rPr>
          <w:rFonts w:ascii="Cambria" w:eastAsia="Arial" w:hAnsi="Cambria" w:cs="Arial"/>
          <w:sz w:val="20"/>
          <w:szCs w:val="20"/>
        </w:rPr>
      </w:pPr>
    </w:p>
    <w:p w14:paraId="026615F5" w14:textId="77777777" w:rsidR="00691AFD" w:rsidRPr="00207748" w:rsidRDefault="00691AFD" w:rsidP="004454B6">
      <w:pPr>
        <w:spacing w:after="0"/>
        <w:rPr>
          <w:rFonts w:ascii="Cambria" w:hAnsi="Cambria" w:cs="Arial"/>
          <w:sz w:val="20"/>
          <w:szCs w:val="20"/>
        </w:rPr>
      </w:pPr>
      <w:r w:rsidRPr="00207748">
        <w:rPr>
          <w:rFonts w:ascii="Cambria" w:hAnsi="Cambria" w:cs="Arial"/>
          <w:sz w:val="20"/>
          <w:szCs w:val="20"/>
        </w:rPr>
        <w:br w:type="page"/>
      </w:r>
    </w:p>
    <w:p w14:paraId="03267857" w14:textId="4FCFADFC" w:rsidR="001F6734" w:rsidRPr="00207748" w:rsidRDefault="001F6734" w:rsidP="004454B6">
      <w:pPr>
        <w:spacing w:after="0"/>
        <w:rPr>
          <w:rFonts w:ascii="Cambria" w:hAnsi="Cambria" w:cs="Arial"/>
          <w:sz w:val="20"/>
          <w:szCs w:val="20"/>
          <w:u w:val="single"/>
        </w:rPr>
      </w:pPr>
    </w:p>
    <w:p w14:paraId="75E34FD5" w14:textId="77777777" w:rsidR="00264D62" w:rsidRPr="00207748" w:rsidRDefault="00691AFD" w:rsidP="004454B6">
      <w:pPr>
        <w:rPr>
          <w:rFonts w:ascii="Cambria" w:hAnsi="Cambria" w:cs="Arial"/>
          <w:sz w:val="20"/>
          <w:szCs w:val="20"/>
          <w:u w:val="single"/>
        </w:rPr>
      </w:pPr>
      <w:r w:rsidRPr="00207748">
        <w:rPr>
          <w:rFonts w:ascii="Cambria" w:hAnsi="Cambria" w:cs="Arial"/>
          <w:sz w:val="20"/>
          <w:szCs w:val="20"/>
          <w:u w:val="single"/>
        </w:rPr>
        <w:t>In Zusammenarbeit mit folgenden wissenschaftlichen medizinischen Fachgesellschaften und Organisationen:</w:t>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68"/>
        <w:gridCol w:w="2280"/>
      </w:tblGrid>
      <w:tr w:rsidR="00264D62" w:rsidRPr="00207748" w14:paraId="76FCB6FB" w14:textId="77777777" w:rsidTr="00182D07">
        <w:trPr>
          <w:trHeight w:val="459"/>
        </w:trPr>
        <w:tc>
          <w:tcPr>
            <w:tcW w:w="6668" w:type="dxa"/>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2C7AA15C" w14:textId="77777777" w:rsidR="00264D62" w:rsidRPr="00207748" w:rsidRDefault="00264D62" w:rsidP="004454B6">
            <w:pPr>
              <w:rPr>
                <w:rFonts w:ascii="Cambria" w:hAnsi="Cambria" w:cs="Arial"/>
                <w:sz w:val="20"/>
                <w:szCs w:val="20"/>
              </w:rPr>
            </w:pPr>
            <w:r w:rsidRPr="00207748">
              <w:rPr>
                <w:rFonts w:ascii="Cambria" w:hAnsi="Cambria" w:cs="Arial"/>
                <w:b/>
                <w:bCs/>
                <w:color w:val="auto"/>
                <w:sz w:val="20"/>
                <w:szCs w:val="20"/>
                <w:u w:color="FFFFFF"/>
              </w:rPr>
              <w:t>Fachgesellschaften und Organisationen</w:t>
            </w:r>
          </w:p>
        </w:tc>
        <w:tc>
          <w:tcPr>
            <w:tcW w:w="2280" w:type="dxa"/>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778CFE17" w14:textId="77777777" w:rsidR="00264D62" w:rsidRPr="00207748" w:rsidRDefault="00264D62" w:rsidP="004454B6">
            <w:pPr>
              <w:pStyle w:val="Listenabsatz"/>
              <w:spacing w:after="0"/>
              <w:ind w:left="0"/>
              <w:rPr>
                <w:rFonts w:ascii="Cambria" w:hAnsi="Cambria" w:cs="Arial"/>
                <w:color w:val="auto"/>
                <w:sz w:val="20"/>
                <w:szCs w:val="20"/>
              </w:rPr>
            </w:pPr>
            <w:r w:rsidRPr="00207748">
              <w:rPr>
                <w:rFonts w:ascii="Cambria" w:hAnsi="Cambria" w:cs="Arial"/>
                <w:b/>
                <w:bCs/>
                <w:color w:val="auto"/>
                <w:sz w:val="20"/>
                <w:szCs w:val="20"/>
                <w:u w:color="FFFFFF"/>
              </w:rPr>
              <w:t>Mandatsträger</w:t>
            </w:r>
          </w:p>
        </w:tc>
      </w:tr>
      <w:tr w:rsidR="00264D62" w:rsidRPr="00207748" w14:paraId="0276ADCB" w14:textId="77777777" w:rsidTr="008C2262">
        <w:trPr>
          <w:trHeight w:val="842"/>
        </w:trPr>
        <w:tc>
          <w:tcPr>
            <w:tcW w:w="6668" w:type="dxa"/>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5804BA7C"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Cs/>
                <w:sz w:val="20"/>
                <w:szCs w:val="20"/>
              </w:rPr>
              <w:t>Deutsche Gesellschaft für Anästhesiologie und Intensivmedizin e.V. (DGAI)</w:t>
            </w:r>
          </w:p>
        </w:tc>
        <w:tc>
          <w:tcPr>
            <w:tcW w:w="2280" w:type="dxa"/>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48731843"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Cs/>
                <w:sz w:val="20"/>
                <w:szCs w:val="20"/>
              </w:rPr>
              <w:t>Markus Weigand</w:t>
            </w:r>
          </w:p>
        </w:tc>
      </w:tr>
      <w:tr w:rsidR="00264D62" w:rsidRPr="00207748" w14:paraId="7579EF26" w14:textId="77777777" w:rsidTr="008C2262">
        <w:trPr>
          <w:trHeight w:val="842"/>
        </w:trPr>
        <w:tc>
          <w:tcPr>
            <w:tcW w:w="6668" w:type="dxa"/>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1DF5E3FE"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Cs/>
                <w:sz w:val="20"/>
                <w:szCs w:val="20"/>
              </w:rPr>
              <w:t>Deutsche Gesellschaft für Internistische Intensivmedizin und Notfallmedizin (DGIIN)</w:t>
            </w:r>
          </w:p>
        </w:tc>
        <w:tc>
          <w:tcPr>
            <w:tcW w:w="2280" w:type="dxa"/>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7D38574C"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Cs/>
                <w:sz w:val="20"/>
                <w:szCs w:val="20"/>
              </w:rPr>
              <w:t>Stefan John</w:t>
            </w:r>
          </w:p>
        </w:tc>
      </w:tr>
      <w:tr w:rsidR="00264D62" w:rsidRPr="00207748" w14:paraId="6153EEEF" w14:textId="77777777" w:rsidTr="008C2262">
        <w:trPr>
          <w:trHeight w:val="562"/>
        </w:trPr>
        <w:tc>
          <w:tcPr>
            <w:tcW w:w="6668" w:type="dxa"/>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61D87E69"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Cs/>
                <w:sz w:val="20"/>
                <w:szCs w:val="20"/>
              </w:rPr>
              <w:t>Deutsche Gesellschaft für Ernährungsmedizin e.V. (DGEM)</w:t>
            </w:r>
          </w:p>
        </w:tc>
        <w:tc>
          <w:tcPr>
            <w:tcW w:w="2280" w:type="dxa"/>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49767ADB"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Cs/>
                <w:sz w:val="20"/>
                <w:szCs w:val="20"/>
              </w:rPr>
              <w:t>Arved Weimann</w:t>
            </w:r>
          </w:p>
        </w:tc>
      </w:tr>
      <w:tr w:rsidR="00264D62" w:rsidRPr="00207748" w14:paraId="01526776" w14:textId="77777777" w:rsidTr="008C2262">
        <w:trPr>
          <w:trHeight w:val="562"/>
        </w:trPr>
        <w:tc>
          <w:tcPr>
            <w:tcW w:w="6668" w:type="dxa"/>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6C023CAF"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Cs/>
                <w:sz w:val="20"/>
                <w:szCs w:val="20"/>
              </w:rPr>
              <w:t>Deutsche Gesellschaft für Neurologie (DGN)</w:t>
            </w:r>
          </w:p>
        </w:tc>
        <w:tc>
          <w:tcPr>
            <w:tcW w:w="2280" w:type="dxa"/>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2CDEFB10"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Cs/>
                <w:sz w:val="20"/>
                <w:szCs w:val="20"/>
              </w:rPr>
              <w:t>Hubertus Axer</w:t>
            </w:r>
          </w:p>
        </w:tc>
      </w:tr>
      <w:tr w:rsidR="00264D62" w:rsidRPr="00207748" w14:paraId="0E42D4DD" w14:textId="77777777" w:rsidTr="008C2262">
        <w:trPr>
          <w:trHeight w:val="842"/>
        </w:trPr>
        <w:tc>
          <w:tcPr>
            <w:tcW w:w="6668" w:type="dxa"/>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5157DAC1"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Cs/>
                <w:sz w:val="20"/>
                <w:szCs w:val="20"/>
              </w:rPr>
              <w:t>Deutsche Gesellschaft für Kardiologie, Herz- und Kreislaufforschung e.V. (DGK)</w:t>
            </w:r>
          </w:p>
        </w:tc>
        <w:tc>
          <w:tcPr>
            <w:tcW w:w="2280" w:type="dxa"/>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3270037E"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Cs/>
                <w:sz w:val="20"/>
                <w:szCs w:val="20"/>
              </w:rPr>
              <w:t>Karl Werdan</w:t>
            </w:r>
          </w:p>
        </w:tc>
      </w:tr>
      <w:tr w:rsidR="00264D62" w:rsidRPr="00207748" w14:paraId="285E66C0" w14:textId="77777777" w:rsidTr="008C2262">
        <w:trPr>
          <w:trHeight w:val="562"/>
        </w:trPr>
        <w:tc>
          <w:tcPr>
            <w:tcW w:w="6668" w:type="dxa"/>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34ECDED4"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Cs/>
                <w:sz w:val="20"/>
                <w:szCs w:val="20"/>
              </w:rPr>
              <w:t>Deutsche Gesellschaft für Innere Medizin e.V. (DGIM)</w:t>
            </w:r>
          </w:p>
        </w:tc>
        <w:tc>
          <w:tcPr>
            <w:tcW w:w="2280" w:type="dxa"/>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7E2D3BDC"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Cs/>
                <w:sz w:val="20"/>
                <w:szCs w:val="20"/>
              </w:rPr>
              <w:t>Karl Werdan</w:t>
            </w:r>
          </w:p>
        </w:tc>
      </w:tr>
      <w:tr w:rsidR="00264D62" w:rsidRPr="00207748" w14:paraId="2C0581FF" w14:textId="77777777" w:rsidTr="008C2262">
        <w:trPr>
          <w:trHeight w:val="562"/>
        </w:trPr>
        <w:tc>
          <w:tcPr>
            <w:tcW w:w="6668" w:type="dxa"/>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4898A918"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Cs/>
                <w:sz w:val="20"/>
                <w:szCs w:val="20"/>
              </w:rPr>
              <w:t>Deutsche Gesellschaft für Infektiologie (DGI)</w:t>
            </w:r>
          </w:p>
        </w:tc>
        <w:tc>
          <w:tcPr>
            <w:tcW w:w="2280" w:type="dxa"/>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239BD34A"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Cs/>
                <w:sz w:val="20"/>
                <w:szCs w:val="20"/>
              </w:rPr>
              <w:t>Mathias Pletz</w:t>
            </w:r>
          </w:p>
        </w:tc>
      </w:tr>
      <w:tr w:rsidR="00264D62" w:rsidRPr="00207748" w14:paraId="0DD9DF6A" w14:textId="77777777" w:rsidTr="008C2262">
        <w:trPr>
          <w:trHeight w:val="562"/>
        </w:trPr>
        <w:tc>
          <w:tcPr>
            <w:tcW w:w="6668" w:type="dxa"/>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6A58CB62"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Cs/>
                <w:sz w:val="20"/>
                <w:szCs w:val="20"/>
              </w:rPr>
              <w:t>Deutsche Gesellschaft für Nephrologie e.V. (DGfN)</w:t>
            </w:r>
          </w:p>
        </w:tc>
        <w:tc>
          <w:tcPr>
            <w:tcW w:w="2280" w:type="dxa"/>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6B7F4DD5"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Cs/>
                <w:sz w:val="20"/>
                <w:szCs w:val="20"/>
              </w:rPr>
              <w:t>Achim Jörres</w:t>
            </w:r>
          </w:p>
        </w:tc>
      </w:tr>
      <w:tr w:rsidR="00264D62" w:rsidRPr="00207748" w14:paraId="31CD5074" w14:textId="77777777" w:rsidTr="008C2262">
        <w:trPr>
          <w:trHeight w:val="842"/>
        </w:trPr>
        <w:tc>
          <w:tcPr>
            <w:tcW w:w="6668" w:type="dxa"/>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7A5CA2DF"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Cs/>
                <w:sz w:val="20"/>
                <w:szCs w:val="20"/>
              </w:rPr>
              <w:t>Deutsche Interdisziplinäre Vereinigung für Intensiv- und Notfallmedizin (DIVI)</w:t>
            </w:r>
          </w:p>
        </w:tc>
        <w:tc>
          <w:tcPr>
            <w:tcW w:w="2280" w:type="dxa"/>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4EE13C26"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Cs/>
                <w:sz w:val="20"/>
                <w:szCs w:val="20"/>
              </w:rPr>
              <w:t>Stefan Kluge</w:t>
            </w:r>
          </w:p>
        </w:tc>
      </w:tr>
      <w:tr w:rsidR="00264D62" w:rsidRPr="00207748" w14:paraId="7809C65B" w14:textId="77777777" w:rsidTr="008C2262">
        <w:trPr>
          <w:trHeight w:val="842"/>
        </w:trPr>
        <w:tc>
          <w:tcPr>
            <w:tcW w:w="6668" w:type="dxa"/>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2C943308"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Cs/>
                <w:sz w:val="20"/>
                <w:szCs w:val="20"/>
              </w:rPr>
              <w:t>Deutsche Gesellschaft für Pneumologie und Beatmungsmedizin (DGP)</w:t>
            </w:r>
          </w:p>
        </w:tc>
        <w:tc>
          <w:tcPr>
            <w:tcW w:w="2280" w:type="dxa"/>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4C7678EC"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Cs/>
                <w:sz w:val="20"/>
                <w:szCs w:val="20"/>
              </w:rPr>
              <w:t>Tobias Welte</w:t>
            </w:r>
          </w:p>
        </w:tc>
      </w:tr>
      <w:tr w:rsidR="00264D62" w:rsidRPr="00207748" w14:paraId="3D0A7867" w14:textId="77777777" w:rsidTr="008C2262">
        <w:trPr>
          <w:trHeight w:val="562"/>
        </w:trPr>
        <w:tc>
          <w:tcPr>
            <w:tcW w:w="6668" w:type="dxa"/>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2A0B7BFC"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Cs/>
                <w:sz w:val="20"/>
                <w:szCs w:val="20"/>
              </w:rPr>
              <w:t>Deutsche Gesellschaft für Hygiene und Mikrobiologie (DGHM)</w:t>
            </w:r>
          </w:p>
        </w:tc>
        <w:tc>
          <w:tcPr>
            <w:tcW w:w="2280" w:type="dxa"/>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15A02DD1"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Cs/>
                <w:sz w:val="20"/>
                <w:szCs w:val="20"/>
              </w:rPr>
              <w:t>Sebastian W. Lemmen</w:t>
            </w:r>
          </w:p>
        </w:tc>
      </w:tr>
      <w:tr w:rsidR="00264D62" w:rsidRPr="00207748" w14:paraId="3C7741F9" w14:textId="77777777" w:rsidTr="008C2262">
        <w:trPr>
          <w:trHeight w:val="282"/>
        </w:trPr>
        <w:tc>
          <w:tcPr>
            <w:tcW w:w="6668" w:type="dxa"/>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55B9DA36"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Cs/>
                <w:sz w:val="20"/>
                <w:szCs w:val="20"/>
              </w:rPr>
              <w:t>Deutsche Sepsis Gesellschaft (DSG)</w:t>
            </w:r>
          </w:p>
        </w:tc>
        <w:tc>
          <w:tcPr>
            <w:tcW w:w="2280" w:type="dxa"/>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55F53ECE"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Cs/>
                <w:sz w:val="20"/>
                <w:szCs w:val="20"/>
              </w:rPr>
              <w:t>Frank M. Brunkhorst</w:t>
            </w:r>
          </w:p>
        </w:tc>
      </w:tr>
    </w:tbl>
    <w:p w14:paraId="462ABED4" w14:textId="77777777" w:rsidR="00264D62" w:rsidRPr="00207748" w:rsidRDefault="00264D62" w:rsidP="004454B6">
      <w:pPr>
        <w:rPr>
          <w:rFonts w:ascii="Cambria" w:eastAsia="Arial" w:hAnsi="Cambria" w:cs="Arial"/>
          <w:sz w:val="20"/>
          <w:szCs w:val="20"/>
        </w:rPr>
      </w:pPr>
    </w:p>
    <w:p w14:paraId="70E7AEE4" w14:textId="77777777" w:rsidR="00264D62" w:rsidRPr="00207748" w:rsidRDefault="00264D62" w:rsidP="004454B6">
      <w:pPr>
        <w:rPr>
          <w:rFonts w:ascii="Cambria" w:eastAsia="Arial" w:hAnsi="Cambria" w:cs="Arial"/>
          <w:bCs/>
          <w:sz w:val="20"/>
          <w:szCs w:val="20"/>
          <w:u w:val="single"/>
        </w:rPr>
      </w:pPr>
      <w:r w:rsidRPr="00207748">
        <w:rPr>
          <w:rFonts w:ascii="Cambria" w:hAnsi="Cambria" w:cs="Arial"/>
          <w:bCs/>
          <w:sz w:val="20"/>
          <w:szCs w:val="20"/>
          <w:u w:val="single"/>
        </w:rPr>
        <w:t>Beteiligung weiterer Organisationen/sonstige</w:t>
      </w:r>
      <w:r w:rsidR="002208D2" w:rsidRPr="00207748">
        <w:rPr>
          <w:rFonts w:ascii="Cambria" w:hAnsi="Cambria" w:cs="Arial"/>
          <w:bCs/>
          <w:sz w:val="20"/>
          <w:szCs w:val="20"/>
          <w:u w:val="single"/>
        </w:rPr>
        <w:t>r</w:t>
      </w:r>
      <w:r w:rsidRPr="00207748">
        <w:rPr>
          <w:rFonts w:ascii="Cambria" w:hAnsi="Cambria" w:cs="Arial"/>
          <w:bCs/>
          <w:sz w:val="20"/>
          <w:szCs w:val="20"/>
          <w:u w:val="single"/>
        </w:rPr>
        <w:t xml:space="preserve"> Fachgesellschaften:</w:t>
      </w:r>
    </w:p>
    <w:p w14:paraId="032D65E8" w14:textId="77777777" w:rsidR="00264D62" w:rsidRPr="00207748" w:rsidRDefault="00264D62" w:rsidP="00182D07">
      <w:pPr>
        <w:pStyle w:val="Listenabsatz"/>
        <w:numPr>
          <w:ilvl w:val="0"/>
          <w:numId w:val="85"/>
        </w:numPr>
        <w:spacing w:after="0" w:line="240" w:lineRule="auto"/>
        <w:rPr>
          <w:rFonts w:ascii="Cambria" w:eastAsia="Arial" w:hAnsi="Cambria" w:cs="Arial"/>
          <w:sz w:val="20"/>
          <w:szCs w:val="20"/>
        </w:rPr>
      </w:pPr>
      <w:r w:rsidRPr="00207748">
        <w:rPr>
          <w:rFonts w:ascii="Cambria" w:eastAsia="Arial" w:hAnsi="Cambria" w:cs="Arial"/>
          <w:sz w:val="20"/>
          <w:szCs w:val="20"/>
        </w:rPr>
        <w:t>Deutsche Sepsis Hilfe e. V. (DSH)</w:t>
      </w:r>
    </w:p>
    <w:p w14:paraId="7FAB192B" w14:textId="77777777" w:rsidR="00264D62" w:rsidRPr="00207748" w:rsidRDefault="00264D62" w:rsidP="00182D07">
      <w:pPr>
        <w:pStyle w:val="Listenabsatz"/>
        <w:numPr>
          <w:ilvl w:val="0"/>
          <w:numId w:val="85"/>
        </w:numPr>
        <w:spacing w:after="0" w:line="240" w:lineRule="auto"/>
        <w:rPr>
          <w:rFonts w:ascii="Cambria" w:eastAsia="Arial" w:hAnsi="Cambria" w:cs="Arial"/>
          <w:sz w:val="20"/>
          <w:szCs w:val="20"/>
        </w:rPr>
      </w:pPr>
      <w:r w:rsidRPr="00207748">
        <w:rPr>
          <w:rFonts w:ascii="Cambria" w:hAnsi="Cambria" w:cs="Arial"/>
          <w:sz w:val="20"/>
          <w:szCs w:val="20"/>
        </w:rPr>
        <w:t>Nationales Referenzzentrum für Surveillance von nosokomialen Infektionen (NRZ)</w:t>
      </w:r>
    </w:p>
    <w:p w14:paraId="61F1870C" w14:textId="77777777" w:rsidR="00264D62" w:rsidRPr="00207748" w:rsidRDefault="00264D62" w:rsidP="00182D07">
      <w:pPr>
        <w:pStyle w:val="Listenabsatz"/>
        <w:numPr>
          <w:ilvl w:val="0"/>
          <w:numId w:val="85"/>
        </w:numPr>
        <w:spacing w:after="0" w:line="240" w:lineRule="auto"/>
        <w:rPr>
          <w:rFonts w:ascii="Cambria" w:hAnsi="Cambria" w:cs="Arial"/>
          <w:sz w:val="20"/>
          <w:szCs w:val="20"/>
        </w:rPr>
      </w:pPr>
      <w:r w:rsidRPr="00207748">
        <w:rPr>
          <w:rFonts w:ascii="Cambria" w:eastAsia="Arial" w:hAnsi="Cambria" w:cs="Arial"/>
          <w:sz w:val="20"/>
          <w:szCs w:val="20"/>
        </w:rPr>
        <w:t>Paul Ehrlich Gesellschaft f</w:t>
      </w:r>
      <w:r w:rsidRPr="00207748">
        <w:rPr>
          <w:rFonts w:ascii="Cambria" w:hAnsi="Cambria" w:cs="Arial"/>
          <w:sz w:val="20"/>
          <w:szCs w:val="20"/>
        </w:rPr>
        <w:t>ür Chemotherapie e. V. (PEG)</w:t>
      </w:r>
    </w:p>
    <w:p w14:paraId="09D6D505" w14:textId="77777777" w:rsidR="00264D62" w:rsidRPr="00207748" w:rsidRDefault="00264D62" w:rsidP="004454B6">
      <w:pPr>
        <w:spacing w:after="0"/>
        <w:rPr>
          <w:rFonts w:ascii="Cambria" w:hAnsi="Cambria" w:cs="Arial"/>
          <w:sz w:val="20"/>
          <w:szCs w:val="20"/>
        </w:rPr>
      </w:pPr>
    </w:p>
    <w:p w14:paraId="11B6C562" w14:textId="77777777" w:rsidR="00264D62" w:rsidRPr="00207748" w:rsidRDefault="00264D62" w:rsidP="004454B6">
      <w:pPr>
        <w:rPr>
          <w:rFonts w:ascii="Cambria" w:hAnsi="Cambria" w:cs="Arial"/>
          <w:sz w:val="20"/>
          <w:szCs w:val="20"/>
          <w:u w:val="single"/>
        </w:rPr>
      </w:pPr>
      <w:r w:rsidRPr="00207748">
        <w:rPr>
          <w:rFonts w:ascii="Cambria" w:hAnsi="Cambria" w:cs="Arial"/>
          <w:sz w:val="20"/>
          <w:szCs w:val="20"/>
          <w:u w:val="single"/>
        </w:rPr>
        <w:lastRenderedPageBreak/>
        <w:t>Leitlinienkommission</w:t>
      </w:r>
      <w:r w:rsidR="00691AFD" w:rsidRPr="00207748">
        <w:rPr>
          <w:rFonts w:ascii="Cambria" w:hAnsi="Cambria" w:cs="Arial"/>
          <w:sz w:val="20"/>
          <w:szCs w:val="20"/>
          <w:u w:val="single"/>
        </w:rPr>
        <w:t>:</w:t>
      </w:r>
    </w:p>
    <w:p w14:paraId="2BBF0CA8" w14:textId="77777777" w:rsidR="00264D62" w:rsidRPr="00207748" w:rsidRDefault="00264D62" w:rsidP="004454B6">
      <w:pPr>
        <w:rPr>
          <w:rFonts w:ascii="Cambria" w:eastAsia="Arial" w:hAnsi="Cambria" w:cs="Arial"/>
          <w:sz w:val="20"/>
          <w:szCs w:val="20"/>
        </w:rPr>
      </w:pPr>
      <w:r w:rsidRPr="00207748">
        <w:rPr>
          <w:rFonts w:ascii="Cambria" w:hAnsi="Cambria" w:cs="Arial"/>
          <w:sz w:val="20"/>
          <w:szCs w:val="20"/>
        </w:rPr>
        <w:t>Prof. Dr. med. Frank Martin Brunkhorst (Vorsitz), Universitätsklinikum Jena</w:t>
      </w:r>
    </w:p>
    <w:p w14:paraId="5B554A84" w14:textId="77777777" w:rsidR="002F45C9" w:rsidRPr="00207748" w:rsidRDefault="00264D62" w:rsidP="004454B6">
      <w:pPr>
        <w:spacing w:after="0"/>
        <w:rPr>
          <w:rFonts w:ascii="Cambria" w:hAnsi="Cambria" w:cs="Arial"/>
          <w:sz w:val="20"/>
          <w:szCs w:val="20"/>
        </w:rPr>
      </w:pPr>
      <w:r w:rsidRPr="00207748">
        <w:rPr>
          <w:rFonts w:ascii="Cambria" w:hAnsi="Cambria" w:cs="Arial"/>
          <w:sz w:val="20"/>
          <w:szCs w:val="20"/>
        </w:rPr>
        <w:t>Prof. Dr. med. Markus Weigand (Stellvertretender Vorsitz), Universitätsklinikum Heidelberg</w:t>
      </w:r>
    </w:p>
    <w:p w14:paraId="7218A0B6" w14:textId="77777777" w:rsidR="00801F84" w:rsidRPr="00207748" w:rsidRDefault="00801F84" w:rsidP="004454B6">
      <w:pPr>
        <w:spacing w:after="0"/>
        <w:rPr>
          <w:rFonts w:ascii="Cambria" w:hAnsi="Cambria" w:cs="Arial"/>
          <w:b/>
          <w:bCs/>
          <w:color w:val="auto"/>
          <w:sz w:val="20"/>
          <w:szCs w:val="20"/>
          <w:u w:color="FFFFFF"/>
        </w:rPr>
      </w:pPr>
    </w:p>
    <w:p w14:paraId="35DA6280" w14:textId="77777777" w:rsidR="00801F84" w:rsidRPr="00207748" w:rsidRDefault="00801F84" w:rsidP="004454B6">
      <w:pPr>
        <w:spacing w:after="0"/>
        <w:rPr>
          <w:rFonts w:ascii="Cambria" w:hAnsi="Cambria" w:cs="Arial"/>
          <w:b/>
          <w:bCs/>
          <w:color w:val="auto"/>
          <w:sz w:val="20"/>
          <w:szCs w:val="20"/>
          <w:u w:color="FFFFFF"/>
        </w:rPr>
      </w:pPr>
    </w:p>
    <w:p w14:paraId="1601900F" w14:textId="77777777" w:rsidR="00801F84" w:rsidRPr="00207748" w:rsidRDefault="00801F84" w:rsidP="004454B6">
      <w:pPr>
        <w:spacing w:after="0"/>
        <w:rPr>
          <w:rFonts w:ascii="Cambria" w:hAnsi="Cambria" w:cs="Arial"/>
          <w:b/>
          <w:bCs/>
          <w:color w:val="auto"/>
          <w:sz w:val="20"/>
          <w:szCs w:val="20"/>
          <w:u w:color="FFFFFF"/>
        </w:rPr>
        <w:sectPr w:rsidR="00801F84" w:rsidRPr="00207748" w:rsidSect="00693B3D">
          <w:footerReference w:type="default" r:id="rId10"/>
          <w:endnotePr>
            <w:numFmt w:val="decimal"/>
          </w:endnotePr>
          <w:type w:val="continuous"/>
          <w:pgSz w:w="11900" w:h="16840"/>
          <w:pgMar w:top="1417" w:right="1417" w:bottom="1134" w:left="1417" w:header="708" w:footer="708" w:gutter="0"/>
          <w:pgNumType w:start="2"/>
          <w:cols w:space="720"/>
          <w:docGrid w:linePitch="299"/>
        </w:sectPr>
      </w:pP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3835"/>
        <w:gridCol w:w="5283"/>
      </w:tblGrid>
      <w:tr w:rsidR="00264D62" w:rsidRPr="00207748" w14:paraId="4801EDD3" w14:textId="77777777" w:rsidTr="008C2262">
        <w:trPr>
          <w:trHeight w:val="282"/>
        </w:trPr>
        <w:tc>
          <w:tcPr>
            <w:tcW w:w="0" w:type="auto"/>
            <w:tcBorders>
              <w:top w:val="single" w:sz="4" w:space="0" w:color="4F81BD"/>
              <w:left w:val="single" w:sz="4" w:space="0" w:color="4F81BD"/>
              <w:bottom w:val="single" w:sz="4" w:space="0" w:color="95B3D7"/>
              <w:right w:val="single" w:sz="4" w:space="0" w:color="4F81BD"/>
            </w:tcBorders>
            <w:shd w:val="clear" w:color="auto" w:fill="auto"/>
            <w:tcMar>
              <w:top w:w="80" w:type="dxa"/>
              <w:left w:w="80" w:type="dxa"/>
              <w:bottom w:w="80" w:type="dxa"/>
              <w:right w:w="80" w:type="dxa"/>
            </w:tcMar>
          </w:tcPr>
          <w:p w14:paraId="550054D5" w14:textId="77777777" w:rsidR="00264D62" w:rsidRPr="00207748" w:rsidRDefault="00264D62" w:rsidP="004454B6">
            <w:pPr>
              <w:pStyle w:val="Listenabsatz"/>
              <w:ind w:left="0"/>
              <w:rPr>
                <w:rFonts w:ascii="Cambria" w:hAnsi="Cambria" w:cs="Arial"/>
                <w:color w:val="auto"/>
                <w:sz w:val="20"/>
                <w:szCs w:val="20"/>
              </w:rPr>
            </w:pPr>
            <w:r w:rsidRPr="00207748">
              <w:rPr>
                <w:rFonts w:ascii="Cambria" w:hAnsi="Cambria" w:cs="Arial"/>
                <w:b/>
                <w:bCs/>
                <w:color w:val="auto"/>
                <w:sz w:val="20"/>
                <w:szCs w:val="20"/>
                <w:u w:color="FFFFFF"/>
              </w:rPr>
              <w:lastRenderedPageBreak/>
              <w:t>Arbeitsgruppe</w:t>
            </w:r>
          </w:p>
        </w:tc>
        <w:tc>
          <w:tcPr>
            <w:tcW w:w="0" w:type="auto"/>
            <w:tcBorders>
              <w:top w:val="single" w:sz="4" w:space="0" w:color="4F81BD"/>
              <w:left w:val="single" w:sz="4" w:space="0" w:color="4F81BD"/>
              <w:bottom w:val="single" w:sz="4" w:space="0" w:color="95B3D7"/>
              <w:right w:val="single" w:sz="4" w:space="0" w:color="4F81BD"/>
            </w:tcBorders>
            <w:shd w:val="clear" w:color="auto" w:fill="auto"/>
            <w:tcMar>
              <w:top w:w="80" w:type="dxa"/>
              <w:left w:w="80" w:type="dxa"/>
              <w:bottom w:w="80" w:type="dxa"/>
              <w:right w:w="80" w:type="dxa"/>
            </w:tcMar>
          </w:tcPr>
          <w:p w14:paraId="08C350DD" w14:textId="77777777" w:rsidR="00264D62" w:rsidRPr="00207748" w:rsidRDefault="00264D62" w:rsidP="004454B6">
            <w:pPr>
              <w:pStyle w:val="Listenabsatz"/>
              <w:spacing w:after="0"/>
              <w:ind w:left="0"/>
              <w:rPr>
                <w:rFonts w:ascii="Cambria" w:hAnsi="Cambria" w:cs="Arial"/>
                <w:color w:val="auto"/>
                <w:sz w:val="20"/>
                <w:szCs w:val="20"/>
              </w:rPr>
            </w:pPr>
            <w:r w:rsidRPr="00207748">
              <w:rPr>
                <w:rFonts w:ascii="Cambria" w:hAnsi="Cambria" w:cs="Arial"/>
                <w:b/>
                <w:bCs/>
                <w:color w:val="auto"/>
                <w:sz w:val="20"/>
                <w:szCs w:val="20"/>
                <w:u w:color="FFFFFF"/>
              </w:rPr>
              <w:t>Autoren</w:t>
            </w:r>
            <w:r w:rsidR="008027E6" w:rsidRPr="00207748">
              <w:rPr>
                <w:rStyle w:val="Funotenzeichen"/>
                <w:rFonts w:ascii="Cambria" w:hAnsi="Cambria" w:cs="Arial"/>
                <w:b/>
                <w:bCs/>
                <w:color w:val="auto"/>
                <w:sz w:val="20"/>
                <w:szCs w:val="20"/>
                <w:u w:color="FFFFFF"/>
              </w:rPr>
              <w:footnoteReference w:id="1"/>
            </w:r>
          </w:p>
        </w:tc>
      </w:tr>
      <w:tr w:rsidR="00264D62" w:rsidRPr="00207748" w14:paraId="014E6D0F" w14:textId="77777777" w:rsidTr="008C2262">
        <w:trPr>
          <w:trHeight w:val="282"/>
        </w:trPr>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0D0D92B2"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
                <w:bCs/>
                <w:sz w:val="20"/>
                <w:szCs w:val="20"/>
              </w:rPr>
              <w:t>Prävention</w:t>
            </w:r>
          </w:p>
        </w:tc>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5CC15E60"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
                <w:bCs/>
                <w:sz w:val="20"/>
                <w:szCs w:val="20"/>
              </w:rPr>
              <w:t>Prof. P. Gastmeier</w:t>
            </w:r>
            <w:r w:rsidRPr="00207748">
              <w:rPr>
                <w:rFonts w:ascii="Cambria" w:hAnsi="Cambria" w:cs="Arial"/>
                <w:sz w:val="20"/>
                <w:szCs w:val="20"/>
              </w:rPr>
              <w:t>, Prof. S. W. Lemmen</w:t>
            </w:r>
          </w:p>
        </w:tc>
      </w:tr>
      <w:tr w:rsidR="00264D62" w:rsidRPr="00207748" w14:paraId="51CC689F" w14:textId="77777777" w:rsidTr="008C2262">
        <w:trPr>
          <w:trHeight w:val="282"/>
        </w:trPr>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38BA864E"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
                <w:bCs/>
                <w:sz w:val="20"/>
                <w:szCs w:val="20"/>
              </w:rPr>
              <w:t>Impfen</w:t>
            </w:r>
          </w:p>
        </w:tc>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66BF3E78"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
                <w:bCs/>
                <w:sz w:val="20"/>
                <w:szCs w:val="20"/>
              </w:rPr>
              <w:t>Prof. M. Pletz</w:t>
            </w:r>
          </w:p>
        </w:tc>
      </w:tr>
      <w:tr w:rsidR="00264D62" w:rsidRPr="00207748" w14:paraId="6B8DE074" w14:textId="77777777" w:rsidTr="008C2262">
        <w:trPr>
          <w:trHeight w:val="842"/>
        </w:trPr>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29D66C3D"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
                <w:bCs/>
                <w:sz w:val="20"/>
                <w:szCs w:val="20"/>
              </w:rPr>
              <w:t>A. Initiale hämodynamische Stabilisierung</w:t>
            </w:r>
          </w:p>
        </w:tc>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220316C9"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
                <w:bCs/>
                <w:sz w:val="20"/>
                <w:szCs w:val="20"/>
              </w:rPr>
              <w:t>Prof. A. Meier-Hellmann</w:t>
            </w:r>
            <w:r w:rsidRPr="00207748">
              <w:rPr>
                <w:rFonts w:ascii="Cambria" w:hAnsi="Cambria" w:cs="Arial"/>
                <w:sz w:val="20"/>
                <w:szCs w:val="20"/>
              </w:rPr>
              <w:t>, Prof. M. Ragaller, Prof. A. Weyland, Prof. G. Marx, Prof. M. Bucher</w:t>
            </w:r>
          </w:p>
        </w:tc>
      </w:tr>
      <w:tr w:rsidR="00264D62" w:rsidRPr="00207748" w14:paraId="46042124" w14:textId="77777777" w:rsidTr="008C2262">
        <w:trPr>
          <w:trHeight w:val="562"/>
        </w:trPr>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3CE8AE43"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
                <w:bCs/>
                <w:sz w:val="20"/>
                <w:szCs w:val="20"/>
              </w:rPr>
              <w:t>B. Screening der Sepsis und Leistungsverbesserung</w:t>
            </w:r>
          </w:p>
        </w:tc>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45721E60"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
                <w:bCs/>
                <w:sz w:val="20"/>
                <w:szCs w:val="20"/>
              </w:rPr>
              <w:t>Prof. F.M. Brunkhorst</w:t>
            </w:r>
            <w:r w:rsidRPr="00207748">
              <w:rPr>
                <w:rFonts w:ascii="Cambria" w:hAnsi="Cambria" w:cs="Arial"/>
                <w:sz w:val="20"/>
                <w:szCs w:val="20"/>
              </w:rPr>
              <w:t>, Prof. H. Gerlach</w:t>
            </w:r>
          </w:p>
        </w:tc>
      </w:tr>
      <w:tr w:rsidR="00264D62" w:rsidRPr="00207748" w14:paraId="5AF34CEA" w14:textId="77777777" w:rsidTr="008C2262">
        <w:trPr>
          <w:trHeight w:val="282"/>
        </w:trPr>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27783ADF"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
                <w:bCs/>
                <w:sz w:val="20"/>
                <w:szCs w:val="20"/>
              </w:rPr>
              <w:t>C. Diagnose</w:t>
            </w:r>
          </w:p>
        </w:tc>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4A7739DA"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
                <w:bCs/>
                <w:sz w:val="20"/>
                <w:szCs w:val="20"/>
              </w:rPr>
              <w:t>Prof. B. Salzberger</w:t>
            </w:r>
            <w:r w:rsidRPr="00207748">
              <w:rPr>
                <w:rFonts w:ascii="Cambria" w:hAnsi="Cambria" w:cs="Arial"/>
                <w:sz w:val="20"/>
                <w:szCs w:val="20"/>
              </w:rPr>
              <w:t>, Dr. B. Grabein</w:t>
            </w:r>
          </w:p>
        </w:tc>
      </w:tr>
      <w:tr w:rsidR="00264D62" w:rsidRPr="00207748" w14:paraId="22CE58E0" w14:textId="77777777" w:rsidTr="008C2262">
        <w:trPr>
          <w:trHeight w:val="562"/>
        </w:trPr>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42DA9C5A"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
                <w:bCs/>
                <w:sz w:val="20"/>
                <w:szCs w:val="20"/>
              </w:rPr>
              <w:t>D. Antimikrobielle Therapie</w:t>
            </w:r>
          </w:p>
        </w:tc>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57ACFF63"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
                <w:bCs/>
                <w:sz w:val="20"/>
                <w:szCs w:val="20"/>
              </w:rPr>
              <w:t>Prof. T. Welte</w:t>
            </w:r>
            <w:r w:rsidRPr="00207748">
              <w:rPr>
                <w:rFonts w:ascii="Cambria" w:hAnsi="Cambria" w:cs="Arial"/>
                <w:sz w:val="20"/>
                <w:szCs w:val="20"/>
              </w:rPr>
              <w:t>, Prof. M. Pletz, Prof. M. Weigand, Dr. B. Grabein</w:t>
            </w:r>
          </w:p>
        </w:tc>
      </w:tr>
      <w:tr w:rsidR="00264D62" w:rsidRPr="00207748" w14:paraId="27D52A0D" w14:textId="77777777" w:rsidTr="008C2262">
        <w:trPr>
          <w:trHeight w:val="562"/>
        </w:trPr>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61345008" w14:textId="77777777" w:rsidR="00264D62" w:rsidRPr="00207748" w:rsidRDefault="00264D62" w:rsidP="004454B6">
            <w:pPr>
              <w:pStyle w:val="Listenabsatz"/>
              <w:tabs>
                <w:tab w:val="left" w:pos="1125"/>
              </w:tabs>
              <w:spacing w:after="0"/>
              <w:ind w:left="0"/>
              <w:rPr>
                <w:rFonts w:ascii="Cambria" w:hAnsi="Cambria" w:cs="Arial"/>
                <w:sz w:val="20"/>
                <w:szCs w:val="20"/>
              </w:rPr>
            </w:pPr>
            <w:r w:rsidRPr="00207748">
              <w:rPr>
                <w:rFonts w:ascii="Cambria" w:hAnsi="Cambria" w:cs="Arial"/>
                <w:b/>
                <w:bCs/>
                <w:sz w:val="20"/>
                <w:szCs w:val="20"/>
              </w:rPr>
              <w:t>E. Fokuskontrolle</w:t>
            </w:r>
          </w:p>
        </w:tc>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2EEF27C3"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
                <w:bCs/>
                <w:sz w:val="20"/>
                <w:szCs w:val="20"/>
              </w:rPr>
              <w:t>Prof. T. Welte</w:t>
            </w:r>
            <w:r w:rsidRPr="00207748">
              <w:rPr>
                <w:rFonts w:ascii="Cambria" w:hAnsi="Cambria" w:cs="Arial"/>
                <w:sz w:val="20"/>
                <w:szCs w:val="20"/>
              </w:rPr>
              <w:t>, Prof. M. Pletz, Prof. M. Weigand, Dr. B. Grabein</w:t>
            </w:r>
          </w:p>
        </w:tc>
      </w:tr>
      <w:tr w:rsidR="00264D62" w:rsidRPr="00207748" w14:paraId="53D74ADF" w14:textId="77777777" w:rsidTr="008C2262">
        <w:trPr>
          <w:trHeight w:val="842"/>
        </w:trPr>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37BAEFC4" w14:textId="77777777" w:rsidR="00264D62" w:rsidRPr="00207748" w:rsidRDefault="00264D62" w:rsidP="004454B6">
            <w:pPr>
              <w:spacing w:after="0"/>
              <w:rPr>
                <w:rFonts w:ascii="Cambria" w:hAnsi="Cambria" w:cs="Arial"/>
                <w:sz w:val="20"/>
                <w:szCs w:val="20"/>
              </w:rPr>
            </w:pPr>
            <w:r w:rsidRPr="00207748">
              <w:rPr>
                <w:rFonts w:ascii="Cambria" w:hAnsi="Cambria" w:cs="Arial"/>
                <w:b/>
                <w:bCs/>
                <w:sz w:val="20"/>
                <w:szCs w:val="20"/>
              </w:rPr>
              <w:t>F. Flüssigkeitstherapie</w:t>
            </w:r>
          </w:p>
        </w:tc>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198D1124"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
                <w:bCs/>
                <w:sz w:val="20"/>
                <w:szCs w:val="20"/>
              </w:rPr>
              <w:t>Prof. A. Meier-Hellmann,</w:t>
            </w:r>
            <w:r w:rsidRPr="00207748">
              <w:rPr>
                <w:rFonts w:ascii="Cambria" w:hAnsi="Cambria" w:cs="Arial"/>
                <w:sz w:val="20"/>
                <w:szCs w:val="20"/>
              </w:rPr>
              <w:t xml:space="preserve"> Prof. M. Ragaller, Prof. A. Weyland, Prof. G. Marx, Prof. M. Bucher</w:t>
            </w:r>
          </w:p>
        </w:tc>
      </w:tr>
      <w:tr w:rsidR="00264D62" w:rsidRPr="00207748" w14:paraId="0DECC5C6" w14:textId="77777777" w:rsidTr="008C2262">
        <w:trPr>
          <w:trHeight w:val="842"/>
        </w:trPr>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05604114"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
                <w:bCs/>
                <w:sz w:val="20"/>
                <w:szCs w:val="20"/>
              </w:rPr>
              <w:t>G. Vasoaktive Medikation</w:t>
            </w:r>
          </w:p>
        </w:tc>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58AD5D9A"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
                <w:bCs/>
                <w:sz w:val="20"/>
                <w:szCs w:val="20"/>
              </w:rPr>
              <w:t>Prof. A. Meier-Hellmann</w:t>
            </w:r>
            <w:r w:rsidRPr="00207748">
              <w:rPr>
                <w:rFonts w:ascii="Cambria" w:hAnsi="Cambria" w:cs="Arial"/>
                <w:sz w:val="20"/>
                <w:szCs w:val="20"/>
              </w:rPr>
              <w:t>, Prof. M. Ragaller, Prof. A. Weyland, Prof. G. Marx, Prof. M. Bucher</w:t>
            </w:r>
          </w:p>
        </w:tc>
      </w:tr>
      <w:tr w:rsidR="00264D62" w:rsidRPr="00207748" w14:paraId="31E37E15" w14:textId="77777777" w:rsidTr="008C2262">
        <w:trPr>
          <w:trHeight w:val="562"/>
        </w:trPr>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4F6BF4D3"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
                <w:bCs/>
                <w:sz w:val="20"/>
                <w:szCs w:val="20"/>
              </w:rPr>
              <w:t>H. Kortikosteroide</w:t>
            </w:r>
          </w:p>
        </w:tc>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7B9C2FD2"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
                <w:bCs/>
                <w:sz w:val="20"/>
                <w:szCs w:val="20"/>
              </w:rPr>
              <w:t>Prof. H. Gerlach</w:t>
            </w:r>
            <w:r w:rsidRPr="00207748">
              <w:rPr>
                <w:rFonts w:ascii="Cambria" w:hAnsi="Cambria" w:cs="Arial"/>
                <w:sz w:val="20"/>
                <w:szCs w:val="20"/>
              </w:rPr>
              <w:t>, Prof. K. Werdan, Prof. S. Kluge, Prof. M. Weigand</w:t>
            </w:r>
          </w:p>
        </w:tc>
      </w:tr>
      <w:tr w:rsidR="00264D62" w:rsidRPr="00207748" w14:paraId="271750EB" w14:textId="77777777" w:rsidTr="008C2262">
        <w:trPr>
          <w:trHeight w:val="282"/>
        </w:trPr>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7F68A997"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
                <w:bCs/>
                <w:sz w:val="20"/>
                <w:szCs w:val="20"/>
                <w:lang w:val="en-US"/>
              </w:rPr>
              <w:t>I. Blutprodukte</w:t>
            </w:r>
          </w:p>
        </w:tc>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6D3F0E5F"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
                <w:bCs/>
                <w:sz w:val="20"/>
                <w:szCs w:val="20"/>
              </w:rPr>
              <w:t>Prof. H.-G. Bone</w:t>
            </w:r>
          </w:p>
        </w:tc>
      </w:tr>
      <w:tr w:rsidR="00264D62" w:rsidRPr="00207748" w14:paraId="3234B633" w14:textId="77777777" w:rsidTr="008C2262">
        <w:trPr>
          <w:trHeight w:val="562"/>
        </w:trPr>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44880B55"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
                <w:bCs/>
                <w:sz w:val="20"/>
                <w:szCs w:val="20"/>
              </w:rPr>
              <w:t>J. Immunglobuline</w:t>
            </w:r>
          </w:p>
        </w:tc>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32278C0E"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
                <w:bCs/>
                <w:sz w:val="20"/>
                <w:szCs w:val="20"/>
              </w:rPr>
              <w:t>Prof. H. Gerlach</w:t>
            </w:r>
            <w:r w:rsidRPr="00207748">
              <w:rPr>
                <w:rFonts w:ascii="Cambria" w:hAnsi="Cambria" w:cs="Arial"/>
                <w:sz w:val="20"/>
                <w:szCs w:val="20"/>
              </w:rPr>
              <w:t>, Prof. K. Werdan, Prof. S. Kluge, Prof. M. Weigand</w:t>
            </w:r>
          </w:p>
        </w:tc>
      </w:tr>
      <w:tr w:rsidR="00264D62" w:rsidRPr="00207748" w14:paraId="7BD60B50" w14:textId="77777777" w:rsidTr="008C2262">
        <w:trPr>
          <w:trHeight w:val="562"/>
        </w:trPr>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2B3E9673"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
                <w:bCs/>
                <w:sz w:val="20"/>
                <w:szCs w:val="20"/>
              </w:rPr>
              <w:t>K. Blutreinigung</w:t>
            </w:r>
          </w:p>
        </w:tc>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1B1E7E0A"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
                <w:bCs/>
                <w:sz w:val="20"/>
                <w:szCs w:val="20"/>
              </w:rPr>
              <w:t>Prof. H. Gerlach</w:t>
            </w:r>
            <w:r w:rsidRPr="00207748">
              <w:rPr>
                <w:rFonts w:ascii="Cambria" w:hAnsi="Cambria" w:cs="Arial"/>
                <w:sz w:val="20"/>
                <w:szCs w:val="20"/>
              </w:rPr>
              <w:t>, Prof. K. Werdan, Prof. S. Kluge, Prof. M. Weigand</w:t>
            </w:r>
          </w:p>
        </w:tc>
      </w:tr>
      <w:tr w:rsidR="00264D62" w:rsidRPr="00207748" w14:paraId="2F7FFA4B" w14:textId="77777777" w:rsidTr="008C2262">
        <w:trPr>
          <w:trHeight w:val="562"/>
        </w:trPr>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5D7CF96B"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
                <w:bCs/>
                <w:sz w:val="20"/>
                <w:szCs w:val="20"/>
              </w:rPr>
              <w:t>L. Antikoagulanzien</w:t>
            </w:r>
          </w:p>
        </w:tc>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1E79535E"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
                <w:bCs/>
                <w:sz w:val="20"/>
                <w:szCs w:val="20"/>
              </w:rPr>
              <w:t>Prof. H. Gerlach</w:t>
            </w:r>
            <w:r w:rsidRPr="00207748">
              <w:rPr>
                <w:rFonts w:ascii="Cambria" w:hAnsi="Cambria" w:cs="Arial"/>
                <w:sz w:val="20"/>
                <w:szCs w:val="20"/>
              </w:rPr>
              <w:t>, Prof. K. Werdan, Prof. S. Kluge, Prof. M. Weigand</w:t>
            </w:r>
          </w:p>
        </w:tc>
      </w:tr>
      <w:tr w:rsidR="00264D62" w:rsidRPr="00587AE4" w14:paraId="34FE58E2" w14:textId="77777777" w:rsidTr="008C2262">
        <w:trPr>
          <w:trHeight w:val="562"/>
        </w:trPr>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5BB1CB1D"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
                <w:bCs/>
                <w:sz w:val="20"/>
                <w:szCs w:val="20"/>
              </w:rPr>
              <w:t>M. Invasive Beatmung</w:t>
            </w:r>
          </w:p>
        </w:tc>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4EC9F665" w14:textId="77777777" w:rsidR="00264D62" w:rsidRPr="00207748" w:rsidRDefault="00264D62" w:rsidP="004454B6">
            <w:pPr>
              <w:pStyle w:val="Listenabsatz"/>
              <w:spacing w:after="0"/>
              <w:ind w:left="0"/>
              <w:rPr>
                <w:rFonts w:ascii="Cambria" w:hAnsi="Cambria" w:cs="Arial"/>
                <w:sz w:val="20"/>
                <w:szCs w:val="20"/>
                <w:lang w:val="en-US"/>
              </w:rPr>
            </w:pPr>
            <w:r w:rsidRPr="00207748">
              <w:rPr>
                <w:rFonts w:ascii="Cambria" w:hAnsi="Cambria" w:cs="Arial"/>
                <w:b/>
                <w:bCs/>
                <w:sz w:val="20"/>
                <w:szCs w:val="20"/>
                <w:lang w:val="en-US"/>
              </w:rPr>
              <w:t>Prof. Ch. Putensen</w:t>
            </w:r>
            <w:r w:rsidRPr="00207748">
              <w:rPr>
                <w:rFonts w:ascii="Cambria" w:hAnsi="Cambria" w:cs="Arial"/>
                <w:sz w:val="20"/>
                <w:szCs w:val="20"/>
                <w:lang w:val="en-US"/>
              </w:rPr>
              <w:t>, Prof. R. Rossaint, Prof. M. Quintel, Prof. S. Kluge,</w:t>
            </w:r>
          </w:p>
        </w:tc>
      </w:tr>
      <w:tr w:rsidR="00264D62" w:rsidRPr="00207748" w14:paraId="4B685BCC" w14:textId="77777777" w:rsidTr="008C2262">
        <w:trPr>
          <w:trHeight w:val="282"/>
        </w:trPr>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1CA4A7ED"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
                <w:bCs/>
                <w:sz w:val="20"/>
                <w:szCs w:val="20"/>
              </w:rPr>
              <w:lastRenderedPageBreak/>
              <w:t>N. Sedierung und Analgesie</w:t>
            </w:r>
          </w:p>
        </w:tc>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73CAF00F"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
                <w:bCs/>
                <w:sz w:val="20"/>
                <w:szCs w:val="20"/>
              </w:rPr>
              <w:t>Prof. C. Spies</w:t>
            </w:r>
            <w:r w:rsidRPr="00207748">
              <w:rPr>
                <w:rFonts w:ascii="Cambria" w:hAnsi="Cambria" w:cs="Arial"/>
                <w:sz w:val="20"/>
                <w:szCs w:val="20"/>
              </w:rPr>
              <w:t xml:space="preserve">, Dr. B. Weiß </w:t>
            </w:r>
          </w:p>
        </w:tc>
      </w:tr>
      <w:tr w:rsidR="00264D62" w:rsidRPr="00207748" w14:paraId="33A4B010" w14:textId="77777777" w:rsidTr="008C2262">
        <w:trPr>
          <w:trHeight w:val="282"/>
        </w:trPr>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7D966DC2"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
                <w:bCs/>
                <w:sz w:val="20"/>
                <w:szCs w:val="20"/>
              </w:rPr>
              <w:t>O. Blutzuckerkontrolle</w:t>
            </w:r>
          </w:p>
        </w:tc>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0EFDA4B7"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
                <w:bCs/>
                <w:sz w:val="20"/>
                <w:szCs w:val="20"/>
              </w:rPr>
              <w:t>Prof. M. Weigand</w:t>
            </w:r>
            <w:r w:rsidRPr="00207748">
              <w:rPr>
                <w:rFonts w:ascii="Cambria" w:hAnsi="Cambria" w:cs="Arial"/>
                <w:sz w:val="20"/>
                <w:szCs w:val="20"/>
              </w:rPr>
              <w:t>, Prof. H. Gerlach</w:t>
            </w:r>
          </w:p>
        </w:tc>
      </w:tr>
      <w:tr w:rsidR="00264D62" w:rsidRPr="00587AE4" w14:paraId="286ADCD8" w14:textId="77777777" w:rsidTr="008C2262">
        <w:trPr>
          <w:trHeight w:val="562"/>
        </w:trPr>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50031666"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
                <w:bCs/>
                <w:sz w:val="20"/>
                <w:szCs w:val="20"/>
              </w:rPr>
              <w:t>P. Nierenersatztherapie</w:t>
            </w:r>
          </w:p>
        </w:tc>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217F36ED" w14:textId="77777777" w:rsidR="00264D62" w:rsidRPr="00207748" w:rsidRDefault="00264D62" w:rsidP="004454B6">
            <w:pPr>
              <w:pStyle w:val="Listenabsatz"/>
              <w:spacing w:after="0"/>
              <w:ind w:left="0"/>
              <w:rPr>
                <w:rFonts w:ascii="Cambria" w:hAnsi="Cambria" w:cs="Arial"/>
                <w:sz w:val="20"/>
                <w:szCs w:val="20"/>
                <w:lang w:val="en-US"/>
              </w:rPr>
            </w:pPr>
            <w:r w:rsidRPr="00207748">
              <w:rPr>
                <w:rFonts w:ascii="Cambria" w:hAnsi="Cambria" w:cs="Arial"/>
                <w:b/>
                <w:bCs/>
                <w:sz w:val="20"/>
                <w:szCs w:val="20"/>
                <w:lang w:val="en-US"/>
              </w:rPr>
              <w:t>Prof. S. John</w:t>
            </w:r>
            <w:r w:rsidRPr="00207748">
              <w:rPr>
                <w:rFonts w:ascii="Cambria" w:hAnsi="Cambria" w:cs="Arial"/>
                <w:sz w:val="20"/>
                <w:szCs w:val="20"/>
                <w:lang w:val="en-US"/>
              </w:rPr>
              <w:t>, PD Dr. M. Oppert, Prof. A. Jörres</w:t>
            </w:r>
          </w:p>
        </w:tc>
      </w:tr>
      <w:tr w:rsidR="00264D62" w:rsidRPr="00207748" w14:paraId="4331A324" w14:textId="77777777" w:rsidTr="008C2262">
        <w:trPr>
          <w:trHeight w:val="842"/>
        </w:trPr>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26A70D88"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
                <w:bCs/>
                <w:sz w:val="20"/>
                <w:szCs w:val="20"/>
              </w:rPr>
              <w:t>Q. Bicarbonattherapie</w:t>
            </w:r>
          </w:p>
        </w:tc>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71BEE3AF"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
                <w:bCs/>
                <w:sz w:val="20"/>
                <w:szCs w:val="20"/>
              </w:rPr>
              <w:t>Prof. A. Meier-Hellmann</w:t>
            </w:r>
            <w:r w:rsidRPr="00207748">
              <w:rPr>
                <w:rFonts w:ascii="Cambria" w:hAnsi="Cambria" w:cs="Arial"/>
                <w:sz w:val="20"/>
                <w:szCs w:val="20"/>
              </w:rPr>
              <w:t>, Prof. M. Ragaller, Prof. A. Weyland, Prof. G. Marx, Prof. M. Bucher</w:t>
            </w:r>
          </w:p>
        </w:tc>
      </w:tr>
      <w:tr w:rsidR="00264D62" w:rsidRPr="00207748" w14:paraId="164B8C7A" w14:textId="77777777" w:rsidTr="008C2262">
        <w:trPr>
          <w:trHeight w:val="562"/>
        </w:trPr>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624C6B93"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
                <w:bCs/>
                <w:sz w:val="20"/>
                <w:szCs w:val="20"/>
              </w:rPr>
              <w:t>R. Prophylaxe venöse Thromboembolie</w:t>
            </w:r>
          </w:p>
        </w:tc>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28C7DBE4" w14:textId="77777777" w:rsidR="00264D62" w:rsidRPr="00207748" w:rsidRDefault="008962B5" w:rsidP="004454B6">
            <w:pPr>
              <w:pStyle w:val="Listenabsatz"/>
              <w:spacing w:after="0"/>
              <w:ind w:left="0"/>
              <w:rPr>
                <w:rFonts w:ascii="Cambria" w:hAnsi="Cambria" w:cs="Arial"/>
                <w:sz w:val="20"/>
                <w:szCs w:val="20"/>
              </w:rPr>
            </w:pPr>
            <w:r w:rsidRPr="00207748">
              <w:rPr>
                <w:rFonts w:ascii="Cambria" w:hAnsi="Cambria" w:cs="Arial"/>
                <w:b/>
                <w:bCs/>
                <w:sz w:val="20"/>
                <w:szCs w:val="20"/>
              </w:rPr>
              <w:t>Prof</w:t>
            </w:r>
            <w:r w:rsidR="00264D62" w:rsidRPr="00207748">
              <w:rPr>
                <w:rFonts w:ascii="Cambria" w:hAnsi="Cambria" w:cs="Arial"/>
                <w:b/>
                <w:bCs/>
                <w:sz w:val="20"/>
                <w:szCs w:val="20"/>
              </w:rPr>
              <w:t>. T. Brenner</w:t>
            </w:r>
          </w:p>
        </w:tc>
      </w:tr>
      <w:tr w:rsidR="00264D62" w:rsidRPr="00207748" w14:paraId="4E57A28C" w14:textId="77777777" w:rsidTr="008C2262">
        <w:trPr>
          <w:trHeight w:val="282"/>
        </w:trPr>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6B58E535"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
                <w:bCs/>
                <w:sz w:val="20"/>
                <w:szCs w:val="20"/>
              </w:rPr>
              <w:t>S. Stressulkusprophylaxe</w:t>
            </w:r>
          </w:p>
        </w:tc>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4C5E07A2" w14:textId="77777777" w:rsidR="00264D62" w:rsidRPr="00207748" w:rsidRDefault="00C40CAE" w:rsidP="004454B6">
            <w:pPr>
              <w:pStyle w:val="Listenabsatz"/>
              <w:tabs>
                <w:tab w:val="left" w:pos="930"/>
              </w:tabs>
              <w:spacing w:after="0"/>
              <w:ind w:left="0"/>
              <w:rPr>
                <w:rFonts w:ascii="Cambria" w:hAnsi="Cambria" w:cs="Arial"/>
                <w:sz w:val="20"/>
                <w:szCs w:val="20"/>
              </w:rPr>
            </w:pPr>
            <w:r w:rsidRPr="00207748">
              <w:rPr>
                <w:rFonts w:ascii="Cambria" w:hAnsi="Cambria" w:cs="Arial"/>
                <w:b/>
                <w:bCs/>
                <w:sz w:val="20"/>
                <w:szCs w:val="20"/>
              </w:rPr>
              <w:t>PD</w:t>
            </w:r>
            <w:r w:rsidR="00264D62" w:rsidRPr="00207748">
              <w:rPr>
                <w:rFonts w:ascii="Cambria" w:hAnsi="Cambria" w:cs="Arial"/>
                <w:b/>
                <w:bCs/>
                <w:sz w:val="20"/>
                <w:szCs w:val="20"/>
              </w:rPr>
              <w:t>. G. Elke</w:t>
            </w:r>
            <w:r w:rsidR="00264D62" w:rsidRPr="00207748">
              <w:rPr>
                <w:rFonts w:ascii="Cambria" w:hAnsi="Cambria" w:cs="Arial"/>
                <w:sz w:val="20"/>
                <w:szCs w:val="20"/>
              </w:rPr>
              <w:t>, Dr. M. Gründling,</w:t>
            </w:r>
          </w:p>
        </w:tc>
      </w:tr>
      <w:tr w:rsidR="00264D62" w:rsidRPr="00207748" w14:paraId="188AA553" w14:textId="77777777" w:rsidTr="008C2262">
        <w:trPr>
          <w:trHeight w:val="562"/>
        </w:trPr>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1303C6C1"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
                <w:bCs/>
                <w:sz w:val="20"/>
                <w:szCs w:val="20"/>
              </w:rPr>
              <w:t>T. Ernährung</w:t>
            </w:r>
          </w:p>
        </w:tc>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12EC9130" w14:textId="510D5541"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
                <w:bCs/>
                <w:sz w:val="20"/>
                <w:szCs w:val="20"/>
              </w:rPr>
              <w:t>Prof. K. Mayer</w:t>
            </w:r>
            <w:r w:rsidRPr="00207748">
              <w:rPr>
                <w:rFonts w:ascii="Cambria" w:hAnsi="Cambria" w:cs="Arial"/>
                <w:sz w:val="20"/>
                <w:szCs w:val="20"/>
              </w:rPr>
              <w:t xml:space="preserve">; Prof. A. </w:t>
            </w:r>
            <w:r w:rsidR="0091423B">
              <w:rPr>
                <w:rFonts w:ascii="Cambria" w:hAnsi="Cambria" w:cs="Arial"/>
                <w:sz w:val="20"/>
                <w:szCs w:val="20"/>
              </w:rPr>
              <w:t>Weimann, PD</w:t>
            </w:r>
            <w:r w:rsidR="00C40CAE" w:rsidRPr="00207748">
              <w:rPr>
                <w:rFonts w:ascii="Cambria" w:hAnsi="Cambria" w:cs="Arial"/>
                <w:sz w:val="20"/>
                <w:szCs w:val="20"/>
              </w:rPr>
              <w:t>. T.W. Felbinger, PD</w:t>
            </w:r>
            <w:r w:rsidRPr="00207748">
              <w:rPr>
                <w:rFonts w:ascii="Cambria" w:hAnsi="Cambria" w:cs="Arial"/>
                <w:sz w:val="20"/>
                <w:szCs w:val="20"/>
              </w:rPr>
              <w:t>. G. Elke</w:t>
            </w:r>
          </w:p>
        </w:tc>
      </w:tr>
      <w:tr w:rsidR="00264D62" w:rsidRPr="00207748" w14:paraId="24F409B0" w14:textId="77777777" w:rsidTr="008C2262">
        <w:trPr>
          <w:trHeight w:val="282"/>
        </w:trPr>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19F50E30"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
                <w:bCs/>
                <w:sz w:val="20"/>
                <w:szCs w:val="20"/>
              </w:rPr>
              <w:t>U. Setzen von Behandlungszielen</w:t>
            </w:r>
          </w:p>
        </w:tc>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692E0148"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
                <w:bCs/>
                <w:sz w:val="20"/>
                <w:szCs w:val="20"/>
              </w:rPr>
              <w:t>Prof. F.M. Brunkhorst</w:t>
            </w:r>
            <w:r w:rsidRPr="00207748">
              <w:rPr>
                <w:rFonts w:ascii="Cambria" w:hAnsi="Cambria" w:cs="Arial"/>
                <w:sz w:val="20"/>
                <w:szCs w:val="20"/>
              </w:rPr>
              <w:t>, Prof. H. Gerlach</w:t>
            </w:r>
          </w:p>
        </w:tc>
      </w:tr>
      <w:tr w:rsidR="00264D62" w:rsidRPr="00587AE4" w14:paraId="7479D019" w14:textId="77777777" w:rsidTr="008C2262">
        <w:trPr>
          <w:trHeight w:val="282"/>
        </w:trPr>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4124794F" w14:textId="77777777" w:rsidR="00264D62" w:rsidRPr="00207748" w:rsidRDefault="00264D62" w:rsidP="004454B6">
            <w:pPr>
              <w:pStyle w:val="Listenabsatz"/>
              <w:spacing w:after="0"/>
              <w:ind w:left="0"/>
              <w:rPr>
                <w:rFonts w:ascii="Cambria" w:hAnsi="Cambria" w:cs="Arial"/>
                <w:sz w:val="20"/>
                <w:szCs w:val="20"/>
              </w:rPr>
            </w:pPr>
            <w:r w:rsidRPr="00207748">
              <w:rPr>
                <w:rFonts w:ascii="Cambria" w:hAnsi="Cambria" w:cs="Arial"/>
                <w:b/>
                <w:bCs/>
                <w:sz w:val="20"/>
                <w:szCs w:val="20"/>
              </w:rPr>
              <w:t>Spätfolgen</w:t>
            </w:r>
          </w:p>
        </w:tc>
        <w:tc>
          <w:tcPr>
            <w:tcW w:w="0" w:type="auto"/>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2F4E9368" w14:textId="77777777" w:rsidR="00264D62" w:rsidRPr="00207748" w:rsidRDefault="00264D62" w:rsidP="004454B6">
            <w:pPr>
              <w:pStyle w:val="Listenabsatz"/>
              <w:spacing w:after="0"/>
              <w:ind w:left="0"/>
              <w:rPr>
                <w:rFonts w:ascii="Cambria" w:hAnsi="Cambria" w:cs="Arial"/>
                <w:sz w:val="20"/>
                <w:szCs w:val="20"/>
                <w:lang w:val="en-US"/>
              </w:rPr>
            </w:pPr>
            <w:r w:rsidRPr="00207748">
              <w:rPr>
                <w:rFonts w:ascii="Cambria" w:hAnsi="Cambria" w:cs="Arial"/>
                <w:b/>
                <w:bCs/>
                <w:sz w:val="20"/>
                <w:szCs w:val="20"/>
                <w:lang w:val="en-US"/>
              </w:rPr>
              <w:t>Prof. F.M. Brunkhorst</w:t>
            </w:r>
            <w:r w:rsidRPr="00207748">
              <w:rPr>
                <w:rFonts w:ascii="Cambria" w:hAnsi="Cambria" w:cs="Arial"/>
                <w:sz w:val="20"/>
                <w:szCs w:val="20"/>
                <w:lang w:val="en-US"/>
              </w:rPr>
              <w:t>, Prof. H. Axer</w:t>
            </w:r>
          </w:p>
        </w:tc>
      </w:tr>
    </w:tbl>
    <w:p w14:paraId="00314EB0" w14:textId="77777777" w:rsidR="00264D62" w:rsidRPr="00207748" w:rsidRDefault="00264D62" w:rsidP="004454B6">
      <w:pPr>
        <w:widowControl w:val="0"/>
        <w:spacing w:after="0"/>
        <w:rPr>
          <w:rFonts w:ascii="Cambria" w:eastAsia="Arial" w:hAnsi="Cambria" w:cs="Arial"/>
          <w:b/>
          <w:bCs/>
          <w:sz w:val="20"/>
          <w:szCs w:val="20"/>
          <w:lang w:val="en-US"/>
        </w:rPr>
      </w:pPr>
    </w:p>
    <w:p w14:paraId="7EA4764C" w14:textId="77777777" w:rsidR="00264D62" w:rsidRPr="00207748" w:rsidRDefault="00264D62" w:rsidP="004454B6">
      <w:pPr>
        <w:rPr>
          <w:rFonts w:ascii="Cambria" w:hAnsi="Cambria" w:cs="Arial"/>
          <w:sz w:val="20"/>
          <w:szCs w:val="20"/>
          <w:u w:val="single"/>
        </w:rPr>
      </w:pPr>
      <w:r w:rsidRPr="00207748">
        <w:rPr>
          <w:rFonts w:ascii="Cambria" w:hAnsi="Cambria" w:cs="Arial"/>
          <w:sz w:val="20"/>
          <w:szCs w:val="20"/>
          <w:u w:val="single"/>
        </w:rPr>
        <w:t>Weitere Mitwirkende:</w:t>
      </w:r>
    </w:p>
    <w:p w14:paraId="065B42F1" w14:textId="042482C2" w:rsidR="00264D62" w:rsidRPr="00207748" w:rsidRDefault="008027E6" w:rsidP="004454B6">
      <w:pPr>
        <w:rPr>
          <w:rFonts w:ascii="Cambria" w:hAnsi="Cambria" w:cs="Arial"/>
          <w:sz w:val="20"/>
          <w:szCs w:val="20"/>
        </w:rPr>
      </w:pPr>
      <w:r w:rsidRPr="00207748">
        <w:rPr>
          <w:rFonts w:ascii="Cambria" w:hAnsi="Cambria" w:cs="Arial"/>
          <w:sz w:val="20"/>
          <w:szCs w:val="20"/>
        </w:rPr>
        <w:t>Methodik</w:t>
      </w:r>
      <w:r w:rsidR="003B1537" w:rsidRPr="00207748">
        <w:rPr>
          <w:rFonts w:ascii="Cambria" w:hAnsi="Cambria" w:cs="Arial"/>
          <w:sz w:val="20"/>
          <w:szCs w:val="20"/>
        </w:rPr>
        <w:t>, Recherche</w:t>
      </w:r>
      <w:r w:rsidRPr="00207748">
        <w:rPr>
          <w:rFonts w:ascii="Cambria" w:hAnsi="Cambria" w:cs="Arial"/>
          <w:sz w:val="20"/>
          <w:szCs w:val="20"/>
        </w:rPr>
        <w:t xml:space="preserve"> und Evidenz: </w:t>
      </w:r>
      <w:r w:rsidR="00264D62" w:rsidRPr="00207748">
        <w:rPr>
          <w:rFonts w:ascii="Cambria" w:hAnsi="Cambria" w:cs="Arial"/>
          <w:sz w:val="20"/>
          <w:szCs w:val="20"/>
        </w:rPr>
        <w:t xml:space="preserve">Cand. med. Nico </w:t>
      </w:r>
      <w:r w:rsidR="004454B6" w:rsidRPr="00207748">
        <w:rPr>
          <w:rFonts w:ascii="Cambria" w:hAnsi="Cambria" w:cs="Arial"/>
          <w:sz w:val="20"/>
          <w:szCs w:val="20"/>
        </w:rPr>
        <w:t>Gagelmann</w:t>
      </w:r>
    </w:p>
    <w:p w14:paraId="7623C6AD" w14:textId="77777777" w:rsidR="00264D62" w:rsidRPr="00207748" w:rsidRDefault="008027E6" w:rsidP="004454B6">
      <w:pPr>
        <w:rPr>
          <w:rFonts w:ascii="Cambria" w:hAnsi="Cambria" w:cs="Arial"/>
          <w:sz w:val="20"/>
          <w:szCs w:val="20"/>
        </w:rPr>
      </w:pPr>
      <w:r w:rsidRPr="00207748">
        <w:rPr>
          <w:rFonts w:ascii="Cambria" w:hAnsi="Cambria" w:cs="Arial"/>
          <w:sz w:val="20"/>
          <w:szCs w:val="20"/>
        </w:rPr>
        <w:t xml:space="preserve">Prozessbegleitung: </w:t>
      </w:r>
      <w:r w:rsidR="00264D62" w:rsidRPr="00207748">
        <w:rPr>
          <w:rFonts w:ascii="Cambria" w:hAnsi="Cambria" w:cs="Arial"/>
          <w:sz w:val="20"/>
          <w:szCs w:val="20"/>
        </w:rPr>
        <w:t>Dr. rer. medic. Susanne Blödt, Dr. med. Monika Nothacker (AWMF)</w:t>
      </w:r>
    </w:p>
    <w:p w14:paraId="5589E4B7" w14:textId="4B230681" w:rsidR="008962B5" w:rsidRPr="00207748" w:rsidRDefault="008027E6" w:rsidP="004454B6">
      <w:pPr>
        <w:rPr>
          <w:rFonts w:ascii="Cambria" w:hAnsi="Cambria" w:cs="Arial"/>
          <w:sz w:val="20"/>
          <w:szCs w:val="20"/>
        </w:rPr>
      </w:pPr>
      <w:r w:rsidRPr="00207748">
        <w:rPr>
          <w:rFonts w:ascii="Cambria" w:hAnsi="Cambria" w:cs="Arial"/>
          <w:sz w:val="20"/>
          <w:szCs w:val="20"/>
        </w:rPr>
        <w:t xml:space="preserve">Leitliniensekretariat: </w:t>
      </w:r>
      <w:r w:rsidR="00264D62" w:rsidRPr="00207748">
        <w:rPr>
          <w:rFonts w:ascii="Cambria" w:hAnsi="Cambria" w:cs="Arial"/>
          <w:sz w:val="20"/>
          <w:szCs w:val="20"/>
        </w:rPr>
        <w:t xml:space="preserve">Dr. rer. nat. Tabitha Heller, Dr. </w:t>
      </w:r>
      <w:r w:rsidR="004454B6" w:rsidRPr="00207748">
        <w:rPr>
          <w:rFonts w:ascii="Cambria" w:hAnsi="Cambria" w:cs="Arial"/>
          <w:sz w:val="20"/>
          <w:szCs w:val="20"/>
        </w:rPr>
        <w:t>rer. medic. Wibke Wetzker</w:t>
      </w:r>
      <w:r w:rsidR="008962B5" w:rsidRPr="00207748">
        <w:rPr>
          <w:rFonts w:ascii="Cambria" w:hAnsi="Cambria" w:cs="Arial"/>
          <w:sz w:val="20"/>
          <w:szCs w:val="20"/>
        </w:rPr>
        <w:br w:type="page"/>
      </w:r>
    </w:p>
    <w:bookmarkStart w:id="1" w:name="_Toc25846921" w:displacedByCustomXml="next"/>
    <w:bookmarkEnd w:id="1" w:displacedByCustomXml="next"/>
    <w:bookmarkStart w:id="2" w:name="_Toc25845042" w:displacedByCustomXml="next"/>
    <w:bookmarkEnd w:id="2" w:displacedByCustomXml="next"/>
    <w:bookmarkStart w:id="3" w:name="_Toc25416250" w:displacedByCustomXml="next"/>
    <w:bookmarkEnd w:id="3" w:displacedByCustomXml="next"/>
    <w:bookmarkStart w:id="4" w:name="_Toc25416361" w:displacedByCustomXml="next"/>
    <w:bookmarkEnd w:id="4" w:displacedByCustomXml="next"/>
    <w:bookmarkStart w:id="5" w:name="_Toc25416478" w:displacedByCustomXml="next"/>
    <w:bookmarkEnd w:id="5" w:displacedByCustomXml="next"/>
    <w:bookmarkStart w:id="6" w:name="_Toc25416589" w:displacedByCustomXml="next"/>
    <w:bookmarkEnd w:id="6" w:displacedByCustomXml="next"/>
    <w:bookmarkStart w:id="7" w:name="_Toc25416251" w:displacedByCustomXml="next"/>
    <w:bookmarkEnd w:id="7" w:displacedByCustomXml="next"/>
    <w:bookmarkStart w:id="8" w:name="_Toc25416362" w:displacedByCustomXml="next"/>
    <w:bookmarkEnd w:id="8" w:displacedByCustomXml="next"/>
    <w:bookmarkStart w:id="9" w:name="_Toc25416479" w:displacedByCustomXml="next"/>
    <w:bookmarkEnd w:id="9" w:displacedByCustomXml="next"/>
    <w:bookmarkStart w:id="10" w:name="_Toc25416590" w:displacedByCustomXml="next"/>
    <w:bookmarkEnd w:id="10" w:displacedByCustomXml="next"/>
    <w:bookmarkStart w:id="11" w:name="_Toc25845043" w:displacedByCustomXml="next"/>
    <w:sdt>
      <w:sdtPr>
        <w:rPr>
          <w:rFonts w:ascii="Calibri" w:eastAsia="Calibri" w:hAnsi="Calibri" w:cs="Calibri"/>
          <w:b w:val="0"/>
          <w:bCs w:val="0"/>
          <w:color w:val="000000"/>
          <w:sz w:val="24"/>
          <w:szCs w:val="24"/>
          <w:u w:color="000000"/>
          <w14:textOutline w14:w="0" w14:cap="flat" w14:cmpd="sng" w14:algn="ctr">
            <w14:noFill/>
            <w14:prstDash w14:val="solid"/>
            <w14:bevel/>
          </w14:textOutline>
        </w:rPr>
        <w:id w:val="-989020996"/>
        <w:docPartObj>
          <w:docPartGallery w:val="Table of Contents"/>
          <w:docPartUnique/>
        </w:docPartObj>
      </w:sdtPr>
      <w:sdtEndPr>
        <w:rPr>
          <w:sz w:val="20"/>
          <w:szCs w:val="20"/>
        </w:rPr>
      </w:sdtEndPr>
      <w:sdtContent>
        <w:sdt>
          <w:sdtPr>
            <w:rPr>
              <w:rFonts w:ascii="Calibri" w:eastAsia="Calibri" w:hAnsi="Calibri" w:cs="Calibri"/>
              <w:b w:val="0"/>
              <w:bCs w:val="0"/>
              <w:color w:val="000000"/>
              <w:sz w:val="24"/>
              <w:szCs w:val="24"/>
              <w:u w:color="000000"/>
              <w14:textOutline w14:w="0" w14:cap="flat" w14:cmpd="sng" w14:algn="ctr">
                <w14:noFill/>
                <w14:prstDash w14:val="solid"/>
                <w14:bevel/>
              </w14:textOutline>
            </w:rPr>
            <w:id w:val="-555778823"/>
            <w:docPartObj>
              <w:docPartGallery w:val="Table of Contents"/>
              <w:docPartUnique/>
            </w:docPartObj>
          </w:sdtPr>
          <w:sdtEndPr>
            <w:rPr>
              <w14:textOutline w14:w="0" w14:cap="rnd" w14:cmpd="sng" w14:algn="ctr">
                <w14:noFill/>
                <w14:prstDash w14:val="solid"/>
                <w14:bevel/>
              </w14:textOutline>
            </w:rPr>
          </w:sdtEndPr>
          <w:sdtContent>
            <w:p w14:paraId="261822B7" w14:textId="77777777" w:rsidR="00691AFD" w:rsidRPr="00537477" w:rsidRDefault="00691AFD" w:rsidP="004454B6">
              <w:pPr>
                <w:pStyle w:val="Inhaltsverzeichnisberschrift"/>
                <w:rPr>
                  <w:sz w:val="24"/>
                  <w:szCs w:val="24"/>
                </w:rPr>
              </w:pPr>
              <w:r w:rsidRPr="00537477">
                <w:rPr>
                  <w:sz w:val="24"/>
                  <w:szCs w:val="24"/>
                </w:rPr>
                <w:t>Inhalt</w:t>
              </w:r>
            </w:p>
            <w:p w14:paraId="2468F873" w14:textId="77777777" w:rsidR="00691AFD" w:rsidRPr="00537477" w:rsidRDefault="00CC0421">
              <w:pPr>
                <w:pStyle w:val="Verzeichnis1"/>
                <w:rPr>
                  <w:rFonts w:ascii="Cambria" w:hAnsi="Cambria"/>
                  <w:sz w:val="24"/>
                  <w:szCs w:val="24"/>
                </w:rPr>
              </w:pPr>
            </w:p>
          </w:sdtContent>
        </w:sdt>
        <w:p w14:paraId="2A83F30D" w14:textId="1DF910B5" w:rsidR="00537477" w:rsidRPr="00537477" w:rsidRDefault="00691AFD">
          <w:pPr>
            <w:pStyle w:val="Verzeichnis1"/>
            <w:rPr>
              <w:rFonts w:ascii="Cambria" w:eastAsiaTheme="minorEastAsia" w:hAnsi="Cambria" w:cstheme="minorBidi"/>
              <w:noProof/>
              <w:color w:val="auto"/>
              <w:sz w:val="24"/>
              <w:szCs w:val="24"/>
              <w:bdr w:val="none" w:sz="0" w:space="0" w:color="auto"/>
            </w:rPr>
          </w:pPr>
          <w:r w:rsidRPr="00537477">
            <w:rPr>
              <w:rFonts w:ascii="Cambria" w:hAnsi="Cambria"/>
              <w:sz w:val="24"/>
              <w:szCs w:val="24"/>
            </w:rPr>
            <w:fldChar w:fldCharType="begin"/>
          </w:r>
          <w:r w:rsidRPr="00537477">
            <w:rPr>
              <w:rFonts w:ascii="Cambria" w:hAnsi="Cambria"/>
              <w:sz w:val="24"/>
              <w:szCs w:val="24"/>
            </w:rPr>
            <w:instrText xml:space="preserve"> TOC \o "1-3" \h \z \u </w:instrText>
          </w:r>
          <w:r w:rsidRPr="00537477">
            <w:rPr>
              <w:rFonts w:ascii="Cambria" w:hAnsi="Cambria"/>
              <w:sz w:val="24"/>
              <w:szCs w:val="24"/>
            </w:rPr>
            <w:fldChar w:fldCharType="separate"/>
          </w:r>
          <w:hyperlink w:anchor="_Toc31278488" w:history="1">
            <w:r w:rsidR="00537477" w:rsidRPr="00537477">
              <w:rPr>
                <w:rStyle w:val="Hyperlink"/>
                <w:rFonts w:ascii="Cambria" w:hAnsi="Cambria"/>
                <w:noProof/>
                <w:sz w:val="24"/>
                <w:szCs w:val="24"/>
              </w:rPr>
              <w:t>Abkürzungen</w:t>
            </w:r>
            <w:r w:rsidR="00537477" w:rsidRPr="00537477">
              <w:rPr>
                <w:rFonts w:ascii="Cambria" w:hAnsi="Cambria"/>
                <w:noProof/>
                <w:webHidden/>
                <w:sz w:val="24"/>
                <w:szCs w:val="24"/>
              </w:rPr>
              <w:tab/>
            </w:r>
            <w:r w:rsidR="00537477" w:rsidRPr="00537477">
              <w:rPr>
                <w:rFonts w:ascii="Cambria" w:hAnsi="Cambria"/>
                <w:noProof/>
                <w:webHidden/>
                <w:sz w:val="24"/>
                <w:szCs w:val="24"/>
              </w:rPr>
              <w:fldChar w:fldCharType="begin"/>
            </w:r>
            <w:r w:rsidR="00537477" w:rsidRPr="00537477">
              <w:rPr>
                <w:rFonts w:ascii="Cambria" w:hAnsi="Cambria"/>
                <w:noProof/>
                <w:webHidden/>
                <w:sz w:val="24"/>
                <w:szCs w:val="24"/>
              </w:rPr>
              <w:instrText xml:space="preserve"> PAGEREF _Toc31278488 \h </w:instrText>
            </w:r>
            <w:r w:rsidR="00537477" w:rsidRPr="00537477">
              <w:rPr>
                <w:rFonts w:ascii="Cambria" w:hAnsi="Cambria"/>
                <w:noProof/>
                <w:webHidden/>
                <w:sz w:val="24"/>
                <w:szCs w:val="24"/>
              </w:rPr>
            </w:r>
            <w:r w:rsidR="00537477" w:rsidRPr="00537477">
              <w:rPr>
                <w:rFonts w:ascii="Cambria" w:hAnsi="Cambria"/>
                <w:noProof/>
                <w:webHidden/>
                <w:sz w:val="24"/>
                <w:szCs w:val="24"/>
              </w:rPr>
              <w:fldChar w:fldCharType="separate"/>
            </w:r>
            <w:r w:rsidR="00537477" w:rsidRPr="00537477">
              <w:rPr>
                <w:rFonts w:ascii="Cambria" w:hAnsi="Cambria"/>
                <w:noProof/>
                <w:webHidden/>
                <w:sz w:val="24"/>
                <w:szCs w:val="24"/>
              </w:rPr>
              <w:t>7</w:t>
            </w:r>
            <w:r w:rsidR="00537477" w:rsidRPr="00537477">
              <w:rPr>
                <w:rFonts w:ascii="Cambria" w:hAnsi="Cambria"/>
                <w:noProof/>
                <w:webHidden/>
                <w:sz w:val="24"/>
                <w:szCs w:val="24"/>
              </w:rPr>
              <w:fldChar w:fldCharType="end"/>
            </w:r>
          </w:hyperlink>
        </w:p>
        <w:p w14:paraId="23100A46" w14:textId="5892B5C1" w:rsidR="00537477" w:rsidRPr="00537477" w:rsidRDefault="00CC0421">
          <w:pPr>
            <w:pStyle w:val="Verzeichnis1"/>
            <w:rPr>
              <w:rFonts w:ascii="Cambria" w:eastAsiaTheme="minorEastAsia" w:hAnsi="Cambria" w:cstheme="minorBidi"/>
              <w:noProof/>
              <w:color w:val="auto"/>
              <w:sz w:val="24"/>
              <w:szCs w:val="24"/>
              <w:bdr w:val="none" w:sz="0" w:space="0" w:color="auto"/>
            </w:rPr>
          </w:pPr>
          <w:hyperlink w:anchor="_Toc31278489" w:history="1">
            <w:r w:rsidR="00537477" w:rsidRPr="00537477">
              <w:rPr>
                <w:rStyle w:val="Hyperlink"/>
                <w:rFonts w:ascii="Cambria" w:hAnsi="Cambria"/>
                <w:noProof/>
                <w:sz w:val="24"/>
                <w:szCs w:val="24"/>
              </w:rPr>
              <w:t>1.</w:t>
            </w:r>
            <w:r w:rsidR="00537477" w:rsidRPr="00537477">
              <w:rPr>
                <w:rFonts w:ascii="Cambria" w:eastAsiaTheme="minorEastAsia" w:hAnsi="Cambria" w:cstheme="minorBidi"/>
                <w:noProof/>
                <w:color w:val="auto"/>
                <w:sz w:val="24"/>
                <w:szCs w:val="24"/>
                <w:bdr w:val="none" w:sz="0" w:space="0" w:color="auto"/>
              </w:rPr>
              <w:tab/>
            </w:r>
            <w:r w:rsidR="00537477" w:rsidRPr="00537477">
              <w:rPr>
                <w:rStyle w:val="Hyperlink"/>
                <w:rFonts w:ascii="Cambria" w:hAnsi="Cambria"/>
                <w:noProof/>
                <w:sz w:val="24"/>
                <w:szCs w:val="24"/>
              </w:rPr>
              <w:t>Einleitung</w:t>
            </w:r>
            <w:r w:rsidR="00537477" w:rsidRPr="00537477">
              <w:rPr>
                <w:rFonts w:ascii="Cambria" w:hAnsi="Cambria"/>
                <w:noProof/>
                <w:webHidden/>
                <w:sz w:val="24"/>
                <w:szCs w:val="24"/>
              </w:rPr>
              <w:tab/>
            </w:r>
            <w:r w:rsidR="00537477" w:rsidRPr="00537477">
              <w:rPr>
                <w:rFonts w:ascii="Cambria" w:hAnsi="Cambria"/>
                <w:noProof/>
                <w:webHidden/>
                <w:sz w:val="24"/>
                <w:szCs w:val="24"/>
              </w:rPr>
              <w:fldChar w:fldCharType="begin"/>
            </w:r>
            <w:r w:rsidR="00537477" w:rsidRPr="00537477">
              <w:rPr>
                <w:rFonts w:ascii="Cambria" w:hAnsi="Cambria"/>
                <w:noProof/>
                <w:webHidden/>
                <w:sz w:val="24"/>
                <w:szCs w:val="24"/>
              </w:rPr>
              <w:instrText xml:space="preserve"> PAGEREF _Toc31278489 \h </w:instrText>
            </w:r>
            <w:r w:rsidR="00537477" w:rsidRPr="00537477">
              <w:rPr>
                <w:rFonts w:ascii="Cambria" w:hAnsi="Cambria"/>
                <w:noProof/>
                <w:webHidden/>
                <w:sz w:val="24"/>
                <w:szCs w:val="24"/>
              </w:rPr>
            </w:r>
            <w:r w:rsidR="00537477" w:rsidRPr="00537477">
              <w:rPr>
                <w:rFonts w:ascii="Cambria" w:hAnsi="Cambria"/>
                <w:noProof/>
                <w:webHidden/>
                <w:sz w:val="24"/>
                <w:szCs w:val="24"/>
              </w:rPr>
              <w:fldChar w:fldCharType="separate"/>
            </w:r>
            <w:r w:rsidR="00537477" w:rsidRPr="00537477">
              <w:rPr>
                <w:rFonts w:ascii="Cambria" w:hAnsi="Cambria"/>
                <w:noProof/>
                <w:webHidden/>
                <w:sz w:val="24"/>
                <w:szCs w:val="24"/>
              </w:rPr>
              <w:t>9</w:t>
            </w:r>
            <w:r w:rsidR="00537477" w:rsidRPr="00537477">
              <w:rPr>
                <w:rFonts w:ascii="Cambria" w:hAnsi="Cambria"/>
                <w:noProof/>
                <w:webHidden/>
                <w:sz w:val="24"/>
                <w:szCs w:val="24"/>
              </w:rPr>
              <w:fldChar w:fldCharType="end"/>
            </w:r>
          </w:hyperlink>
        </w:p>
        <w:p w14:paraId="3966DD05" w14:textId="2ED9323F" w:rsidR="00537477" w:rsidRPr="00537477" w:rsidRDefault="00CC0421">
          <w:pPr>
            <w:pStyle w:val="Verzeichnis1"/>
            <w:rPr>
              <w:rFonts w:ascii="Cambria" w:eastAsiaTheme="minorEastAsia" w:hAnsi="Cambria" w:cstheme="minorBidi"/>
              <w:noProof/>
              <w:color w:val="auto"/>
              <w:sz w:val="24"/>
              <w:szCs w:val="24"/>
              <w:bdr w:val="none" w:sz="0" w:space="0" w:color="auto"/>
            </w:rPr>
          </w:pPr>
          <w:hyperlink w:anchor="_Toc31278490" w:history="1">
            <w:r w:rsidR="00537477" w:rsidRPr="00537477">
              <w:rPr>
                <w:rStyle w:val="Hyperlink"/>
                <w:rFonts w:ascii="Cambria" w:hAnsi="Cambria"/>
                <w:noProof/>
                <w:sz w:val="24"/>
                <w:szCs w:val="24"/>
                <w:u w:color="4F81BD"/>
              </w:rPr>
              <w:t>2.</w:t>
            </w:r>
            <w:r w:rsidR="00537477" w:rsidRPr="00537477">
              <w:rPr>
                <w:rFonts w:ascii="Cambria" w:eastAsiaTheme="minorEastAsia" w:hAnsi="Cambria" w:cstheme="minorBidi"/>
                <w:noProof/>
                <w:color w:val="auto"/>
                <w:sz w:val="24"/>
                <w:szCs w:val="24"/>
                <w:bdr w:val="none" w:sz="0" w:space="0" w:color="auto"/>
              </w:rPr>
              <w:tab/>
            </w:r>
            <w:r w:rsidR="00537477" w:rsidRPr="00537477">
              <w:rPr>
                <w:rStyle w:val="Hyperlink"/>
                <w:rFonts w:ascii="Cambria" w:hAnsi="Cambria"/>
                <w:noProof/>
                <w:sz w:val="24"/>
                <w:szCs w:val="24"/>
                <w:u w:color="4F81BD"/>
              </w:rPr>
              <w:t>Definition der Sepsis</w:t>
            </w:r>
            <w:r w:rsidR="00537477" w:rsidRPr="00537477">
              <w:rPr>
                <w:rFonts w:ascii="Cambria" w:hAnsi="Cambria"/>
                <w:noProof/>
                <w:webHidden/>
                <w:sz w:val="24"/>
                <w:szCs w:val="24"/>
              </w:rPr>
              <w:tab/>
            </w:r>
            <w:r w:rsidR="00537477" w:rsidRPr="00537477">
              <w:rPr>
                <w:rFonts w:ascii="Cambria" w:hAnsi="Cambria"/>
                <w:noProof/>
                <w:webHidden/>
                <w:sz w:val="24"/>
                <w:szCs w:val="24"/>
              </w:rPr>
              <w:fldChar w:fldCharType="begin"/>
            </w:r>
            <w:r w:rsidR="00537477" w:rsidRPr="00537477">
              <w:rPr>
                <w:rFonts w:ascii="Cambria" w:hAnsi="Cambria"/>
                <w:noProof/>
                <w:webHidden/>
                <w:sz w:val="24"/>
                <w:szCs w:val="24"/>
              </w:rPr>
              <w:instrText xml:space="preserve"> PAGEREF _Toc31278490 \h </w:instrText>
            </w:r>
            <w:r w:rsidR="00537477" w:rsidRPr="00537477">
              <w:rPr>
                <w:rFonts w:ascii="Cambria" w:hAnsi="Cambria"/>
                <w:noProof/>
                <w:webHidden/>
                <w:sz w:val="24"/>
                <w:szCs w:val="24"/>
              </w:rPr>
            </w:r>
            <w:r w:rsidR="00537477" w:rsidRPr="00537477">
              <w:rPr>
                <w:rFonts w:ascii="Cambria" w:hAnsi="Cambria"/>
                <w:noProof/>
                <w:webHidden/>
                <w:sz w:val="24"/>
                <w:szCs w:val="24"/>
              </w:rPr>
              <w:fldChar w:fldCharType="separate"/>
            </w:r>
            <w:r w:rsidR="00537477" w:rsidRPr="00537477">
              <w:rPr>
                <w:rFonts w:ascii="Cambria" w:hAnsi="Cambria"/>
                <w:noProof/>
                <w:webHidden/>
                <w:sz w:val="24"/>
                <w:szCs w:val="24"/>
              </w:rPr>
              <w:t>9</w:t>
            </w:r>
            <w:r w:rsidR="00537477" w:rsidRPr="00537477">
              <w:rPr>
                <w:rFonts w:ascii="Cambria" w:hAnsi="Cambria"/>
                <w:noProof/>
                <w:webHidden/>
                <w:sz w:val="24"/>
                <w:szCs w:val="24"/>
              </w:rPr>
              <w:fldChar w:fldCharType="end"/>
            </w:r>
          </w:hyperlink>
        </w:p>
        <w:p w14:paraId="3A39EE7F" w14:textId="2EDEA429" w:rsidR="00537477" w:rsidRPr="00537477" w:rsidRDefault="00CC0421">
          <w:pPr>
            <w:pStyle w:val="Verzeichnis1"/>
            <w:rPr>
              <w:rFonts w:ascii="Cambria" w:eastAsiaTheme="minorEastAsia" w:hAnsi="Cambria" w:cstheme="minorBidi"/>
              <w:noProof/>
              <w:color w:val="auto"/>
              <w:sz w:val="24"/>
              <w:szCs w:val="24"/>
              <w:bdr w:val="none" w:sz="0" w:space="0" w:color="auto"/>
            </w:rPr>
          </w:pPr>
          <w:hyperlink w:anchor="_Toc31278491" w:history="1">
            <w:r w:rsidR="00537477" w:rsidRPr="00537477">
              <w:rPr>
                <w:rStyle w:val="Hyperlink"/>
                <w:rFonts w:ascii="Cambria" w:hAnsi="Cambria"/>
                <w:noProof/>
                <w:sz w:val="24"/>
                <w:szCs w:val="24"/>
              </w:rPr>
              <w:t>3.</w:t>
            </w:r>
            <w:r w:rsidR="00537477" w:rsidRPr="00537477">
              <w:rPr>
                <w:rFonts w:ascii="Cambria" w:eastAsiaTheme="minorEastAsia" w:hAnsi="Cambria" w:cstheme="minorBidi"/>
                <w:noProof/>
                <w:color w:val="auto"/>
                <w:sz w:val="24"/>
                <w:szCs w:val="24"/>
                <w:bdr w:val="none" w:sz="0" w:space="0" w:color="auto"/>
              </w:rPr>
              <w:tab/>
            </w:r>
            <w:r w:rsidR="00537477" w:rsidRPr="00537477">
              <w:rPr>
                <w:rStyle w:val="Hyperlink"/>
                <w:rFonts w:ascii="Cambria" w:hAnsi="Cambria"/>
                <w:noProof/>
                <w:sz w:val="24"/>
                <w:szCs w:val="24"/>
              </w:rPr>
              <w:t>Empfehlungen</w:t>
            </w:r>
            <w:r w:rsidR="00537477" w:rsidRPr="00537477">
              <w:rPr>
                <w:rFonts w:ascii="Cambria" w:hAnsi="Cambria"/>
                <w:noProof/>
                <w:webHidden/>
                <w:sz w:val="24"/>
                <w:szCs w:val="24"/>
              </w:rPr>
              <w:tab/>
            </w:r>
            <w:r w:rsidR="00537477" w:rsidRPr="00537477">
              <w:rPr>
                <w:rFonts w:ascii="Cambria" w:hAnsi="Cambria"/>
                <w:noProof/>
                <w:webHidden/>
                <w:sz w:val="24"/>
                <w:szCs w:val="24"/>
              </w:rPr>
              <w:fldChar w:fldCharType="begin"/>
            </w:r>
            <w:r w:rsidR="00537477" w:rsidRPr="00537477">
              <w:rPr>
                <w:rFonts w:ascii="Cambria" w:hAnsi="Cambria"/>
                <w:noProof/>
                <w:webHidden/>
                <w:sz w:val="24"/>
                <w:szCs w:val="24"/>
              </w:rPr>
              <w:instrText xml:space="preserve"> PAGEREF _Toc31278491 \h </w:instrText>
            </w:r>
            <w:r w:rsidR="00537477" w:rsidRPr="00537477">
              <w:rPr>
                <w:rFonts w:ascii="Cambria" w:hAnsi="Cambria"/>
                <w:noProof/>
                <w:webHidden/>
                <w:sz w:val="24"/>
                <w:szCs w:val="24"/>
              </w:rPr>
            </w:r>
            <w:r w:rsidR="00537477" w:rsidRPr="00537477">
              <w:rPr>
                <w:rFonts w:ascii="Cambria" w:hAnsi="Cambria"/>
                <w:noProof/>
                <w:webHidden/>
                <w:sz w:val="24"/>
                <w:szCs w:val="24"/>
              </w:rPr>
              <w:fldChar w:fldCharType="separate"/>
            </w:r>
            <w:r w:rsidR="00537477" w:rsidRPr="00537477">
              <w:rPr>
                <w:rFonts w:ascii="Cambria" w:hAnsi="Cambria"/>
                <w:noProof/>
                <w:webHidden/>
                <w:sz w:val="24"/>
                <w:szCs w:val="24"/>
              </w:rPr>
              <w:t>11</w:t>
            </w:r>
            <w:r w:rsidR="00537477" w:rsidRPr="00537477">
              <w:rPr>
                <w:rFonts w:ascii="Cambria" w:hAnsi="Cambria"/>
                <w:noProof/>
                <w:webHidden/>
                <w:sz w:val="24"/>
                <w:szCs w:val="24"/>
              </w:rPr>
              <w:fldChar w:fldCharType="end"/>
            </w:r>
          </w:hyperlink>
        </w:p>
        <w:p w14:paraId="5B7F4445" w14:textId="7BDFFF7C" w:rsidR="00537477" w:rsidRPr="00537477" w:rsidRDefault="00CC0421">
          <w:pPr>
            <w:pStyle w:val="Verzeichnis2"/>
            <w:rPr>
              <w:rFonts w:ascii="Cambria" w:eastAsiaTheme="minorEastAsia" w:hAnsi="Cambria" w:cstheme="minorBidi"/>
              <w:noProof/>
              <w:color w:val="auto"/>
              <w:sz w:val="24"/>
              <w:szCs w:val="24"/>
              <w:bdr w:val="none" w:sz="0" w:space="0" w:color="auto"/>
            </w:rPr>
          </w:pPr>
          <w:hyperlink w:anchor="_Toc31278492" w:history="1">
            <w:r w:rsidR="00537477" w:rsidRPr="00537477">
              <w:rPr>
                <w:rStyle w:val="Hyperlink"/>
                <w:rFonts w:ascii="Cambria" w:hAnsi="Cambria"/>
                <w:noProof/>
                <w:sz w:val="24"/>
                <w:szCs w:val="24"/>
              </w:rPr>
              <w:t>Prävention der Sepsis</w:t>
            </w:r>
            <w:r w:rsidR="00537477" w:rsidRPr="00537477">
              <w:rPr>
                <w:rFonts w:ascii="Cambria" w:hAnsi="Cambria"/>
                <w:noProof/>
                <w:webHidden/>
                <w:sz w:val="24"/>
                <w:szCs w:val="24"/>
              </w:rPr>
              <w:tab/>
            </w:r>
            <w:r w:rsidR="00537477" w:rsidRPr="00537477">
              <w:rPr>
                <w:rFonts w:ascii="Cambria" w:hAnsi="Cambria"/>
                <w:noProof/>
                <w:webHidden/>
                <w:sz w:val="24"/>
                <w:szCs w:val="24"/>
              </w:rPr>
              <w:fldChar w:fldCharType="begin"/>
            </w:r>
            <w:r w:rsidR="00537477" w:rsidRPr="00537477">
              <w:rPr>
                <w:rFonts w:ascii="Cambria" w:hAnsi="Cambria"/>
                <w:noProof/>
                <w:webHidden/>
                <w:sz w:val="24"/>
                <w:szCs w:val="24"/>
              </w:rPr>
              <w:instrText xml:space="preserve"> PAGEREF _Toc31278492 \h </w:instrText>
            </w:r>
            <w:r w:rsidR="00537477" w:rsidRPr="00537477">
              <w:rPr>
                <w:rFonts w:ascii="Cambria" w:hAnsi="Cambria"/>
                <w:noProof/>
                <w:webHidden/>
                <w:sz w:val="24"/>
                <w:szCs w:val="24"/>
              </w:rPr>
            </w:r>
            <w:r w:rsidR="00537477" w:rsidRPr="00537477">
              <w:rPr>
                <w:rFonts w:ascii="Cambria" w:hAnsi="Cambria"/>
                <w:noProof/>
                <w:webHidden/>
                <w:sz w:val="24"/>
                <w:szCs w:val="24"/>
              </w:rPr>
              <w:fldChar w:fldCharType="separate"/>
            </w:r>
            <w:r w:rsidR="00537477" w:rsidRPr="00537477">
              <w:rPr>
                <w:rFonts w:ascii="Cambria" w:hAnsi="Cambria"/>
                <w:noProof/>
                <w:webHidden/>
                <w:sz w:val="24"/>
                <w:szCs w:val="24"/>
              </w:rPr>
              <w:t>11</w:t>
            </w:r>
            <w:r w:rsidR="00537477" w:rsidRPr="00537477">
              <w:rPr>
                <w:rFonts w:ascii="Cambria" w:hAnsi="Cambria"/>
                <w:noProof/>
                <w:webHidden/>
                <w:sz w:val="24"/>
                <w:szCs w:val="24"/>
              </w:rPr>
              <w:fldChar w:fldCharType="end"/>
            </w:r>
          </w:hyperlink>
        </w:p>
        <w:p w14:paraId="3C6AE581" w14:textId="553EB5BA" w:rsidR="00537477" w:rsidRPr="00537477" w:rsidRDefault="00CC0421">
          <w:pPr>
            <w:pStyle w:val="Verzeichnis2"/>
            <w:rPr>
              <w:rFonts w:ascii="Cambria" w:eastAsiaTheme="minorEastAsia" w:hAnsi="Cambria" w:cstheme="minorBidi"/>
              <w:noProof/>
              <w:color w:val="auto"/>
              <w:sz w:val="24"/>
              <w:szCs w:val="24"/>
              <w:bdr w:val="none" w:sz="0" w:space="0" w:color="auto"/>
            </w:rPr>
          </w:pPr>
          <w:hyperlink w:anchor="_Toc31278493" w:history="1">
            <w:r w:rsidR="00537477" w:rsidRPr="00537477">
              <w:rPr>
                <w:rStyle w:val="Hyperlink"/>
                <w:rFonts w:ascii="Cambria" w:hAnsi="Cambria"/>
                <w:noProof/>
                <w:sz w:val="24"/>
                <w:szCs w:val="24"/>
              </w:rPr>
              <w:t>Impfungen</w:t>
            </w:r>
            <w:r w:rsidR="00537477" w:rsidRPr="00537477">
              <w:rPr>
                <w:rFonts w:ascii="Cambria" w:hAnsi="Cambria"/>
                <w:noProof/>
                <w:webHidden/>
                <w:sz w:val="24"/>
                <w:szCs w:val="24"/>
              </w:rPr>
              <w:tab/>
            </w:r>
            <w:r w:rsidR="00537477" w:rsidRPr="00537477">
              <w:rPr>
                <w:rFonts w:ascii="Cambria" w:hAnsi="Cambria"/>
                <w:noProof/>
                <w:webHidden/>
                <w:sz w:val="24"/>
                <w:szCs w:val="24"/>
              </w:rPr>
              <w:fldChar w:fldCharType="begin"/>
            </w:r>
            <w:r w:rsidR="00537477" w:rsidRPr="00537477">
              <w:rPr>
                <w:rFonts w:ascii="Cambria" w:hAnsi="Cambria"/>
                <w:noProof/>
                <w:webHidden/>
                <w:sz w:val="24"/>
                <w:szCs w:val="24"/>
              </w:rPr>
              <w:instrText xml:space="preserve"> PAGEREF _Toc31278493 \h </w:instrText>
            </w:r>
            <w:r w:rsidR="00537477" w:rsidRPr="00537477">
              <w:rPr>
                <w:rFonts w:ascii="Cambria" w:hAnsi="Cambria"/>
                <w:noProof/>
                <w:webHidden/>
                <w:sz w:val="24"/>
                <w:szCs w:val="24"/>
              </w:rPr>
            </w:r>
            <w:r w:rsidR="00537477" w:rsidRPr="00537477">
              <w:rPr>
                <w:rFonts w:ascii="Cambria" w:hAnsi="Cambria"/>
                <w:noProof/>
                <w:webHidden/>
                <w:sz w:val="24"/>
                <w:szCs w:val="24"/>
              </w:rPr>
              <w:fldChar w:fldCharType="separate"/>
            </w:r>
            <w:r w:rsidR="00537477" w:rsidRPr="00537477">
              <w:rPr>
                <w:rFonts w:ascii="Cambria" w:hAnsi="Cambria"/>
                <w:noProof/>
                <w:webHidden/>
                <w:sz w:val="24"/>
                <w:szCs w:val="24"/>
              </w:rPr>
              <w:t>15</w:t>
            </w:r>
            <w:r w:rsidR="00537477" w:rsidRPr="00537477">
              <w:rPr>
                <w:rFonts w:ascii="Cambria" w:hAnsi="Cambria"/>
                <w:noProof/>
                <w:webHidden/>
                <w:sz w:val="24"/>
                <w:szCs w:val="24"/>
              </w:rPr>
              <w:fldChar w:fldCharType="end"/>
            </w:r>
          </w:hyperlink>
        </w:p>
        <w:p w14:paraId="6BF368EB" w14:textId="37A2F80E" w:rsidR="00537477" w:rsidRPr="00537477" w:rsidRDefault="00CC0421">
          <w:pPr>
            <w:pStyle w:val="Verzeichnis2"/>
            <w:rPr>
              <w:rFonts w:ascii="Cambria" w:eastAsiaTheme="minorEastAsia" w:hAnsi="Cambria" w:cstheme="minorBidi"/>
              <w:noProof/>
              <w:color w:val="auto"/>
              <w:sz w:val="24"/>
              <w:szCs w:val="24"/>
              <w:bdr w:val="none" w:sz="0" w:space="0" w:color="auto"/>
            </w:rPr>
          </w:pPr>
          <w:hyperlink w:anchor="_Toc31278494" w:history="1">
            <w:r w:rsidR="00537477" w:rsidRPr="00537477">
              <w:rPr>
                <w:rStyle w:val="Hyperlink"/>
                <w:rFonts w:ascii="Cambria" w:hAnsi="Cambria"/>
                <w:noProof/>
                <w:sz w:val="24"/>
                <w:szCs w:val="24"/>
              </w:rPr>
              <w:t>A. Initiale hämodynamische Stabilisierung</w:t>
            </w:r>
            <w:r w:rsidR="00537477" w:rsidRPr="00537477">
              <w:rPr>
                <w:rFonts w:ascii="Cambria" w:hAnsi="Cambria"/>
                <w:noProof/>
                <w:webHidden/>
                <w:sz w:val="24"/>
                <w:szCs w:val="24"/>
              </w:rPr>
              <w:tab/>
            </w:r>
            <w:r w:rsidR="00537477" w:rsidRPr="00537477">
              <w:rPr>
                <w:rFonts w:ascii="Cambria" w:hAnsi="Cambria"/>
                <w:noProof/>
                <w:webHidden/>
                <w:sz w:val="24"/>
                <w:szCs w:val="24"/>
              </w:rPr>
              <w:fldChar w:fldCharType="begin"/>
            </w:r>
            <w:r w:rsidR="00537477" w:rsidRPr="00537477">
              <w:rPr>
                <w:rFonts w:ascii="Cambria" w:hAnsi="Cambria"/>
                <w:noProof/>
                <w:webHidden/>
                <w:sz w:val="24"/>
                <w:szCs w:val="24"/>
              </w:rPr>
              <w:instrText xml:space="preserve"> PAGEREF _Toc31278494 \h </w:instrText>
            </w:r>
            <w:r w:rsidR="00537477" w:rsidRPr="00537477">
              <w:rPr>
                <w:rFonts w:ascii="Cambria" w:hAnsi="Cambria"/>
                <w:noProof/>
                <w:webHidden/>
                <w:sz w:val="24"/>
                <w:szCs w:val="24"/>
              </w:rPr>
            </w:r>
            <w:r w:rsidR="00537477" w:rsidRPr="00537477">
              <w:rPr>
                <w:rFonts w:ascii="Cambria" w:hAnsi="Cambria"/>
                <w:noProof/>
                <w:webHidden/>
                <w:sz w:val="24"/>
                <w:szCs w:val="24"/>
              </w:rPr>
              <w:fldChar w:fldCharType="separate"/>
            </w:r>
            <w:r w:rsidR="00537477" w:rsidRPr="00537477">
              <w:rPr>
                <w:rFonts w:ascii="Cambria" w:hAnsi="Cambria"/>
                <w:noProof/>
                <w:webHidden/>
                <w:sz w:val="24"/>
                <w:szCs w:val="24"/>
              </w:rPr>
              <w:t>16</w:t>
            </w:r>
            <w:r w:rsidR="00537477" w:rsidRPr="00537477">
              <w:rPr>
                <w:rFonts w:ascii="Cambria" w:hAnsi="Cambria"/>
                <w:noProof/>
                <w:webHidden/>
                <w:sz w:val="24"/>
                <w:szCs w:val="24"/>
              </w:rPr>
              <w:fldChar w:fldCharType="end"/>
            </w:r>
          </w:hyperlink>
        </w:p>
        <w:p w14:paraId="740CDE27" w14:textId="0C067AAC" w:rsidR="00537477" w:rsidRPr="00537477" w:rsidRDefault="00CC0421">
          <w:pPr>
            <w:pStyle w:val="Verzeichnis2"/>
            <w:rPr>
              <w:rFonts w:ascii="Cambria" w:eastAsiaTheme="minorEastAsia" w:hAnsi="Cambria" w:cstheme="minorBidi"/>
              <w:noProof/>
              <w:color w:val="auto"/>
              <w:sz w:val="24"/>
              <w:szCs w:val="24"/>
              <w:bdr w:val="none" w:sz="0" w:space="0" w:color="auto"/>
            </w:rPr>
          </w:pPr>
          <w:hyperlink w:anchor="_Toc31278495" w:history="1">
            <w:r w:rsidR="00537477" w:rsidRPr="00537477">
              <w:rPr>
                <w:rStyle w:val="Hyperlink"/>
                <w:rFonts w:ascii="Cambria" w:hAnsi="Cambria"/>
                <w:noProof/>
                <w:sz w:val="24"/>
                <w:szCs w:val="24"/>
              </w:rPr>
              <w:t>B. Leitlinienimplementierung</w:t>
            </w:r>
            <w:r w:rsidR="00537477" w:rsidRPr="00537477">
              <w:rPr>
                <w:rFonts w:ascii="Cambria" w:hAnsi="Cambria"/>
                <w:noProof/>
                <w:webHidden/>
                <w:sz w:val="24"/>
                <w:szCs w:val="24"/>
              </w:rPr>
              <w:tab/>
            </w:r>
            <w:r w:rsidR="00537477" w:rsidRPr="00537477">
              <w:rPr>
                <w:rFonts w:ascii="Cambria" w:hAnsi="Cambria"/>
                <w:noProof/>
                <w:webHidden/>
                <w:sz w:val="24"/>
                <w:szCs w:val="24"/>
              </w:rPr>
              <w:fldChar w:fldCharType="begin"/>
            </w:r>
            <w:r w:rsidR="00537477" w:rsidRPr="00537477">
              <w:rPr>
                <w:rFonts w:ascii="Cambria" w:hAnsi="Cambria"/>
                <w:noProof/>
                <w:webHidden/>
                <w:sz w:val="24"/>
                <w:szCs w:val="24"/>
              </w:rPr>
              <w:instrText xml:space="preserve"> PAGEREF _Toc31278495 \h </w:instrText>
            </w:r>
            <w:r w:rsidR="00537477" w:rsidRPr="00537477">
              <w:rPr>
                <w:rFonts w:ascii="Cambria" w:hAnsi="Cambria"/>
                <w:noProof/>
                <w:webHidden/>
                <w:sz w:val="24"/>
                <w:szCs w:val="24"/>
              </w:rPr>
            </w:r>
            <w:r w:rsidR="00537477" w:rsidRPr="00537477">
              <w:rPr>
                <w:rFonts w:ascii="Cambria" w:hAnsi="Cambria"/>
                <w:noProof/>
                <w:webHidden/>
                <w:sz w:val="24"/>
                <w:szCs w:val="24"/>
              </w:rPr>
              <w:fldChar w:fldCharType="separate"/>
            </w:r>
            <w:r w:rsidR="00537477" w:rsidRPr="00537477">
              <w:rPr>
                <w:rFonts w:ascii="Cambria" w:hAnsi="Cambria"/>
                <w:noProof/>
                <w:webHidden/>
                <w:sz w:val="24"/>
                <w:szCs w:val="24"/>
              </w:rPr>
              <w:t>22</w:t>
            </w:r>
            <w:r w:rsidR="00537477" w:rsidRPr="00537477">
              <w:rPr>
                <w:rFonts w:ascii="Cambria" w:hAnsi="Cambria"/>
                <w:noProof/>
                <w:webHidden/>
                <w:sz w:val="24"/>
                <w:szCs w:val="24"/>
              </w:rPr>
              <w:fldChar w:fldCharType="end"/>
            </w:r>
          </w:hyperlink>
        </w:p>
        <w:p w14:paraId="2CB375D4" w14:textId="0E194767" w:rsidR="00537477" w:rsidRPr="00537477" w:rsidRDefault="00CC0421">
          <w:pPr>
            <w:pStyle w:val="Verzeichnis2"/>
            <w:rPr>
              <w:rFonts w:ascii="Cambria" w:eastAsiaTheme="minorEastAsia" w:hAnsi="Cambria" w:cstheme="minorBidi"/>
              <w:noProof/>
              <w:color w:val="auto"/>
              <w:sz w:val="24"/>
              <w:szCs w:val="24"/>
              <w:bdr w:val="none" w:sz="0" w:space="0" w:color="auto"/>
            </w:rPr>
          </w:pPr>
          <w:hyperlink w:anchor="_Toc31278496" w:history="1">
            <w:r w:rsidR="00537477" w:rsidRPr="00537477">
              <w:rPr>
                <w:rStyle w:val="Hyperlink"/>
                <w:rFonts w:ascii="Cambria" w:hAnsi="Cambria"/>
                <w:noProof/>
                <w:sz w:val="24"/>
                <w:szCs w:val="24"/>
              </w:rPr>
              <w:t>C. Diagnose</w:t>
            </w:r>
            <w:r w:rsidR="00537477" w:rsidRPr="00537477">
              <w:rPr>
                <w:rFonts w:ascii="Cambria" w:hAnsi="Cambria"/>
                <w:noProof/>
                <w:webHidden/>
                <w:sz w:val="24"/>
                <w:szCs w:val="24"/>
              </w:rPr>
              <w:tab/>
            </w:r>
            <w:r w:rsidR="00537477" w:rsidRPr="00537477">
              <w:rPr>
                <w:rFonts w:ascii="Cambria" w:hAnsi="Cambria"/>
                <w:noProof/>
                <w:webHidden/>
                <w:sz w:val="24"/>
                <w:szCs w:val="24"/>
              </w:rPr>
              <w:fldChar w:fldCharType="begin"/>
            </w:r>
            <w:r w:rsidR="00537477" w:rsidRPr="00537477">
              <w:rPr>
                <w:rFonts w:ascii="Cambria" w:hAnsi="Cambria"/>
                <w:noProof/>
                <w:webHidden/>
                <w:sz w:val="24"/>
                <w:szCs w:val="24"/>
              </w:rPr>
              <w:instrText xml:space="preserve"> PAGEREF _Toc31278496 \h </w:instrText>
            </w:r>
            <w:r w:rsidR="00537477" w:rsidRPr="00537477">
              <w:rPr>
                <w:rFonts w:ascii="Cambria" w:hAnsi="Cambria"/>
                <w:noProof/>
                <w:webHidden/>
                <w:sz w:val="24"/>
                <w:szCs w:val="24"/>
              </w:rPr>
            </w:r>
            <w:r w:rsidR="00537477" w:rsidRPr="00537477">
              <w:rPr>
                <w:rFonts w:ascii="Cambria" w:hAnsi="Cambria"/>
                <w:noProof/>
                <w:webHidden/>
                <w:sz w:val="24"/>
                <w:szCs w:val="24"/>
              </w:rPr>
              <w:fldChar w:fldCharType="separate"/>
            </w:r>
            <w:r w:rsidR="00537477" w:rsidRPr="00537477">
              <w:rPr>
                <w:rFonts w:ascii="Cambria" w:hAnsi="Cambria"/>
                <w:noProof/>
                <w:webHidden/>
                <w:sz w:val="24"/>
                <w:szCs w:val="24"/>
              </w:rPr>
              <w:t>24</w:t>
            </w:r>
            <w:r w:rsidR="00537477" w:rsidRPr="00537477">
              <w:rPr>
                <w:rFonts w:ascii="Cambria" w:hAnsi="Cambria"/>
                <w:noProof/>
                <w:webHidden/>
                <w:sz w:val="24"/>
                <w:szCs w:val="24"/>
              </w:rPr>
              <w:fldChar w:fldCharType="end"/>
            </w:r>
          </w:hyperlink>
        </w:p>
        <w:p w14:paraId="7BBC2300" w14:textId="1B3DBA04" w:rsidR="00537477" w:rsidRPr="00537477" w:rsidRDefault="00CC0421">
          <w:pPr>
            <w:pStyle w:val="Verzeichnis2"/>
            <w:rPr>
              <w:rFonts w:ascii="Cambria" w:eastAsiaTheme="minorEastAsia" w:hAnsi="Cambria" w:cstheme="minorBidi"/>
              <w:noProof/>
              <w:color w:val="auto"/>
              <w:sz w:val="24"/>
              <w:szCs w:val="24"/>
              <w:bdr w:val="none" w:sz="0" w:space="0" w:color="auto"/>
            </w:rPr>
          </w:pPr>
          <w:hyperlink w:anchor="_Toc31278497" w:history="1">
            <w:r w:rsidR="00537477" w:rsidRPr="00537477">
              <w:rPr>
                <w:rStyle w:val="Hyperlink"/>
                <w:rFonts w:ascii="Cambria" w:hAnsi="Cambria"/>
                <w:noProof/>
                <w:sz w:val="24"/>
                <w:szCs w:val="24"/>
              </w:rPr>
              <w:t>D. Antimikrobielle Therapie</w:t>
            </w:r>
            <w:r w:rsidR="00537477" w:rsidRPr="00537477">
              <w:rPr>
                <w:rFonts w:ascii="Cambria" w:hAnsi="Cambria"/>
                <w:noProof/>
                <w:webHidden/>
                <w:sz w:val="24"/>
                <w:szCs w:val="24"/>
              </w:rPr>
              <w:tab/>
            </w:r>
            <w:r w:rsidR="00537477" w:rsidRPr="00537477">
              <w:rPr>
                <w:rFonts w:ascii="Cambria" w:hAnsi="Cambria"/>
                <w:noProof/>
                <w:webHidden/>
                <w:sz w:val="24"/>
                <w:szCs w:val="24"/>
              </w:rPr>
              <w:fldChar w:fldCharType="begin"/>
            </w:r>
            <w:r w:rsidR="00537477" w:rsidRPr="00537477">
              <w:rPr>
                <w:rFonts w:ascii="Cambria" w:hAnsi="Cambria"/>
                <w:noProof/>
                <w:webHidden/>
                <w:sz w:val="24"/>
                <w:szCs w:val="24"/>
              </w:rPr>
              <w:instrText xml:space="preserve"> PAGEREF _Toc31278497 \h </w:instrText>
            </w:r>
            <w:r w:rsidR="00537477" w:rsidRPr="00537477">
              <w:rPr>
                <w:rFonts w:ascii="Cambria" w:hAnsi="Cambria"/>
                <w:noProof/>
                <w:webHidden/>
                <w:sz w:val="24"/>
                <w:szCs w:val="24"/>
              </w:rPr>
            </w:r>
            <w:r w:rsidR="00537477" w:rsidRPr="00537477">
              <w:rPr>
                <w:rFonts w:ascii="Cambria" w:hAnsi="Cambria"/>
                <w:noProof/>
                <w:webHidden/>
                <w:sz w:val="24"/>
                <w:szCs w:val="24"/>
              </w:rPr>
              <w:fldChar w:fldCharType="separate"/>
            </w:r>
            <w:r w:rsidR="00537477" w:rsidRPr="00537477">
              <w:rPr>
                <w:rFonts w:ascii="Cambria" w:hAnsi="Cambria"/>
                <w:noProof/>
                <w:webHidden/>
                <w:sz w:val="24"/>
                <w:szCs w:val="24"/>
              </w:rPr>
              <w:t>27</w:t>
            </w:r>
            <w:r w:rsidR="00537477" w:rsidRPr="00537477">
              <w:rPr>
                <w:rFonts w:ascii="Cambria" w:hAnsi="Cambria"/>
                <w:noProof/>
                <w:webHidden/>
                <w:sz w:val="24"/>
                <w:szCs w:val="24"/>
              </w:rPr>
              <w:fldChar w:fldCharType="end"/>
            </w:r>
          </w:hyperlink>
        </w:p>
        <w:p w14:paraId="7B97A0CC" w14:textId="5AA021B3" w:rsidR="00537477" w:rsidRPr="00537477" w:rsidRDefault="00CC0421">
          <w:pPr>
            <w:pStyle w:val="Verzeichnis2"/>
            <w:rPr>
              <w:rFonts w:ascii="Cambria" w:eastAsiaTheme="minorEastAsia" w:hAnsi="Cambria" w:cstheme="minorBidi"/>
              <w:noProof/>
              <w:color w:val="auto"/>
              <w:sz w:val="24"/>
              <w:szCs w:val="24"/>
              <w:bdr w:val="none" w:sz="0" w:space="0" w:color="auto"/>
            </w:rPr>
          </w:pPr>
          <w:hyperlink w:anchor="_Toc31278498" w:history="1">
            <w:r w:rsidR="00537477" w:rsidRPr="00537477">
              <w:rPr>
                <w:rStyle w:val="Hyperlink"/>
                <w:rFonts w:ascii="Cambria" w:hAnsi="Cambria"/>
                <w:noProof/>
                <w:sz w:val="24"/>
                <w:szCs w:val="24"/>
              </w:rPr>
              <w:t>E. Fokuskontrolle</w:t>
            </w:r>
            <w:r w:rsidR="00537477" w:rsidRPr="00537477">
              <w:rPr>
                <w:rFonts w:ascii="Cambria" w:hAnsi="Cambria"/>
                <w:noProof/>
                <w:webHidden/>
                <w:sz w:val="24"/>
                <w:szCs w:val="24"/>
              </w:rPr>
              <w:tab/>
            </w:r>
            <w:r w:rsidR="00537477" w:rsidRPr="00537477">
              <w:rPr>
                <w:rFonts w:ascii="Cambria" w:hAnsi="Cambria"/>
                <w:noProof/>
                <w:webHidden/>
                <w:sz w:val="24"/>
                <w:szCs w:val="24"/>
              </w:rPr>
              <w:fldChar w:fldCharType="begin"/>
            </w:r>
            <w:r w:rsidR="00537477" w:rsidRPr="00537477">
              <w:rPr>
                <w:rFonts w:ascii="Cambria" w:hAnsi="Cambria"/>
                <w:noProof/>
                <w:webHidden/>
                <w:sz w:val="24"/>
                <w:szCs w:val="24"/>
              </w:rPr>
              <w:instrText xml:space="preserve"> PAGEREF _Toc31278498 \h </w:instrText>
            </w:r>
            <w:r w:rsidR="00537477" w:rsidRPr="00537477">
              <w:rPr>
                <w:rFonts w:ascii="Cambria" w:hAnsi="Cambria"/>
                <w:noProof/>
                <w:webHidden/>
                <w:sz w:val="24"/>
                <w:szCs w:val="24"/>
              </w:rPr>
            </w:r>
            <w:r w:rsidR="00537477" w:rsidRPr="00537477">
              <w:rPr>
                <w:rFonts w:ascii="Cambria" w:hAnsi="Cambria"/>
                <w:noProof/>
                <w:webHidden/>
                <w:sz w:val="24"/>
                <w:szCs w:val="24"/>
              </w:rPr>
              <w:fldChar w:fldCharType="separate"/>
            </w:r>
            <w:r w:rsidR="00537477" w:rsidRPr="00537477">
              <w:rPr>
                <w:rFonts w:ascii="Cambria" w:hAnsi="Cambria"/>
                <w:noProof/>
                <w:webHidden/>
                <w:sz w:val="24"/>
                <w:szCs w:val="24"/>
              </w:rPr>
              <w:t>40</w:t>
            </w:r>
            <w:r w:rsidR="00537477" w:rsidRPr="00537477">
              <w:rPr>
                <w:rFonts w:ascii="Cambria" w:hAnsi="Cambria"/>
                <w:noProof/>
                <w:webHidden/>
                <w:sz w:val="24"/>
                <w:szCs w:val="24"/>
              </w:rPr>
              <w:fldChar w:fldCharType="end"/>
            </w:r>
          </w:hyperlink>
        </w:p>
        <w:p w14:paraId="03009E3C" w14:textId="4FE8C09C" w:rsidR="00537477" w:rsidRPr="00537477" w:rsidRDefault="00CC0421">
          <w:pPr>
            <w:pStyle w:val="Verzeichnis2"/>
            <w:rPr>
              <w:rFonts w:ascii="Cambria" w:eastAsiaTheme="minorEastAsia" w:hAnsi="Cambria" w:cstheme="minorBidi"/>
              <w:noProof/>
              <w:color w:val="auto"/>
              <w:sz w:val="24"/>
              <w:szCs w:val="24"/>
              <w:bdr w:val="none" w:sz="0" w:space="0" w:color="auto"/>
            </w:rPr>
          </w:pPr>
          <w:hyperlink w:anchor="_Toc31278499" w:history="1">
            <w:r w:rsidR="00537477" w:rsidRPr="00537477">
              <w:rPr>
                <w:rStyle w:val="Hyperlink"/>
                <w:rFonts w:ascii="Cambria" w:hAnsi="Cambria"/>
                <w:noProof/>
                <w:sz w:val="24"/>
                <w:szCs w:val="24"/>
              </w:rPr>
              <w:t>F. Flüssigkeitstherapie</w:t>
            </w:r>
            <w:r w:rsidR="00537477" w:rsidRPr="00537477">
              <w:rPr>
                <w:rFonts w:ascii="Cambria" w:hAnsi="Cambria"/>
                <w:noProof/>
                <w:webHidden/>
                <w:sz w:val="24"/>
                <w:szCs w:val="24"/>
              </w:rPr>
              <w:tab/>
            </w:r>
            <w:r w:rsidR="00537477" w:rsidRPr="00537477">
              <w:rPr>
                <w:rFonts w:ascii="Cambria" w:hAnsi="Cambria"/>
                <w:noProof/>
                <w:webHidden/>
                <w:sz w:val="24"/>
                <w:szCs w:val="24"/>
              </w:rPr>
              <w:fldChar w:fldCharType="begin"/>
            </w:r>
            <w:r w:rsidR="00537477" w:rsidRPr="00537477">
              <w:rPr>
                <w:rFonts w:ascii="Cambria" w:hAnsi="Cambria"/>
                <w:noProof/>
                <w:webHidden/>
                <w:sz w:val="24"/>
                <w:szCs w:val="24"/>
              </w:rPr>
              <w:instrText xml:space="preserve"> PAGEREF _Toc31278499 \h </w:instrText>
            </w:r>
            <w:r w:rsidR="00537477" w:rsidRPr="00537477">
              <w:rPr>
                <w:rFonts w:ascii="Cambria" w:hAnsi="Cambria"/>
                <w:noProof/>
                <w:webHidden/>
                <w:sz w:val="24"/>
                <w:szCs w:val="24"/>
              </w:rPr>
            </w:r>
            <w:r w:rsidR="00537477" w:rsidRPr="00537477">
              <w:rPr>
                <w:rFonts w:ascii="Cambria" w:hAnsi="Cambria"/>
                <w:noProof/>
                <w:webHidden/>
                <w:sz w:val="24"/>
                <w:szCs w:val="24"/>
              </w:rPr>
              <w:fldChar w:fldCharType="separate"/>
            </w:r>
            <w:r w:rsidR="00537477" w:rsidRPr="00537477">
              <w:rPr>
                <w:rFonts w:ascii="Cambria" w:hAnsi="Cambria"/>
                <w:noProof/>
                <w:webHidden/>
                <w:sz w:val="24"/>
                <w:szCs w:val="24"/>
              </w:rPr>
              <w:t>41</w:t>
            </w:r>
            <w:r w:rsidR="00537477" w:rsidRPr="00537477">
              <w:rPr>
                <w:rFonts w:ascii="Cambria" w:hAnsi="Cambria"/>
                <w:noProof/>
                <w:webHidden/>
                <w:sz w:val="24"/>
                <w:szCs w:val="24"/>
              </w:rPr>
              <w:fldChar w:fldCharType="end"/>
            </w:r>
          </w:hyperlink>
        </w:p>
        <w:p w14:paraId="49C31B78" w14:textId="5EC29021" w:rsidR="00537477" w:rsidRPr="00537477" w:rsidRDefault="00CC0421">
          <w:pPr>
            <w:pStyle w:val="Verzeichnis2"/>
            <w:rPr>
              <w:rFonts w:ascii="Cambria" w:eastAsiaTheme="minorEastAsia" w:hAnsi="Cambria" w:cstheme="minorBidi"/>
              <w:noProof/>
              <w:color w:val="auto"/>
              <w:sz w:val="24"/>
              <w:szCs w:val="24"/>
              <w:bdr w:val="none" w:sz="0" w:space="0" w:color="auto"/>
            </w:rPr>
          </w:pPr>
          <w:hyperlink w:anchor="_Toc31278500" w:history="1">
            <w:r w:rsidR="00537477" w:rsidRPr="00537477">
              <w:rPr>
                <w:rStyle w:val="Hyperlink"/>
                <w:rFonts w:ascii="Cambria" w:hAnsi="Cambria"/>
                <w:noProof/>
                <w:sz w:val="24"/>
                <w:szCs w:val="24"/>
              </w:rPr>
              <w:t>G. Vasoaktive Medikation</w:t>
            </w:r>
            <w:r w:rsidR="00537477" w:rsidRPr="00537477">
              <w:rPr>
                <w:rFonts w:ascii="Cambria" w:hAnsi="Cambria"/>
                <w:noProof/>
                <w:webHidden/>
                <w:sz w:val="24"/>
                <w:szCs w:val="24"/>
              </w:rPr>
              <w:tab/>
            </w:r>
            <w:r w:rsidR="00537477" w:rsidRPr="00537477">
              <w:rPr>
                <w:rFonts w:ascii="Cambria" w:hAnsi="Cambria"/>
                <w:noProof/>
                <w:webHidden/>
                <w:sz w:val="24"/>
                <w:szCs w:val="24"/>
              </w:rPr>
              <w:fldChar w:fldCharType="begin"/>
            </w:r>
            <w:r w:rsidR="00537477" w:rsidRPr="00537477">
              <w:rPr>
                <w:rFonts w:ascii="Cambria" w:hAnsi="Cambria"/>
                <w:noProof/>
                <w:webHidden/>
                <w:sz w:val="24"/>
                <w:szCs w:val="24"/>
              </w:rPr>
              <w:instrText xml:space="preserve"> PAGEREF _Toc31278500 \h </w:instrText>
            </w:r>
            <w:r w:rsidR="00537477" w:rsidRPr="00537477">
              <w:rPr>
                <w:rFonts w:ascii="Cambria" w:hAnsi="Cambria"/>
                <w:noProof/>
                <w:webHidden/>
                <w:sz w:val="24"/>
                <w:szCs w:val="24"/>
              </w:rPr>
            </w:r>
            <w:r w:rsidR="00537477" w:rsidRPr="00537477">
              <w:rPr>
                <w:rFonts w:ascii="Cambria" w:hAnsi="Cambria"/>
                <w:noProof/>
                <w:webHidden/>
                <w:sz w:val="24"/>
                <w:szCs w:val="24"/>
              </w:rPr>
              <w:fldChar w:fldCharType="separate"/>
            </w:r>
            <w:r w:rsidR="00537477" w:rsidRPr="00537477">
              <w:rPr>
                <w:rFonts w:ascii="Cambria" w:hAnsi="Cambria"/>
                <w:noProof/>
                <w:webHidden/>
                <w:sz w:val="24"/>
                <w:szCs w:val="24"/>
              </w:rPr>
              <w:t>45</w:t>
            </w:r>
            <w:r w:rsidR="00537477" w:rsidRPr="00537477">
              <w:rPr>
                <w:rFonts w:ascii="Cambria" w:hAnsi="Cambria"/>
                <w:noProof/>
                <w:webHidden/>
                <w:sz w:val="24"/>
                <w:szCs w:val="24"/>
              </w:rPr>
              <w:fldChar w:fldCharType="end"/>
            </w:r>
          </w:hyperlink>
        </w:p>
        <w:p w14:paraId="5D01A2DC" w14:textId="3E5570AC" w:rsidR="00537477" w:rsidRPr="00537477" w:rsidRDefault="00CC0421">
          <w:pPr>
            <w:pStyle w:val="Verzeichnis2"/>
            <w:rPr>
              <w:rFonts w:ascii="Cambria" w:eastAsiaTheme="minorEastAsia" w:hAnsi="Cambria" w:cstheme="minorBidi"/>
              <w:noProof/>
              <w:color w:val="auto"/>
              <w:sz w:val="24"/>
              <w:szCs w:val="24"/>
              <w:bdr w:val="none" w:sz="0" w:space="0" w:color="auto"/>
            </w:rPr>
          </w:pPr>
          <w:hyperlink w:anchor="_Toc31278501" w:history="1">
            <w:r w:rsidR="00537477" w:rsidRPr="00537477">
              <w:rPr>
                <w:rStyle w:val="Hyperlink"/>
                <w:rFonts w:ascii="Cambria" w:hAnsi="Cambria"/>
                <w:noProof/>
                <w:sz w:val="24"/>
                <w:szCs w:val="24"/>
              </w:rPr>
              <w:t>H. Corticosteroide</w:t>
            </w:r>
            <w:r w:rsidR="00537477" w:rsidRPr="00537477">
              <w:rPr>
                <w:rFonts w:ascii="Cambria" w:hAnsi="Cambria"/>
                <w:noProof/>
                <w:webHidden/>
                <w:sz w:val="24"/>
                <w:szCs w:val="24"/>
              </w:rPr>
              <w:tab/>
            </w:r>
            <w:r w:rsidR="00537477" w:rsidRPr="00537477">
              <w:rPr>
                <w:rFonts w:ascii="Cambria" w:hAnsi="Cambria"/>
                <w:noProof/>
                <w:webHidden/>
                <w:sz w:val="24"/>
                <w:szCs w:val="24"/>
              </w:rPr>
              <w:fldChar w:fldCharType="begin"/>
            </w:r>
            <w:r w:rsidR="00537477" w:rsidRPr="00537477">
              <w:rPr>
                <w:rFonts w:ascii="Cambria" w:hAnsi="Cambria"/>
                <w:noProof/>
                <w:webHidden/>
                <w:sz w:val="24"/>
                <w:szCs w:val="24"/>
              </w:rPr>
              <w:instrText xml:space="preserve"> PAGEREF _Toc31278501 \h </w:instrText>
            </w:r>
            <w:r w:rsidR="00537477" w:rsidRPr="00537477">
              <w:rPr>
                <w:rFonts w:ascii="Cambria" w:hAnsi="Cambria"/>
                <w:noProof/>
                <w:webHidden/>
                <w:sz w:val="24"/>
                <w:szCs w:val="24"/>
              </w:rPr>
            </w:r>
            <w:r w:rsidR="00537477" w:rsidRPr="00537477">
              <w:rPr>
                <w:rFonts w:ascii="Cambria" w:hAnsi="Cambria"/>
                <w:noProof/>
                <w:webHidden/>
                <w:sz w:val="24"/>
                <w:szCs w:val="24"/>
              </w:rPr>
              <w:fldChar w:fldCharType="separate"/>
            </w:r>
            <w:r w:rsidR="00537477" w:rsidRPr="00537477">
              <w:rPr>
                <w:rFonts w:ascii="Cambria" w:hAnsi="Cambria"/>
                <w:noProof/>
                <w:webHidden/>
                <w:sz w:val="24"/>
                <w:szCs w:val="24"/>
              </w:rPr>
              <w:t>51</w:t>
            </w:r>
            <w:r w:rsidR="00537477" w:rsidRPr="00537477">
              <w:rPr>
                <w:rFonts w:ascii="Cambria" w:hAnsi="Cambria"/>
                <w:noProof/>
                <w:webHidden/>
                <w:sz w:val="24"/>
                <w:szCs w:val="24"/>
              </w:rPr>
              <w:fldChar w:fldCharType="end"/>
            </w:r>
          </w:hyperlink>
        </w:p>
        <w:p w14:paraId="22D1C1B8" w14:textId="4FF71F91" w:rsidR="00537477" w:rsidRPr="00537477" w:rsidRDefault="00CC0421">
          <w:pPr>
            <w:pStyle w:val="Verzeichnis2"/>
            <w:rPr>
              <w:rFonts w:ascii="Cambria" w:eastAsiaTheme="minorEastAsia" w:hAnsi="Cambria" w:cstheme="minorBidi"/>
              <w:noProof/>
              <w:color w:val="auto"/>
              <w:sz w:val="24"/>
              <w:szCs w:val="24"/>
              <w:bdr w:val="none" w:sz="0" w:space="0" w:color="auto"/>
            </w:rPr>
          </w:pPr>
          <w:hyperlink w:anchor="_Toc31278502" w:history="1">
            <w:r w:rsidR="00537477" w:rsidRPr="00537477">
              <w:rPr>
                <w:rStyle w:val="Hyperlink"/>
                <w:rFonts w:ascii="Cambria" w:hAnsi="Cambria"/>
                <w:noProof/>
                <w:sz w:val="24"/>
                <w:szCs w:val="24"/>
                <w:lang w:val="en-US"/>
              </w:rPr>
              <w:t>I. Blutprodukte</w:t>
            </w:r>
            <w:r w:rsidR="00537477" w:rsidRPr="00537477">
              <w:rPr>
                <w:rFonts w:ascii="Cambria" w:hAnsi="Cambria"/>
                <w:noProof/>
                <w:webHidden/>
                <w:sz w:val="24"/>
                <w:szCs w:val="24"/>
              </w:rPr>
              <w:tab/>
            </w:r>
            <w:r w:rsidR="00537477" w:rsidRPr="00537477">
              <w:rPr>
                <w:rFonts w:ascii="Cambria" w:hAnsi="Cambria"/>
                <w:noProof/>
                <w:webHidden/>
                <w:sz w:val="24"/>
                <w:szCs w:val="24"/>
              </w:rPr>
              <w:fldChar w:fldCharType="begin"/>
            </w:r>
            <w:r w:rsidR="00537477" w:rsidRPr="00537477">
              <w:rPr>
                <w:rFonts w:ascii="Cambria" w:hAnsi="Cambria"/>
                <w:noProof/>
                <w:webHidden/>
                <w:sz w:val="24"/>
                <w:szCs w:val="24"/>
              </w:rPr>
              <w:instrText xml:space="preserve"> PAGEREF _Toc31278502 \h </w:instrText>
            </w:r>
            <w:r w:rsidR="00537477" w:rsidRPr="00537477">
              <w:rPr>
                <w:rFonts w:ascii="Cambria" w:hAnsi="Cambria"/>
                <w:noProof/>
                <w:webHidden/>
                <w:sz w:val="24"/>
                <w:szCs w:val="24"/>
              </w:rPr>
            </w:r>
            <w:r w:rsidR="00537477" w:rsidRPr="00537477">
              <w:rPr>
                <w:rFonts w:ascii="Cambria" w:hAnsi="Cambria"/>
                <w:noProof/>
                <w:webHidden/>
                <w:sz w:val="24"/>
                <w:szCs w:val="24"/>
              </w:rPr>
              <w:fldChar w:fldCharType="separate"/>
            </w:r>
            <w:r w:rsidR="00537477" w:rsidRPr="00537477">
              <w:rPr>
                <w:rFonts w:ascii="Cambria" w:hAnsi="Cambria"/>
                <w:noProof/>
                <w:webHidden/>
                <w:sz w:val="24"/>
                <w:szCs w:val="24"/>
              </w:rPr>
              <w:t>53</w:t>
            </w:r>
            <w:r w:rsidR="00537477" w:rsidRPr="00537477">
              <w:rPr>
                <w:rFonts w:ascii="Cambria" w:hAnsi="Cambria"/>
                <w:noProof/>
                <w:webHidden/>
                <w:sz w:val="24"/>
                <w:szCs w:val="24"/>
              </w:rPr>
              <w:fldChar w:fldCharType="end"/>
            </w:r>
          </w:hyperlink>
        </w:p>
        <w:p w14:paraId="6401639E" w14:textId="437F5746" w:rsidR="00537477" w:rsidRPr="00537477" w:rsidRDefault="00CC0421">
          <w:pPr>
            <w:pStyle w:val="Verzeichnis2"/>
            <w:rPr>
              <w:rFonts w:ascii="Cambria" w:eastAsiaTheme="minorEastAsia" w:hAnsi="Cambria" w:cstheme="minorBidi"/>
              <w:noProof/>
              <w:color w:val="auto"/>
              <w:sz w:val="24"/>
              <w:szCs w:val="24"/>
              <w:bdr w:val="none" w:sz="0" w:space="0" w:color="auto"/>
            </w:rPr>
          </w:pPr>
          <w:hyperlink w:anchor="_Toc31278503" w:history="1">
            <w:r w:rsidR="00537477" w:rsidRPr="00537477">
              <w:rPr>
                <w:rStyle w:val="Hyperlink"/>
                <w:rFonts w:ascii="Cambria" w:hAnsi="Cambria"/>
                <w:noProof/>
                <w:sz w:val="24"/>
                <w:szCs w:val="24"/>
              </w:rPr>
              <w:t>J. Immunglobuline</w:t>
            </w:r>
            <w:r w:rsidR="00537477" w:rsidRPr="00537477">
              <w:rPr>
                <w:rFonts w:ascii="Cambria" w:hAnsi="Cambria"/>
                <w:noProof/>
                <w:webHidden/>
                <w:sz w:val="24"/>
                <w:szCs w:val="24"/>
              </w:rPr>
              <w:tab/>
            </w:r>
            <w:r w:rsidR="00537477" w:rsidRPr="00537477">
              <w:rPr>
                <w:rFonts w:ascii="Cambria" w:hAnsi="Cambria"/>
                <w:noProof/>
                <w:webHidden/>
                <w:sz w:val="24"/>
                <w:szCs w:val="24"/>
              </w:rPr>
              <w:fldChar w:fldCharType="begin"/>
            </w:r>
            <w:r w:rsidR="00537477" w:rsidRPr="00537477">
              <w:rPr>
                <w:rFonts w:ascii="Cambria" w:hAnsi="Cambria"/>
                <w:noProof/>
                <w:webHidden/>
                <w:sz w:val="24"/>
                <w:szCs w:val="24"/>
              </w:rPr>
              <w:instrText xml:space="preserve"> PAGEREF _Toc31278503 \h </w:instrText>
            </w:r>
            <w:r w:rsidR="00537477" w:rsidRPr="00537477">
              <w:rPr>
                <w:rFonts w:ascii="Cambria" w:hAnsi="Cambria"/>
                <w:noProof/>
                <w:webHidden/>
                <w:sz w:val="24"/>
                <w:szCs w:val="24"/>
              </w:rPr>
            </w:r>
            <w:r w:rsidR="00537477" w:rsidRPr="00537477">
              <w:rPr>
                <w:rFonts w:ascii="Cambria" w:hAnsi="Cambria"/>
                <w:noProof/>
                <w:webHidden/>
                <w:sz w:val="24"/>
                <w:szCs w:val="24"/>
              </w:rPr>
              <w:fldChar w:fldCharType="separate"/>
            </w:r>
            <w:r w:rsidR="00537477" w:rsidRPr="00537477">
              <w:rPr>
                <w:rFonts w:ascii="Cambria" w:hAnsi="Cambria"/>
                <w:noProof/>
                <w:webHidden/>
                <w:sz w:val="24"/>
                <w:szCs w:val="24"/>
              </w:rPr>
              <w:t>56</w:t>
            </w:r>
            <w:r w:rsidR="00537477" w:rsidRPr="00537477">
              <w:rPr>
                <w:rFonts w:ascii="Cambria" w:hAnsi="Cambria"/>
                <w:noProof/>
                <w:webHidden/>
                <w:sz w:val="24"/>
                <w:szCs w:val="24"/>
              </w:rPr>
              <w:fldChar w:fldCharType="end"/>
            </w:r>
          </w:hyperlink>
        </w:p>
        <w:p w14:paraId="245791F2" w14:textId="127E8A47" w:rsidR="00537477" w:rsidRPr="00537477" w:rsidRDefault="00CC0421">
          <w:pPr>
            <w:pStyle w:val="Verzeichnis2"/>
            <w:rPr>
              <w:rFonts w:ascii="Cambria" w:eastAsiaTheme="minorEastAsia" w:hAnsi="Cambria" w:cstheme="minorBidi"/>
              <w:noProof/>
              <w:color w:val="auto"/>
              <w:sz w:val="24"/>
              <w:szCs w:val="24"/>
              <w:bdr w:val="none" w:sz="0" w:space="0" w:color="auto"/>
            </w:rPr>
          </w:pPr>
          <w:hyperlink w:anchor="_Toc31278504" w:history="1">
            <w:r w:rsidR="00537477" w:rsidRPr="00537477">
              <w:rPr>
                <w:rStyle w:val="Hyperlink"/>
                <w:rFonts w:ascii="Cambria" w:hAnsi="Cambria"/>
                <w:noProof/>
                <w:sz w:val="24"/>
                <w:szCs w:val="24"/>
              </w:rPr>
              <w:t>K. Blutreinigung</w:t>
            </w:r>
            <w:r w:rsidR="00537477" w:rsidRPr="00537477">
              <w:rPr>
                <w:rFonts w:ascii="Cambria" w:hAnsi="Cambria"/>
                <w:noProof/>
                <w:webHidden/>
                <w:sz w:val="24"/>
                <w:szCs w:val="24"/>
              </w:rPr>
              <w:tab/>
            </w:r>
            <w:r w:rsidR="00537477" w:rsidRPr="00537477">
              <w:rPr>
                <w:rFonts w:ascii="Cambria" w:hAnsi="Cambria"/>
                <w:noProof/>
                <w:webHidden/>
                <w:sz w:val="24"/>
                <w:szCs w:val="24"/>
              </w:rPr>
              <w:fldChar w:fldCharType="begin"/>
            </w:r>
            <w:r w:rsidR="00537477" w:rsidRPr="00537477">
              <w:rPr>
                <w:rFonts w:ascii="Cambria" w:hAnsi="Cambria"/>
                <w:noProof/>
                <w:webHidden/>
                <w:sz w:val="24"/>
                <w:szCs w:val="24"/>
              </w:rPr>
              <w:instrText xml:space="preserve"> PAGEREF _Toc31278504 \h </w:instrText>
            </w:r>
            <w:r w:rsidR="00537477" w:rsidRPr="00537477">
              <w:rPr>
                <w:rFonts w:ascii="Cambria" w:hAnsi="Cambria"/>
                <w:noProof/>
                <w:webHidden/>
                <w:sz w:val="24"/>
                <w:szCs w:val="24"/>
              </w:rPr>
            </w:r>
            <w:r w:rsidR="00537477" w:rsidRPr="00537477">
              <w:rPr>
                <w:rFonts w:ascii="Cambria" w:hAnsi="Cambria"/>
                <w:noProof/>
                <w:webHidden/>
                <w:sz w:val="24"/>
                <w:szCs w:val="24"/>
              </w:rPr>
              <w:fldChar w:fldCharType="separate"/>
            </w:r>
            <w:r w:rsidR="00537477" w:rsidRPr="00537477">
              <w:rPr>
                <w:rFonts w:ascii="Cambria" w:hAnsi="Cambria"/>
                <w:noProof/>
                <w:webHidden/>
                <w:sz w:val="24"/>
                <w:szCs w:val="24"/>
              </w:rPr>
              <w:t>57</w:t>
            </w:r>
            <w:r w:rsidR="00537477" w:rsidRPr="00537477">
              <w:rPr>
                <w:rFonts w:ascii="Cambria" w:hAnsi="Cambria"/>
                <w:noProof/>
                <w:webHidden/>
                <w:sz w:val="24"/>
                <w:szCs w:val="24"/>
              </w:rPr>
              <w:fldChar w:fldCharType="end"/>
            </w:r>
          </w:hyperlink>
        </w:p>
        <w:p w14:paraId="4E86B9D2" w14:textId="2D648D6B" w:rsidR="00537477" w:rsidRPr="00537477" w:rsidRDefault="00CC0421">
          <w:pPr>
            <w:pStyle w:val="Verzeichnis2"/>
            <w:rPr>
              <w:rFonts w:ascii="Cambria" w:eastAsiaTheme="minorEastAsia" w:hAnsi="Cambria" w:cstheme="minorBidi"/>
              <w:noProof/>
              <w:color w:val="auto"/>
              <w:sz w:val="24"/>
              <w:szCs w:val="24"/>
              <w:bdr w:val="none" w:sz="0" w:space="0" w:color="auto"/>
            </w:rPr>
          </w:pPr>
          <w:hyperlink w:anchor="_Toc31278505" w:history="1">
            <w:r w:rsidR="00537477" w:rsidRPr="00537477">
              <w:rPr>
                <w:rStyle w:val="Hyperlink"/>
                <w:rFonts w:ascii="Cambria" w:hAnsi="Cambria"/>
                <w:noProof/>
                <w:sz w:val="24"/>
                <w:szCs w:val="24"/>
              </w:rPr>
              <w:t>L. Antikoagulanzien</w:t>
            </w:r>
            <w:r w:rsidR="00537477" w:rsidRPr="00537477">
              <w:rPr>
                <w:rFonts w:ascii="Cambria" w:hAnsi="Cambria"/>
                <w:noProof/>
                <w:webHidden/>
                <w:sz w:val="24"/>
                <w:szCs w:val="24"/>
              </w:rPr>
              <w:tab/>
            </w:r>
            <w:r w:rsidR="00537477" w:rsidRPr="00537477">
              <w:rPr>
                <w:rFonts w:ascii="Cambria" w:hAnsi="Cambria"/>
                <w:noProof/>
                <w:webHidden/>
                <w:sz w:val="24"/>
                <w:szCs w:val="24"/>
              </w:rPr>
              <w:fldChar w:fldCharType="begin"/>
            </w:r>
            <w:r w:rsidR="00537477" w:rsidRPr="00537477">
              <w:rPr>
                <w:rFonts w:ascii="Cambria" w:hAnsi="Cambria"/>
                <w:noProof/>
                <w:webHidden/>
                <w:sz w:val="24"/>
                <w:szCs w:val="24"/>
              </w:rPr>
              <w:instrText xml:space="preserve"> PAGEREF _Toc31278505 \h </w:instrText>
            </w:r>
            <w:r w:rsidR="00537477" w:rsidRPr="00537477">
              <w:rPr>
                <w:rFonts w:ascii="Cambria" w:hAnsi="Cambria"/>
                <w:noProof/>
                <w:webHidden/>
                <w:sz w:val="24"/>
                <w:szCs w:val="24"/>
              </w:rPr>
            </w:r>
            <w:r w:rsidR="00537477" w:rsidRPr="00537477">
              <w:rPr>
                <w:rFonts w:ascii="Cambria" w:hAnsi="Cambria"/>
                <w:noProof/>
                <w:webHidden/>
                <w:sz w:val="24"/>
                <w:szCs w:val="24"/>
              </w:rPr>
              <w:fldChar w:fldCharType="separate"/>
            </w:r>
            <w:r w:rsidR="00537477" w:rsidRPr="00537477">
              <w:rPr>
                <w:rFonts w:ascii="Cambria" w:hAnsi="Cambria"/>
                <w:noProof/>
                <w:webHidden/>
                <w:sz w:val="24"/>
                <w:szCs w:val="24"/>
              </w:rPr>
              <w:t>58</w:t>
            </w:r>
            <w:r w:rsidR="00537477" w:rsidRPr="00537477">
              <w:rPr>
                <w:rFonts w:ascii="Cambria" w:hAnsi="Cambria"/>
                <w:noProof/>
                <w:webHidden/>
                <w:sz w:val="24"/>
                <w:szCs w:val="24"/>
              </w:rPr>
              <w:fldChar w:fldCharType="end"/>
            </w:r>
          </w:hyperlink>
        </w:p>
        <w:p w14:paraId="21937D04" w14:textId="328BC1D8" w:rsidR="00537477" w:rsidRPr="00537477" w:rsidRDefault="00CC0421">
          <w:pPr>
            <w:pStyle w:val="Verzeichnis2"/>
            <w:rPr>
              <w:rFonts w:ascii="Cambria" w:eastAsiaTheme="minorEastAsia" w:hAnsi="Cambria" w:cstheme="minorBidi"/>
              <w:noProof/>
              <w:color w:val="auto"/>
              <w:sz w:val="24"/>
              <w:szCs w:val="24"/>
              <w:bdr w:val="none" w:sz="0" w:space="0" w:color="auto"/>
            </w:rPr>
          </w:pPr>
          <w:hyperlink w:anchor="_Toc31278506" w:history="1">
            <w:r w:rsidR="00537477" w:rsidRPr="00537477">
              <w:rPr>
                <w:rStyle w:val="Hyperlink"/>
                <w:rFonts w:ascii="Cambria" w:hAnsi="Cambria"/>
                <w:noProof/>
                <w:sz w:val="24"/>
                <w:szCs w:val="24"/>
              </w:rPr>
              <w:t>M. Invasive Beatmung</w:t>
            </w:r>
            <w:r w:rsidR="00537477" w:rsidRPr="00537477">
              <w:rPr>
                <w:rFonts w:ascii="Cambria" w:hAnsi="Cambria"/>
                <w:noProof/>
                <w:webHidden/>
                <w:sz w:val="24"/>
                <w:szCs w:val="24"/>
              </w:rPr>
              <w:tab/>
            </w:r>
            <w:r w:rsidR="00537477" w:rsidRPr="00537477">
              <w:rPr>
                <w:rFonts w:ascii="Cambria" w:hAnsi="Cambria"/>
                <w:noProof/>
                <w:webHidden/>
                <w:sz w:val="24"/>
                <w:szCs w:val="24"/>
              </w:rPr>
              <w:fldChar w:fldCharType="begin"/>
            </w:r>
            <w:r w:rsidR="00537477" w:rsidRPr="00537477">
              <w:rPr>
                <w:rFonts w:ascii="Cambria" w:hAnsi="Cambria"/>
                <w:noProof/>
                <w:webHidden/>
                <w:sz w:val="24"/>
                <w:szCs w:val="24"/>
              </w:rPr>
              <w:instrText xml:space="preserve"> PAGEREF _Toc31278506 \h </w:instrText>
            </w:r>
            <w:r w:rsidR="00537477" w:rsidRPr="00537477">
              <w:rPr>
                <w:rFonts w:ascii="Cambria" w:hAnsi="Cambria"/>
                <w:noProof/>
                <w:webHidden/>
                <w:sz w:val="24"/>
                <w:szCs w:val="24"/>
              </w:rPr>
            </w:r>
            <w:r w:rsidR="00537477" w:rsidRPr="00537477">
              <w:rPr>
                <w:rFonts w:ascii="Cambria" w:hAnsi="Cambria"/>
                <w:noProof/>
                <w:webHidden/>
                <w:sz w:val="24"/>
                <w:szCs w:val="24"/>
              </w:rPr>
              <w:fldChar w:fldCharType="separate"/>
            </w:r>
            <w:r w:rsidR="00537477" w:rsidRPr="00537477">
              <w:rPr>
                <w:rFonts w:ascii="Cambria" w:hAnsi="Cambria"/>
                <w:noProof/>
                <w:webHidden/>
                <w:sz w:val="24"/>
                <w:szCs w:val="24"/>
              </w:rPr>
              <w:t>58</w:t>
            </w:r>
            <w:r w:rsidR="00537477" w:rsidRPr="00537477">
              <w:rPr>
                <w:rFonts w:ascii="Cambria" w:hAnsi="Cambria"/>
                <w:noProof/>
                <w:webHidden/>
                <w:sz w:val="24"/>
                <w:szCs w:val="24"/>
              </w:rPr>
              <w:fldChar w:fldCharType="end"/>
            </w:r>
          </w:hyperlink>
        </w:p>
        <w:p w14:paraId="322FC01F" w14:textId="1D0FCCFB" w:rsidR="00537477" w:rsidRPr="00537477" w:rsidRDefault="00CC0421">
          <w:pPr>
            <w:pStyle w:val="Verzeichnis2"/>
            <w:rPr>
              <w:rFonts w:ascii="Cambria" w:eastAsiaTheme="minorEastAsia" w:hAnsi="Cambria" w:cstheme="minorBidi"/>
              <w:noProof/>
              <w:color w:val="auto"/>
              <w:sz w:val="24"/>
              <w:szCs w:val="24"/>
              <w:bdr w:val="none" w:sz="0" w:space="0" w:color="auto"/>
            </w:rPr>
          </w:pPr>
          <w:hyperlink w:anchor="_Toc31278507" w:history="1">
            <w:r w:rsidR="00537477" w:rsidRPr="00537477">
              <w:rPr>
                <w:rStyle w:val="Hyperlink"/>
                <w:rFonts w:ascii="Cambria" w:hAnsi="Cambria"/>
                <w:noProof/>
                <w:sz w:val="24"/>
                <w:szCs w:val="24"/>
              </w:rPr>
              <w:t>N. Sedierung und Analgesie</w:t>
            </w:r>
            <w:r w:rsidR="00537477" w:rsidRPr="00537477">
              <w:rPr>
                <w:rFonts w:ascii="Cambria" w:hAnsi="Cambria"/>
                <w:noProof/>
                <w:webHidden/>
                <w:sz w:val="24"/>
                <w:szCs w:val="24"/>
              </w:rPr>
              <w:tab/>
            </w:r>
            <w:r w:rsidR="00537477" w:rsidRPr="00537477">
              <w:rPr>
                <w:rFonts w:ascii="Cambria" w:hAnsi="Cambria"/>
                <w:noProof/>
                <w:webHidden/>
                <w:sz w:val="24"/>
                <w:szCs w:val="24"/>
              </w:rPr>
              <w:fldChar w:fldCharType="begin"/>
            </w:r>
            <w:r w:rsidR="00537477" w:rsidRPr="00537477">
              <w:rPr>
                <w:rFonts w:ascii="Cambria" w:hAnsi="Cambria"/>
                <w:noProof/>
                <w:webHidden/>
                <w:sz w:val="24"/>
                <w:szCs w:val="24"/>
              </w:rPr>
              <w:instrText xml:space="preserve"> PAGEREF _Toc31278507 \h </w:instrText>
            </w:r>
            <w:r w:rsidR="00537477" w:rsidRPr="00537477">
              <w:rPr>
                <w:rFonts w:ascii="Cambria" w:hAnsi="Cambria"/>
                <w:noProof/>
                <w:webHidden/>
                <w:sz w:val="24"/>
                <w:szCs w:val="24"/>
              </w:rPr>
            </w:r>
            <w:r w:rsidR="00537477" w:rsidRPr="00537477">
              <w:rPr>
                <w:rFonts w:ascii="Cambria" w:hAnsi="Cambria"/>
                <w:noProof/>
                <w:webHidden/>
                <w:sz w:val="24"/>
                <w:szCs w:val="24"/>
              </w:rPr>
              <w:fldChar w:fldCharType="separate"/>
            </w:r>
            <w:r w:rsidR="00537477" w:rsidRPr="00537477">
              <w:rPr>
                <w:rFonts w:ascii="Cambria" w:hAnsi="Cambria"/>
                <w:noProof/>
                <w:webHidden/>
                <w:sz w:val="24"/>
                <w:szCs w:val="24"/>
              </w:rPr>
              <w:t>71</w:t>
            </w:r>
            <w:r w:rsidR="00537477" w:rsidRPr="00537477">
              <w:rPr>
                <w:rFonts w:ascii="Cambria" w:hAnsi="Cambria"/>
                <w:noProof/>
                <w:webHidden/>
                <w:sz w:val="24"/>
                <w:szCs w:val="24"/>
              </w:rPr>
              <w:fldChar w:fldCharType="end"/>
            </w:r>
          </w:hyperlink>
        </w:p>
        <w:p w14:paraId="6CEA2B8B" w14:textId="594C995F" w:rsidR="00537477" w:rsidRPr="00537477" w:rsidRDefault="00CC0421">
          <w:pPr>
            <w:pStyle w:val="Verzeichnis2"/>
            <w:rPr>
              <w:rFonts w:ascii="Cambria" w:eastAsiaTheme="minorEastAsia" w:hAnsi="Cambria" w:cstheme="minorBidi"/>
              <w:noProof/>
              <w:color w:val="auto"/>
              <w:sz w:val="24"/>
              <w:szCs w:val="24"/>
              <w:bdr w:val="none" w:sz="0" w:space="0" w:color="auto"/>
            </w:rPr>
          </w:pPr>
          <w:hyperlink w:anchor="_Toc31278508" w:history="1">
            <w:r w:rsidR="00537477" w:rsidRPr="00537477">
              <w:rPr>
                <w:rStyle w:val="Hyperlink"/>
                <w:rFonts w:ascii="Cambria" w:hAnsi="Cambria"/>
                <w:noProof/>
                <w:sz w:val="24"/>
                <w:szCs w:val="24"/>
              </w:rPr>
              <w:t>O. Blutzuckerkontrolle</w:t>
            </w:r>
            <w:r w:rsidR="00537477" w:rsidRPr="00537477">
              <w:rPr>
                <w:rFonts w:ascii="Cambria" w:hAnsi="Cambria"/>
                <w:noProof/>
                <w:webHidden/>
                <w:sz w:val="24"/>
                <w:szCs w:val="24"/>
              </w:rPr>
              <w:tab/>
            </w:r>
            <w:r w:rsidR="00537477" w:rsidRPr="00537477">
              <w:rPr>
                <w:rFonts w:ascii="Cambria" w:hAnsi="Cambria"/>
                <w:noProof/>
                <w:webHidden/>
                <w:sz w:val="24"/>
                <w:szCs w:val="24"/>
              </w:rPr>
              <w:fldChar w:fldCharType="begin"/>
            </w:r>
            <w:r w:rsidR="00537477" w:rsidRPr="00537477">
              <w:rPr>
                <w:rFonts w:ascii="Cambria" w:hAnsi="Cambria"/>
                <w:noProof/>
                <w:webHidden/>
                <w:sz w:val="24"/>
                <w:szCs w:val="24"/>
              </w:rPr>
              <w:instrText xml:space="preserve"> PAGEREF _Toc31278508 \h </w:instrText>
            </w:r>
            <w:r w:rsidR="00537477" w:rsidRPr="00537477">
              <w:rPr>
                <w:rFonts w:ascii="Cambria" w:hAnsi="Cambria"/>
                <w:noProof/>
                <w:webHidden/>
                <w:sz w:val="24"/>
                <w:szCs w:val="24"/>
              </w:rPr>
            </w:r>
            <w:r w:rsidR="00537477" w:rsidRPr="00537477">
              <w:rPr>
                <w:rFonts w:ascii="Cambria" w:hAnsi="Cambria"/>
                <w:noProof/>
                <w:webHidden/>
                <w:sz w:val="24"/>
                <w:szCs w:val="24"/>
              </w:rPr>
              <w:fldChar w:fldCharType="separate"/>
            </w:r>
            <w:r w:rsidR="00537477" w:rsidRPr="00537477">
              <w:rPr>
                <w:rFonts w:ascii="Cambria" w:hAnsi="Cambria"/>
                <w:noProof/>
                <w:webHidden/>
                <w:sz w:val="24"/>
                <w:szCs w:val="24"/>
              </w:rPr>
              <w:t>73</w:t>
            </w:r>
            <w:r w:rsidR="00537477" w:rsidRPr="00537477">
              <w:rPr>
                <w:rFonts w:ascii="Cambria" w:hAnsi="Cambria"/>
                <w:noProof/>
                <w:webHidden/>
                <w:sz w:val="24"/>
                <w:szCs w:val="24"/>
              </w:rPr>
              <w:fldChar w:fldCharType="end"/>
            </w:r>
          </w:hyperlink>
        </w:p>
        <w:p w14:paraId="6E955BDE" w14:textId="61F2DB16" w:rsidR="00537477" w:rsidRPr="00537477" w:rsidRDefault="00CC0421">
          <w:pPr>
            <w:pStyle w:val="Verzeichnis2"/>
            <w:rPr>
              <w:rFonts w:ascii="Cambria" w:eastAsiaTheme="minorEastAsia" w:hAnsi="Cambria" w:cstheme="minorBidi"/>
              <w:noProof/>
              <w:color w:val="auto"/>
              <w:sz w:val="24"/>
              <w:szCs w:val="24"/>
              <w:bdr w:val="none" w:sz="0" w:space="0" w:color="auto"/>
            </w:rPr>
          </w:pPr>
          <w:hyperlink w:anchor="_Toc31278509" w:history="1">
            <w:r w:rsidR="00537477" w:rsidRPr="00537477">
              <w:rPr>
                <w:rStyle w:val="Hyperlink"/>
                <w:rFonts w:ascii="Cambria" w:hAnsi="Cambria"/>
                <w:noProof/>
                <w:sz w:val="24"/>
                <w:szCs w:val="24"/>
              </w:rPr>
              <w:t>P. Nierenersatztherapie</w:t>
            </w:r>
            <w:r w:rsidR="00537477" w:rsidRPr="00537477">
              <w:rPr>
                <w:rFonts w:ascii="Cambria" w:hAnsi="Cambria"/>
                <w:noProof/>
                <w:webHidden/>
                <w:sz w:val="24"/>
                <w:szCs w:val="24"/>
              </w:rPr>
              <w:tab/>
            </w:r>
            <w:r w:rsidR="00537477" w:rsidRPr="00537477">
              <w:rPr>
                <w:rFonts w:ascii="Cambria" w:hAnsi="Cambria"/>
                <w:noProof/>
                <w:webHidden/>
                <w:sz w:val="24"/>
                <w:szCs w:val="24"/>
              </w:rPr>
              <w:fldChar w:fldCharType="begin"/>
            </w:r>
            <w:r w:rsidR="00537477" w:rsidRPr="00537477">
              <w:rPr>
                <w:rFonts w:ascii="Cambria" w:hAnsi="Cambria"/>
                <w:noProof/>
                <w:webHidden/>
                <w:sz w:val="24"/>
                <w:szCs w:val="24"/>
              </w:rPr>
              <w:instrText xml:space="preserve"> PAGEREF _Toc31278509 \h </w:instrText>
            </w:r>
            <w:r w:rsidR="00537477" w:rsidRPr="00537477">
              <w:rPr>
                <w:rFonts w:ascii="Cambria" w:hAnsi="Cambria"/>
                <w:noProof/>
                <w:webHidden/>
                <w:sz w:val="24"/>
                <w:szCs w:val="24"/>
              </w:rPr>
            </w:r>
            <w:r w:rsidR="00537477" w:rsidRPr="00537477">
              <w:rPr>
                <w:rFonts w:ascii="Cambria" w:hAnsi="Cambria"/>
                <w:noProof/>
                <w:webHidden/>
                <w:sz w:val="24"/>
                <w:szCs w:val="24"/>
              </w:rPr>
              <w:fldChar w:fldCharType="separate"/>
            </w:r>
            <w:r w:rsidR="00537477" w:rsidRPr="00537477">
              <w:rPr>
                <w:rFonts w:ascii="Cambria" w:hAnsi="Cambria"/>
                <w:noProof/>
                <w:webHidden/>
                <w:sz w:val="24"/>
                <w:szCs w:val="24"/>
              </w:rPr>
              <w:t>75</w:t>
            </w:r>
            <w:r w:rsidR="00537477" w:rsidRPr="00537477">
              <w:rPr>
                <w:rFonts w:ascii="Cambria" w:hAnsi="Cambria"/>
                <w:noProof/>
                <w:webHidden/>
                <w:sz w:val="24"/>
                <w:szCs w:val="24"/>
              </w:rPr>
              <w:fldChar w:fldCharType="end"/>
            </w:r>
          </w:hyperlink>
        </w:p>
        <w:p w14:paraId="72F254E6" w14:textId="64F2F2DE" w:rsidR="00537477" w:rsidRPr="00537477" w:rsidRDefault="00CC0421">
          <w:pPr>
            <w:pStyle w:val="Verzeichnis2"/>
            <w:rPr>
              <w:rFonts w:ascii="Cambria" w:eastAsiaTheme="minorEastAsia" w:hAnsi="Cambria" w:cstheme="minorBidi"/>
              <w:noProof/>
              <w:color w:val="auto"/>
              <w:sz w:val="24"/>
              <w:szCs w:val="24"/>
              <w:bdr w:val="none" w:sz="0" w:space="0" w:color="auto"/>
            </w:rPr>
          </w:pPr>
          <w:hyperlink w:anchor="_Toc31278510" w:history="1">
            <w:r w:rsidR="00537477" w:rsidRPr="00537477">
              <w:rPr>
                <w:rStyle w:val="Hyperlink"/>
                <w:rFonts w:ascii="Cambria" w:hAnsi="Cambria"/>
                <w:noProof/>
                <w:sz w:val="24"/>
                <w:szCs w:val="24"/>
              </w:rPr>
              <w:t>Q. Bicarbonattherapie</w:t>
            </w:r>
            <w:r w:rsidR="00537477" w:rsidRPr="00537477">
              <w:rPr>
                <w:rFonts w:ascii="Cambria" w:hAnsi="Cambria"/>
                <w:noProof/>
                <w:webHidden/>
                <w:sz w:val="24"/>
                <w:szCs w:val="24"/>
              </w:rPr>
              <w:tab/>
            </w:r>
            <w:r w:rsidR="00537477" w:rsidRPr="00537477">
              <w:rPr>
                <w:rFonts w:ascii="Cambria" w:hAnsi="Cambria"/>
                <w:noProof/>
                <w:webHidden/>
                <w:sz w:val="24"/>
                <w:szCs w:val="24"/>
              </w:rPr>
              <w:fldChar w:fldCharType="begin"/>
            </w:r>
            <w:r w:rsidR="00537477" w:rsidRPr="00537477">
              <w:rPr>
                <w:rFonts w:ascii="Cambria" w:hAnsi="Cambria"/>
                <w:noProof/>
                <w:webHidden/>
                <w:sz w:val="24"/>
                <w:szCs w:val="24"/>
              </w:rPr>
              <w:instrText xml:space="preserve"> PAGEREF _Toc31278510 \h </w:instrText>
            </w:r>
            <w:r w:rsidR="00537477" w:rsidRPr="00537477">
              <w:rPr>
                <w:rFonts w:ascii="Cambria" w:hAnsi="Cambria"/>
                <w:noProof/>
                <w:webHidden/>
                <w:sz w:val="24"/>
                <w:szCs w:val="24"/>
              </w:rPr>
            </w:r>
            <w:r w:rsidR="00537477" w:rsidRPr="00537477">
              <w:rPr>
                <w:rFonts w:ascii="Cambria" w:hAnsi="Cambria"/>
                <w:noProof/>
                <w:webHidden/>
                <w:sz w:val="24"/>
                <w:szCs w:val="24"/>
              </w:rPr>
              <w:fldChar w:fldCharType="separate"/>
            </w:r>
            <w:r w:rsidR="00537477" w:rsidRPr="00537477">
              <w:rPr>
                <w:rFonts w:ascii="Cambria" w:hAnsi="Cambria"/>
                <w:noProof/>
                <w:webHidden/>
                <w:sz w:val="24"/>
                <w:szCs w:val="24"/>
              </w:rPr>
              <w:t>77</w:t>
            </w:r>
            <w:r w:rsidR="00537477" w:rsidRPr="00537477">
              <w:rPr>
                <w:rFonts w:ascii="Cambria" w:hAnsi="Cambria"/>
                <w:noProof/>
                <w:webHidden/>
                <w:sz w:val="24"/>
                <w:szCs w:val="24"/>
              </w:rPr>
              <w:fldChar w:fldCharType="end"/>
            </w:r>
          </w:hyperlink>
        </w:p>
        <w:p w14:paraId="55AFE221" w14:textId="20D8E637" w:rsidR="00537477" w:rsidRPr="00537477" w:rsidRDefault="00CC0421">
          <w:pPr>
            <w:pStyle w:val="Verzeichnis2"/>
            <w:rPr>
              <w:rFonts w:ascii="Cambria" w:eastAsiaTheme="minorEastAsia" w:hAnsi="Cambria" w:cstheme="minorBidi"/>
              <w:noProof/>
              <w:color w:val="auto"/>
              <w:sz w:val="24"/>
              <w:szCs w:val="24"/>
              <w:bdr w:val="none" w:sz="0" w:space="0" w:color="auto"/>
            </w:rPr>
          </w:pPr>
          <w:hyperlink w:anchor="_Toc31278511" w:history="1">
            <w:r w:rsidR="00537477" w:rsidRPr="00537477">
              <w:rPr>
                <w:rStyle w:val="Hyperlink"/>
                <w:rFonts w:ascii="Cambria" w:hAnsi="Cambria"/>
                <w:noProof/>
                <w:sz w:val="24"/>
                <w:szCs w:val="24"/>
              </w:rPr>
              <w:t>R. Prophylaxe einer venösen Thromboembolie</w:t>
            </w:r>
            <w:r w:rsidR="00537477" w:rsidRPr="00537477">
              <w:rPr>
                <w:rFonts w:ascii="Cambria" w:hAnsi="Cambria"/>
                <w:noProof/>
                <w:webHidden/>
                <w:sz w:val="24"/>
                <w:szCs w:val="24"/>
              </w:rPr>
              <w:tab/>
            </w:r>
            <w:r w:rsidR="00537477" w:rsidRPr="00537477">
              <w:rPr>
                <w:rFonts w:ascii="Cambria" w:hAnsi="Cambria"/>
                <w:noProof/>
                <w:webHidden/>
                <w:sz w:val="24"/>
                <w:szCs w:val="24"/>
              </w:rPr>
              <w:fldChar w:fldCharType="begin"/>
            </w:r>
            <w:r w:rsidR="00537477" w:rsidRPr="00537477">
              <w:rPr>
                <w:rFonts w:ascii="Cambria" w:hAnsi="Cambria"/>
                <w:noProof/>
                <w:webHidden/>
                <w:sz w:val="24"/>
                <w:szCs w:val="24"/>
              </w:rPr>
              <w:instrText xml:space="preserve"> PAGEREF _Toc31278511 \h </w:instrText>
            </w:r>
            <w:r w:rsidR="00537477" w:rsidRPr="00537477">
              <w:rPr>
                <w:rFonts w:ascii="Cambria" w:hAnsi="Cambria"/>
                <w:noProof/>
                <w:webHidden/>
                <w:sz w:val="24"/>
                <w:szCs w:val="24"/>
              </w:rPr>
            </w:r>
            <w:r w:rsidR="00537477" w:rsidRPr="00537477">
              <w:rPr>
                <w:rFonts w:ascii="Cambria" w:hAnsi="Cambria"/>
                <w:noProof/>
                <w:webHidden/>
                <w:sz w:val="24"/>
                <w:szCs w:val="24"/>
              </w:rPr>
              <w:fldChar w:fldCharType="separate"/>
            </w:r>
            <w:r w:rsidR="00537477" w:rsidRPr="00537477">
              <w:rPr>
                <w:rFonts w:ascii="Cambria" w:hAnsi="Cambria"/>
                <w:noProof/>
                <w:webHidden/>
                <w:sz w:val="24"/>
                <w:szCs w:val="24"/>
              </w:rPr>
              <w:t>78</w:t>
            </w:r>
            <w:r w:rsidR="00537477" w:rsidRPr="00537477">
              <w:rPr>
                <w:rFonts w:ascii="Cambria" w:hAnsi="Cambria"/>
                <w:noProof/>
                <w:webHidden/>
                <w:sz w:val="24"/>
                <w:szCs w:val="24"/>
              </w:rPr>
              <w:fldChar w:fldCharType="end"/>
            </w:r>
          </w:hyperlink>
        </w:p>
        <w:p w14:paraId="5782FF74" w14:textId="67042B6A" w:rsidR="00537477" w:rsidRPr="00537477" w:rsidRDefault="00CC0421">
          <w:pPr>
            <w:pStyle w:val="Verzeichnis2"/>
            <w:rPr>
              <w:rFonts w:ascii="Cambria" w:eastAsiaTheme="minorEastAsia" w:hAnsi="Cambria" w:cstheme="minorBidi"/>
              <w:noProof/>
              <w:color w:val="auto"/>
              <w:sz w:val="24"/>
              <w:szCs w:val="24"/>
              <w:bdr w:val="none" w:sz="0" w:space="0" w:color="auto"/>
            </w:rPr>
          </w:pPr>
          <w:hyperlink w:anchor="_Toc31278512" w:history="1">
            <w:r w:rsidR="00537477" w:rsidRPr="00537477">
              <w:rPr>
                <w:rStyle w:val="Hyperlink"/>
                <w:rFonts w:ascii="Cambria" w:hAnsi="Cambria"/>
                <w:noProof/>
                <w:sz w:val="24"/>
                <w:szCs w:val="24"/>
              </w:rPr>
              <w:t>S. Stressulkusprophylaxe</w:t>
            </w:r>
            <w:r w:rsidR="00537477" w:rsidRPr="00537477">
              <w:rPr>
                <w:rFonts w:ascii="Cambria" w:hAnsi="Cambria"/>
                <w:noProof/>
                <w:webHidden/>
                <w:sz w:val="24"/>
                <w:szCs w:val="24"/>
              </w:rPr>
              <w:tab/>
            </w:r>
            <w:r w:rsidR="00537477" w:rsidRPr="00537477">
              <w:rPr>
                <w:rFonts w:ascii="Cambria" w:hAnsi="Cambria"/>
                <w:noProof/>
                <w:webHidden/>
                <w:sz w:val="24"/>
                <w:szCs w:val="24"/>
              </w:rPr>
              <w:fldChar w:fldCharType="begin"/>
            </w:r>
            <w:r w:rsidR="00537477" w:rsidRPr="00537477">
              <w:rPr>
                <w:rFonts w:ascii="Cambria" w:hAnsi="Cambria"/>
                <w:noProof/>
                <w:webHidden/>
                <w:sz w:val="24"/>
                <w:szCs w:val="24"/>
              </w:rPr>
              <w:instrText xml:space="preserve"> PAGEREF _Toc31278512 \h </w:instrText>
            </w:r>
            <w:r w:rsidR="00537477" w:rsidRPr="00537477">
              <w:rPr>
                <w:rFonts w:ascii="Cambria" w:hAnsi="Cambria"/>
                <w:noProof/>
                <w:webHidden/>
                <w:sz w:val="24"/>
                <w:szCs w:val="24"/>
              </w:rPr>
            </w:r>
            <w:r w:rsidR="00537477" w:rsidRPr="00537477">
              <w:rPr>
                <w:rFonts w:ascii="Cambria" w:hAnsi="Cambria"/>
                <w:noProof/>
                <w:webHidden/>
                <w:sz w:val="24"/>
                <w:szCs w:val="24"/>
              </w:rPr>
              <w:fldChar w:fldCharType="separate"/>
            </w:r>
            <w:r w:rsidR="00537477" w:rsidRPr="00537477">
              <w:rPr>
                <w:rFonts w:ascii="Cambria" w:hAnsi="Cambria"/>
                <w:noProof/>
                <w:webHidden/>
                <w:sz w:val="24"/>
                <w:szCs w:val="24"/>
              </w:rPr>
              <w:t>84</w:t>
            </w:r>
            <w:r w:rsidR="00537477" w:rsidRPr="00537477">
              <w:rPr>
                <w:rFonts w:ascii="Cambria" w:hAnsi="Cambria"/>
                <w:noProof/>
                <w:webHidden/>
                <w:sz w:val="24"/>
                <w:szCs w:val="24"/>
              </w:rPr>
              <w:fldChar w:fldCharType="end"/>
            </w:r>
          </w:hyperlink>
        </w:p>
        <w:p w14:paraId="578EDB75" w14:textId="45FC6D4C" w:rsidR="00537477" w:rsidRPr="00537477" w:rsidRDefault="00CC0421">
          <w:pPr>
            <w:pStyle w:val="Verzeichnis2"/>
            <w:rPr>
              <w:rFonts w:ascii="Cambria" w:eastAsiaTheme="minorEastAsia" w:hAnsi="Cambria" w:cstheme="minorBidi"/>
              <w:noProof/>
              <w:color w:val="auto"/>
              <w:sz w:val="24"/>
              <w:szCs w:val="24"/>
              <w:bdr w:val="none" w:sz="0" w:space="0" w:color="auto"/>
            </w:rPr>
          </w:pPr>
          <w:hyperlink w:anchor="_Toc31278513" w:history="1">
            <w:r w:rsidR="00537477" w:rsidRPr="00537477">
              <w:rPr>
                <w:rStyle w:val="Hyperlink"/>
                <w:rFonts w:ascii="Cambria" w:hAnsi="Cambria"/>
                <w:noProof/>
                <w:sz w:val="24"/>
                <w:szCs w:val="24"/>
              </w:rPr>
              <w:t>T. Ernährung</w:t>
            </w:r>
            <w:r w:rsidR="00537477" w:rsidRPr="00537477">
              <w:rPr>
                <w:rFonts w:ascii="Cambria" w:hAnsi="Cambria"/>
                <w:noProof/>
                <w:webHidden/>
                <w:sz w:val="24"/>
                <w:szCs w:val="24"/>
              </w:rPr>
              <w:tab/>
            </w:r>
            <w:r w:rsidR="00537477" w:rsidRPr="00537477">
              <w:rPr>
                <w:rFonts w:ascii="Cambria" w:hAnsi="Cambria"/>
                <w:noProof/>
                <w:webHidden/>
                <w:sz w:val="24"/>
                <w:szCs w:val="24"/>
              </w:rPr>
              <w:fldChar w:fldCharType="begin"/>
            </w:r>
            <w:r w:rsidR="00537477" w:rsidRPr="00537477">
              <w:rPr>
                <w:rFonts w:ascii="Cambria" w:hAnsi="Cambria"/>
                <w:noProof/>
                <w:webHidden/>
                <w:sz w:val="24"/>
                <w:szCs w:val="24"/>
              </w:rPr>
              <w:instrText xml:space="preserve"> PAGEREF _Toc31278513 \h </w:instrText>
            </w:r>
            <w:r w:rsidR="00537477" w:rsidRPr="00537477">
              <w:rPr>
                <w:rFonts w:ascii="Cambria" w:hAnsi="Cambria"/>
                <w:noProof/>
                <w:webHidden/>
                <w:sz w:val="24"/>
                <w:szCs w:val="24"/>
              </w:rPr>
            </w:r>
            <w:r w:rsidR="00537477" w:rsidRPr="00537477">
              <w:rPr>
                <w:rFonts w:ascii="Cambria" w:hAnsi="Cambria"/>
                <w:noProof/>
                <w:webHidden/>
                <w:sz w:val="24"/>
                <w:szCs w:val="24"/>
              </w:rPr>
              <w:fldChar w:fldCharType="separate"/>
            </w:r>
            <w:r w:rsidR="00537477" w:rsidRPr="00537477">
              <w:rPr>
                <w:rFonts w:ascii="Cambria" w:hAnsi="Cambria"/>
                <w:noProof/>
                <w:webHidden/>
                <w:sz w:val="24"/>
                <w:szCs w:val="24"/>
              </w:rPr>
              <w:t>86</w:t>
            </w:r>
            <w:r w:rsidR="00537477" w:rsidRPr="00537477">
              <w:rPr>
                <w:rFonts w:ascii="Cambria" w:hAnsi="Cambria"/>
                <w:noProof/>
                <w:webHidden/>
                <w:sz w:val="24"/>
                <w:szCs w:val="24"/>
              </w:rPr>
              <w:fldChar w:fldCharType="end"/>
            </w:r>
          </w:hyperlink>
        </w:p>
        <w:p w14:paraId="1E85FAF0" w14:textId="3D96DCA1" w:rsidR="00537477" w:rsidRPr="00537477" w:rsidRDefault="00CC0421">
          <w:pPr>
            <w:pStyle w:val="Verzeichnis2"/>
            <w:rPr>
              <w:rFonts w:ascii="Cambria" w:eastAsiaTheme="minorEastAsia" w:hAnsi="Cambria" w:cstheme="minorBidi"/>
              <w:noProof/>
              <w:color w:val="auto"/>
              <w:sz w:val="24"/>
              <w:szCs w:val="24"/>
              <w:bdr w:val="none" w:sz="0" w:space="0" w:color="auto"/>
            </w:rPr>
          </w:pPr>
          <w:hyperlink w:anchor="_Toc31278514" w:history="1">
            <w:r w:rsidR="00537477" w:rsidRPr="00537477">
              <w:rPr>
                <w:rStyle w:val="Hyperlink"/>
                <w:rFonts w:ascii="Cambria" w:hAnsi="Cambria"/>
                <w:noProof/>
                <w:sz w:val="24"/>
                <w:szCs w:val="24"/>
              </w:rPr>
              <w:t>U. Setzen von Behandlungszielen</w:t>
            </w:r>
            <w:r w:rsidR="00537477" w:rsidRPr="00537477">
              <w:rPr>
                <w:rFonts w:ascii="Cambria" w:hAnsi="Cambria"/>
                <w:noProof/>
                <w:webHidden/>
                <w:sz w:val="24"/>
                <w:szCs w:val="24"/>
              </w:rPr>
              <w:tab/>
            </w:r>
            <w:r w:rsidR="00537477" w:rsidRPr="00537477">
              <w:rPr>
                <w:rFonts w:ascii="Cambria" w:hAnsi="Cambria"/>
                <w:noProof/>
                <w:webHidden/>
                <w:sz w:val="24"/>
                <w:szCs w:val="24"/>
              </w:rPr>
              <w:fldChar w:fldCharType="begin"/>
            </w:r>
            <w:r w:rsidR="00537477" w:rsidRPr="00537477">
              <w:rPr>
                <w:rFonts w:ascii="Cambria" w:hAnsi="Cambria"/>
                <w:noProof/>
                <w:webHidden/>
                <w:sz w:val="24"/>
                <w:szCs w:val="24"/>
              </w:rPr>
              <w:instrText xml:space="preserve"> PAGEREF _Toc31278514 \h </w:instrText>
            </w:r>
            <w:r w:rsidR="00537477" w:rsidRPr="00537477">
              <w:rPr>
                <w:rFonts w:ascii="Cambria" w:hAnsi="Cambria"/>
                <w:noProof/>
                <w:webHidden/>
                <w:sz w:val="24"/>
                <w:szCs w:val="24"/>
              </w:rPr>
            </w:r>
            <w:r w:rsidR="00537477" w:rsidRPr="00537477">
              <w:rPr>
                <w:rFonts w:ascii="Cambria" w:hAnsi="Cambria"/>
                <w:noProof/>
                <w:webHidden/>
                <w:sz w:val="24"/>
                <w:szCs w:val="24"/>
              </w:rPr>
              <w:fldChar w:fldCharType="separate"/>
            </w:r>
            <w:r w:rsidR="00537477" w:rsidRPr="00537477">
              <w:rPr>
                <w:rFonts w:ascii="Cambria" w:hAnsi="Cambria"/>
                <w:noProof/>
                <w:webHidden/>
                <w:sz w:val="24"/>
                <w:szCs w:val="24"/>
              </w:rPr>
              <w:t>99</w:t>
            </w:r>
            <w:r w:rsidR="00537477" w:rsidRPr="00537477">
              <w:rPr>
                <w:rFonts w:ascii="Cambria" w:hAnsi="Cambria"/>
                <w:noProof/>
                <w:webHidden/>
                <w:sz w:val="24"/>
                <w:szCs w:val="24"/>
              </w:rPr>
              <w:fldChar w:fldCharType="end"/>
            </w:r>
          </w:hyperlink>
        </w:p>
        <w:p w14:paraId="14F87E17" w14:textId="42660160" w:rsidR="00537477" w:rsidRPr="00537477" w:rsidRDefault="00CC0421">
          <w:pPr>
            <w:pStyle w:val="Verzeichnis2"/>
            <w:rPr>
              <w:rFonts w:ascii="Cambria" w:eastAsiaTheme="minorEastAsia" w:hAnsi="Cambria" w:cstheme="minorBidi"/>
              <w:noProof/>
              <w:color w:val="auto"/>
              <w:sz w:val="24"/>
              <w:szCs w:val="24"/>
              <w:bdr w:val="none" w:sz="0" w:space="0" w:color="auto"/>
            </w:rPr>
          </w:pPr>
          <w:hyperlink w:anchor="_Toc31278515" w:history="1">
            <w:r w:rsidR="00537477" w:rsidRPr="00537477">
              <w:rPr>
                <w:rStyle w:val="Hyperlink"/>
                <w:rFonts w:ascii="Cambria" w:hAnsi="Cambria"/>
                <w:noProof/>
                <w:sz w:val="24"/>
                <w:szCs w:val="24"/>
              </w:rPr>
              <w:t>Spätfolgen der Sepsis</w:t>
            </w:r>
            <w:r w:rsidR="00537477" w:rsidRPr="00537477">
              <w:rPr>
                <w:rFonts w:ascii="Cambria" w:hAnsi="Cambria"/>
                <w:noProof/>
                <w:webHidden/>
                <w:sz w:val="24"/>
                <w:szCs w:val="24"/>
              </w:rPr>
              <w:tab/>
            </w:r>
            <w:r w:rsidR="00537477" w:rsidRPr="00537477">
              <w:rPr>
                <w:rFonts w:ascii="Cambria" w:hAnsi="Cambria"/>
                <w:noProof/>
                <w:webHidden/>
                <w:sz w:val="24"/>
                <w:szCs w:val="24"/>
              </w:rPr>
              <w:fldChar w:fldCharType="begin"/>
            </w:r>
            <w:r w:rsidR="00537477" w:rsidRPr="00537477">
              <w:rPr>
                <w:rFonts w:ascii="Cambria" w:hAnsi="Cambria"/>
                <w:noProof/>
                <w:webHidden/>
                <w:sz w:val="24"/>
                <w:szCs w:val="24"/>
              </w:rPr>
              <w:instrText xml:space="preserve"> PAGEREF _Toc31278515 \h </w:instrText>
            </w:r>
            <w:r w:rsidR="00537477" w:rsidRPr="00537477">
              <w:rPr>
                <w:rFonts w:ascii="Cambria" w:hAnsi="Cambria"/>
                <w:noProof/>
                <w:webHidden/>
                <w:sz w:val="24"/>
                <w:szCs w:val="24"/>
              </w:rPr>
            </w:r>
            <w:r w:rsidR="00537477" w:rsidRPr="00537477">
              <w:rPr>
                <w:rFonts w:ascii="Cambria" w:hAnsi="Cambria"/>
                <w:noProof/>
                <w:webHidden/>
                <w:sz w:val="24"/>
                <w:szCs w:val="24"/>
              </w:rPr>
              <w:fldChar w:fldCharType="separate"/>
            </w:r>
            <w:r w:rsidR="00537477" w:rsidRPr="00537477">
              <w:rPr>
                <w:rFonts w:ascii="Cambria" w:hAnsi="Cambria"/>
                <w:noProof/>
                <w:webHidden/>
                <w:sz w:val="24"/>
                <w:szCs w:val="24"/>
              </w:rPr>
              <w:t>100</w:t>
            </w:r>
            <w:r w:rsidR="00537477" w:rsidRPr="00537477">
              <w:rPr>
                <w:rFonts w:ascii="Cambria" w:hAnsi="Cambria"/>
                <w:noProof/>
                <w:webHidden/>
                <w:sz w:val="24"/>
                <w:szCs w:val="24"/>
              </w:rPr>
              <w:fldChar w:fldCharType="end"/>
            </w:r>
          </w:hyperlink>
        </w:p>
        <w:p w14:paraId="1C09F4FA" w14:textId="21F040FD" w:rsidR="00537477" w:rsidRPr="00537477" w:rsidRDefault="00CC0421">
          <w:pPr>
            <w:pStyle w:val="Verzeichnis1"/>
            <w:rPr>
              <w:rFonts w:ascii="Cambria" w:eastAsiaTheme="minorEastAsia" w:hAnsi="Cambria" w:cstheme="minorBidi"/>
              <w:noProof/>
              <w:color w:val="auto"/>
              <w:sz w:val="24"/>
              <w:szCs w:val="24"/>
              <w:bdr w:val="none" w:sz="0" w:space="0" w:color="auto"/>
            </w:rPr>
          </w:pPr>
          <w:hyperlink w:anchor="_Toc31278516" w:history="1">
            <w:r w:rsidR="00537477" w:rsidRPr="00537477">
              <w:rPr>
                <w:rStyle w:val="Hyperlink"/>
                <w:rFonts w:ascii="Cambria" w:hAnsi="Cambria"/>
                <w:noProof/>
                <w:sz w:val="24"/>
                <w:szCs w:val="24"/>
              </w:rPr>
              <w:t>4.</w:t>
            </w:r>
            <w:r w:rsidR="00537477" w:rsidRPr="00537477">
              <w:rPr>
                <w:rFonts w:ascii="Cambria" w:eastAsiaTheme="minorEastAsia" w:hAnsi="Cambria" w:cstheme="minorBidi"/>
                <w:noProof/>
                <w:color w:val="auto"/>
                <w:sz w:val="24"/>
                <w:szCs w:val="24"/>
                <w:bdr w:val="none" w:sz="0" w:space="0" w:color="auto"/>
              </w:rPr>
              <w:tab/>
            </w:r>
            <w:r w:rsidR="00537477" w:rsidRPr="00537477">
              <w:rPr>
                <w:rStyle w:val="Hyperlink"/>
                <w:rFonts w:ascii="Cambria" w:hAnsi="Cambria"/>
                <w:noProof/>
                <w:sz w:val="24"/>
                <w:szCs w:val="24"/>
              </w:rPr>
              <w:t>Anhang</w:t>
            </w:r>
            <w:r w:rsidR="00537477" w:rsidRPr="00537477">
              <w:rPr>
                <w:rFonts w:ascii="Cambria" w:hAnsi="Cambria"/>
                <w:noProof/>
                <w:webHidden/>
                <w:sz w:val="24"/>
                <w:szCs w:val="24"/>
              </w:rPr>
              <w:tab/>
            </w:r>
            <w:r w:rsidR="00537477" w:rsidRPr="00537477">
              <w:rPr>
                <w:rFonts w:ascii="Cambria" w:hAnsi="Cambria"/>
                <w:noProof/>
                <w:webHidden/>
                <w:sz w:val="24"/>
                <w:szCs w:val="24"/>
              </w:rPr>
              <w:fldChar w:fldCharType="begin"/>
            </w:r>
            <w:r w:rsidR="00537477" w:rsidRPr="00537477">
              <w:rPr>
                <w:rFonts w:ascii="Cambria" w:hAnsi="Cambria"/>
                <w:noProof/>
                <w:webHidden/>
                <w:sz w:val="24"/>
                <w:szCs w:val="24"/>
              </w:rPr>
              <w:instrText xml:space="preserve"> PAGEREF _Toc31278516 \h </w:instrText>
            </w:r>
            <w:r w:rsidR="00537477" w:rsidRPr="00537477">
              <w:rPr>
                <w:rFonts w:ascii="Cambria" w:hAnsi="Cambria"/>
                <w:noProof/>
                <w:webHidden/>
                <w:sz w:val="24"/>
                <w:szCs w:val="24"/>
              </w:rPr>
            </w:r>
            <w:r w:rsidR="00537477" w:rsidRPr="00537477">
              <w:rPr>
                <w:rFonts w:ascii="Cambria" w:hAnsi="Cambria"/>
                <w:noProof/>
                <w:webHidden/>
                <w:sz w:val="24"/>
                <w:szCs w:val="24"/>
              </w:rPr>
              <w:fldChar w:fldCharType="separate"/>
            </w:r>
            <w:r w:rsidR="00537477" w:rsidRPr="00537477">
              <w:rPr>
                <w:rFonts w:ascii="Cambria" w:hAnsi="Cambria"/>
                <w:noProof/>
                <w:webHidden/>
                <w:sz w:val="24"/>
                <w:szCs w:val="24"/>
              </w:rPr>
              <w:t>102</w:t>
            </w:r>
            <w:r w:rsidR="00537477" w:rsidRPr="00537477">
              <w:rPr>
                <w:rFonts w:ascii="Cambria" w:hAnsi="Cambria"/>
                <w:noProof/>
                <w:webHidden/>
                <w:sz w:val="24"/>
                <w:szCs w:val="24"/>
              </w:rPr>
              <w:fldChar w:fldCharType="end"/>
            </w:r>
          </w:hyperlink>
        </w:p>
        <w:p w14:paraId="4507CC46" w14:textId="485B60A3" w:rsidR="00537477" w:rsidRPr="00537477" w:rsidRDefault="00CC0421">
          <w:pPr>
            <w:pStyle w:val="Verzeichnis1"/>
            <w:rPr>
              <w:rFonts w:ascii="Cambria" w:eastAsiaTheme="minorEastAsia" w:hAnsi="Cambria" w:cstheme="minorBidi"/>
              <w:noProof/>
              <w:color w:val="auto"/>
              <w:sz w:val="24"/>
              <w:szCs w:val="24"/>
              <w:bdr w:val="none" w:sz="0" w:space="0" w:color="auto"/>
            </w:rPr>
          </w:pPr>
          <w:hyperlink w:anchor="_Toc31278517" w:history="1">
            <w:r w:rsidR="00537477" w:rsidRPr="00537477">
              <w:rPr>
                <w:rStyle w:val="Hyperlink"/>
                <w:rFonts w:ascii="Cambria" w:hAnsi="Cambria"/>
                <w:noProof/>
                <w:sz w:val="24"/>
                <w:szCs w:val="24"/>
              </w:rPr>
              <w:t>5.</w:t>
            </w:r>
            <w:r w:rsidR="00537477" w:rsidRPr="00537477">
              <w:rPr>
                <w:rFonts w:ascii="Cambria" w:eastAsiaTheme="minorEastAsia" w:hAnsi="Cambria" w:cstheme="minorBidi"/>
                <w:noProof/>
                <w:color w:val="auto"/>
                <w:sz w:val="24"/>
                <w:szCs w:val="24"/>
                <w:bdr w:val="none" w:sz="0" w:space="0" w:color="auto"/>
              </w:rPr>
              <w:tab/>
            </w:r>
            <w:r w:rsidR="00537477" w:rsidRPr="00537477">
              <w:rPr>
                <w:rStyle w:val="Hyperlink"/>
                <w:rFonts w:ascii="Cambria" w:hAnsi="Cambria"/>
                <w:noProof/>
                <w:sz w:val="24"/>
                <w:szCs w:val="24"/>
              </w:rPr>
              <w:t>Literatur</w:t>
            </w:r>
            <w:r w:rsidR="00537477" w:rsidRPr="00537477">
              <w:rPr>
                <w:rFonts w:ascii="Cambria" w:hAnsi="Cambria"/>
                <w:noProof/>
                <w:webHidden/>
                <w:sz w:val="24"/>
                <w:szCs w:val="24"/>
              </w:rPr>
              <w:tab/>
            </w:r>
            <w:r w:rsidR="00537477" w:rsidRPr="00537477">
              <w:rPr>
                <w:rFonts w:ascii="Cambria" w:hAnsi="Cambria"/>
                <w:noProof/>
                <w:webHidden/>
                <w:sz w:val="24"/>
                <w:szCs w:val="24"/>
              </w:rPr>
              <w:fldChar w:fldCharType="begin"/>
            </w:r>
            <w:r w:rsidR="00537477" w:rsidRPr="00537477">
              <w:rPr>
                <w:rFonts w:ascii="Cambria" w:hAnsi="Cambria"/>
                <w:noProof/>
                <w:webHidden/>
                <w:sz w:val="24"/>
                <w:szCs w:val="24"/>
              </w:rPr>
              <w:instrText xml:space="preserve"> PAGEREF _Toc31278517 \h </w:instrText>
            </w:r>
            <w:r w:rsidR="00537477" w:rsidRPr="00537477">
              <w:rPr>
                <w:rFonts w:ascii="Cambria" w:hAnsi="Cambria"/>
                <w:noProof/>
                <w:webHidden/>
                <w:sz w:val="24"/>
                <w:szCs w:val="24"/>
              </w:rPr>
            </w:r>
            <w:r w:rsidR="00537477" w:rsidRPr="00537477">
              <w:rPr>
                <w:rFonts w:ascii="Cambria" w:hAnsi="Cambria"/>
                <w:noProof/>
                <w:webHidden/>
                <w:sz w:val="24"/>
                <w:szCs w:val="24"/>
              </w:rPr>
              <w:fldChar w:fldCharType="separate"/>
            </w:r>
            <w:r w:rsidR="00537477" w:rsidRPr="00537477">
              <w:rPr>
                <w:rFonts w:ascii="Cambria" w:hAnsi="Cambria"/>
                <w:noProof/>
                <w:webHidden/>
                <w:sz w:val="24"/>
                <w:szCs w:val="24"/>
              </w:rPr>
              <w:t>103</w:t>
            </w:r>
            <w:r w:rsidR="00537477" w:rsidRPr="00537477">
              <w:rPr>
                <w:rFonts w:ascii="Cambria" w:hAnsi="Cambria"/>
                <w:noProof/>
                <w:webHidden/>
                <w:sz w:val="24"/>
                <w:szCs w:val="24"/>
              </w:rPr>
              <w:fldChar w:fldCharType="end"/>
            </w:r>
          </w:hyperlink>
        </w:p>
        <w:p w14:paraId="34512108" w14:textId="57F1CDA9" w:rsidR="00691AFD" w:rsidRPr="00207748" w:rsidRDefault="00691AFD" w:rsidP="004454B6">
          <w:pPr>
            <w:rPr>
              <w:rFonts w:ascii="Cambria" w:hAnsi="Cambria"/>
              <w:sz w:val="20"/>
              <w:szCs w:val="20"/>
            </w:rPr>
          </w:pPr>
          <w:r w:rsidRPr="00537477">
            <w:rPr>
              <w:rFonts w:ascii="Cambria" w:hAnsi="Cambria"/>
              <w:b/>
              <w:bCs/>
              <w:sz w:val="24"/>
              <w:szCs w:val="24"/>
            </w:rPr>
            <w:fldChar w:fldCharType="end"/>
          </w:r>
        </w:p>
      </w:sdtContent>
    </w:sdt>
    <w:p w14:paraId="276CECAD" w14:textId="77777777" w:rsidR="00691AFD" w:rsidRPr="00207748" w:rsidRDefault="00691AFD" w:rsidP="004454B6">
      <w:pPr>
        <w:spacing w:after="0"/>
        <w:rPr>
          <w:rFonts w:ascii="Cambria" w:eastAsia="Cambria" w:hAnsi="Cambria" w:cs="Arial"/>
          <w:b/>
          <w:bCs/>
          <w:color w:val="365F91"/>
          <w:sz w:val="20"/>
          <w:szCs w:val="20"/>
          <w:u w:color="365F91"/>
          <w14:textOutline w14:w="0" w14:cap="rnd" w14:cmpd="sng" w14:algn="ctr">
            <w14:noFill/>
            <w14:prstDash w14:val="solid"/>
            <w14:bevel/>
          </w14:textOutline>
        </w:rPr>
      </w:pPr>
      <w:r w:rsidRPr="00207748">
        <w:rPr>
          <w:rFonts w:ascii="Cambria" w:hAnsi="Cambria"/>
          <w:sz w:val="20"/>
          <w:szCs w:val="20"/>
        </w:rPr>
        <w:br w:type="page"/>
      </w:r>
    </w:p>
    <w:p w14:paraId="286BB943" w14:textId="1EFBD307" w:rsidR="00883D7A" w:rsidRDefault="00447357" w:rsidP="00EF1A9E">
      <w:pPr>
        <w:pStyle w:val="berschrift1"/>
      </w:pPr>
      <w:bookmarkStart w:id="12" w:name="_Toc437861450"/>
      <w:bookmarkStart w:id="13" w:name="_Toc31278488"/>
      <w:r w:rsidRPr="00207748">
        <w:lastRenderedPageBreak/>
        <w:t>Abkürzungen</w:t>
      </w:r>
      <w:bookmarkStart w:id="14" w:name="_Toc25845044"/>
      <w:bookmarkEnd w:id="11"/>
      <w:bookmarkEnd w:id="12"/>
      <w:bookmarkEnd w:id="13"/>
      <w:bookmarkEnd w:id="14"/>
    </w:p>
    <w:p w14:paraId="66DDDA76" w14:textId="6F1B6C53" w:rsidR="00EF1A9E" w:rsidRDefault="00EF1A9E" w:rsidP="00EF1A9E"/>
    <w:p w14:paraId="0A17943B" w14:textId="77777777" w:rsidR="00EF1A9E" w:rsidRPr="00EF1A9E" w:rsidRDefault="00EF1A9E" w:rsidP="00EF1A9E">
      <w:pPr>
        <w:sectPr w:rsidR="00EF1A9E" w:rsidRPr="00EF1A9E" w:rsidSect="00883D7A">
          <w:endnotePr>
            <w:numFmt w:val="decimal"/>
          </w:endnotePr>
          <w:type w:val="continuous"/>
          <w:pgSz w:w="11900" w:h="16840"/>
          <w:pgMar w:top="1417" w:right="1417" w:bottom="1134" w:left="1417" w:header="708" w:footer="708"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9"/>
        <w:gridCol w:w="3710"/>
        <w:gridCol w:w="4737"/>
      </w:tblGrid>
      <w:tr w:rsidR="00BE73B8" w:rsidRPr="00207748" w14:paraId="4C5C4AD3" w14:textId="77777777" w:rsidTr="00264D62">
        <w:tc>
          <w:tcPr>
            <w:tcW w:w="0" w:type="auto"/>
            <w:tcBorders>
              <w:top w:val="single" w:sz="4" w:space="0" w:color="auto"/>
              <w:left w:val="single" w:sz="4" w:space="0" w:color="auto"/>
              <w:bottom w:val="single" w:sz="4" w:space="0" w:color="auto"/>
              <w:right w:val="single" w:sz="4" w:space="0" w:color="auto"/>
            </w:tcBorders>
          </w:tcPr>
          <w:p w14:paraId="570C4709" w14:textId="0BAF6E93" w:rsidR="00BE73B8" w:rsidRPr="00207748" w:rsidRDefault="00BE73B8" w:rsidP="004454B6">
            <w:pPr>
              <w:rPr>
                <w:rFonts w:ascii="Cambria" w:hAnsi="Cambria" w:cs="Arial"/>
                <w:sz w:val="20"/>
                <w:szCs w:val="20"/>
              </w:rPr>
            </w:pPr>
            <w:r>
              <w:rPr>
                <w:rFonts w:ascii="Cambria" w:hAnsi="Cambria" w:cs="Arial"/>
                <w:sz w:val="20"/>
                <w:szCs w:val="20"/>
              </w:rPr>
              <w:lastRenderedPageBreak/>
              <w:t>ABS</w:t>
            </w:r>
          </w:p>
        </w:tc>
        <w:tc>
          <w:tcPr>
            <w:tcW w:w="0" w:type="auto"/>
            <w:tcBorders>
              <w:top w:val="single" w:sz="4" w:space="0" w:color="auto"/>
              <w:left w:val="single" w:sz="4" w:space="0" w:color="auto"/>
              <w:bottom w:val="single" w:sz="4" w:space="0" w:color="auto"/>
              <w:right w:val="single" w:sz="4" w:space="0" w:color="auto"/>
            </w:tcBorders>
          </w:tcPr>
          <w:p w14:paraId="0D0DFCC3" w14:textId="6431C2C9" w:rsidR="00BE73B8" w:rsidRPr="00207748" w:rsidRDefault="00BE73B8" w:rsidP="004454B6">
            <w:pPr>
              <w:rPr>
                <w:rFonts w:ascii="Cambria" w:hAnsi="Cambria" w:cs="Arial"/>
                <w:sz w:val="20"/>
                <w:szCs w:val="20"/>
              </w:rPr>
            </w:pPr>
            <w:r>
              <w:rPr>
                <w:rFonts w:ascii="Cambria" w:hAnsi="Cambria" w:cs="Arial"/>
                <w:sz w:val="20"/>
                <w:szCs w:val="20"/>
              </w:rPr>
              <w:t>Antimicrobial Stewardship</w:t>
            </w:r>
          </w:p>
        </w:tc>
        <w:tc>
          <w:tcPr>
            <w:tcW w:w="0" w:type="auto"/>
            <w:tcBorders>
              <w:top w:val="single" w:sz="4" w:space="0" w:color="auto"/>
              <w:left w:val="single" w:sz="4" w:space="0" w:color="auto"/>
              <w:bottom w:val="single" w:sz="4" w:space="0" w:color="auto"/>
              <w:right w:val="single" w:sz="4" w:space="0" w:color="auto"/>
            </w:tcBorders>
          </w:tcPr>
          <w:p w14:paraId="6CA68C2B" w14:textId="705A764D" w:rsidR="00BE73B8" w:rsidRPr="00207748" w:rsidRDefault="00BE73B8" w:rsidP="004454B6">
            <w:pPr>
              <w:rPr>
                <w:rFonts w:ascii="Cambria" w:hAnsi="Cambria" w:cs="Arial"/>
                <w:sz w:val="20"/>
                <w:szCs w:val="20"/>
              </w:rPr>
            </w:pPr>
            <w:r w:rsidRPr="00BE73B8">
              <w:rPr>
                <w:rFonts w:ascii="Cambria" w:hAnsi="Cambria" w:cs="Arial"/>
                <w:sz w:val="20"/>
                <w:szCs w:val="20"/>
              </w:rPr>
              <w:t>Antimicrobial Stewardship</w:t>
            </w:r>
          </w:p>
        </w:tc>
      </w:tr>
      <w:tr w:rsidR="00BE73B8" w:rsidRPr="00207748" w14:paraId="53CAD380" w14:textId="77777777" w:rsidTr="00264D62">
        <w:tc>
          <w:tcPr>
            <w:tcW w:w="0" w:type="auto"/>
            <w:tcBorders>
              <w:top w:val="single" w:sz="4" w:space="0" w:color="auto"/>
              <w:left w:val="single" w:sz="4" w:space="0" w:color="auto"/>
              <w:bottom w:val="single" w:sz="4" w:space="0" w:color="auto"/>
              <w:right w:val="single" w:sz="4" w:space="0" w:color="auto"/>
            </w:tcBorders>
          </w:tcPr>
          <w:p w14:paraId="26DB98FF" w14:textId="2720B6C2" w:rsidR="00BE73B8" w:rsidRPr="00207748" w:rsidRDefault="00BE73B8" w:rsidP="004454B6">
            <w:pPr>
              <w:rPr>
                <w:rFonts w:ascii="Cambria" w:hAnsi="Cambria" w:cs="Arial"/>
                <w:sz w:val="20"/>
                <w:szCs w:val="20"/>
              </w:rPr>
            </w:pPr>
            <w:r>
              <w:rPr>
                <w:rFonts w:ascii="Cambria" w:hAnsi="Cambria" w:cs="Arial"/>
                <w:sz w:val="20"/>
                <w:szCs w:val="20"/>
              </w:rPr>
              <w:t>APRV</w:t>
            </w:r>
          </w:p>
        </w:tc>
        <w:tc>
          <w:tcPr>
            <w:tcW w:w="0" w:type="auto"/>
            <w:tcBorders>
              <w:top w:val="single" w:sz="4" w:space="0" w:color="auto"/>
              <w:left w:val="single" w:sz="4" w:space="0" w:color="auto"/>
              <w:bottom w:val="single" w:sz="4" w:space="0" w:color="auto"/>
              <w:right w:val="single" w:sz="4" w:space="0" w:color="auto"/>
            </w:tcBorders>
          </w:tcPr>
          <w:p w14:paraId="51893CF0" w14:textId="186E29C6" w:rsidR="00BE73B8" w:rsidRPr="00207748" w:rsidRDefault="00BE73B8" w:rsidP="00BE73B8">
            <w:pPr>
              <w:rPr>
                <w:rFonts w:ascii="Cambria" w:hAnsi="Cambria" w:cs="Arial"/>
                <w:sz w:val="20"/>
                <w:szCs w:val="20"/>
              </w:rPr>
            </w:pPr>
            <w:r>
              <w:rPr>
                <w:rFonts w:ascii="Cambria" w:hAnsi="Cambria" w:cs="Arial"/>
                <w:sz w:val="20"/>
                <w:szCs w:val="20"/>
              </w:rPr>
              <w:t>Airway P</w:t>
            </w:r>
            <w:r w:rsidRPr="00BE73B8">
              <w:rPr>
                <w:rFonts w:ascii="Cambria" w:hAnsi="Cambria" w:cs="Arial"/>
                <w:sz w:val="20"/>
                <w:szCs w:val="20"/>
              </w:rPr>
              <w:t xml:space="preserve">ressure </w:t>
            </w:r>
            <w:r>
              <w:rPr>
                <w:rFonts w:ascii="Cambria" w:hAnsi="Cambria" w:cs="Arial"/>
                <w:sz w:val="20"/>
                <w:szCs w:val="20"/>
              </w:rPr>
              <w:t>Release V</w:t>
            </w:r>
            <w:r w:rsidRPr="00BE73B8">
              <w:rPr>
                <w:rFonts w:ascii="Cambria" w:hAnsi="Cambria" w:cs="Arial"/>
                <w:sz w:val="20"/>
                <w:szCs w:val="20"/>
              </w:rPr>
              <w:t>entilation</w:t>
            </w:r>
          </w:p>
        </w:tc>
        <w:tc>
          <w:tcPr>
            <w:tcW w:w="0" w:type="auto"/>
            <w:tcBorders>
              <w:top w:val="single" w:sz="4" w:space="0" w:color="auto"/>
              <w:left w:val="single" w:sz="4" w:space="0" w:color="auto"/>
              <w:bottom w:val="single" w:sz="4" w:space="0" w:color="auto"/>
              <w:right w:val="single" w:sz="4" w:space="0" w:color="auto"/>
            </w:tcBorders>
          </w:tcPr>
          <w:p w14:paraId="18F395E9" w14:textId="4C6E5C99" w:rsidR="00BE73B8" w:rsidRPr="00207748" w:rsidRDefault="00BE73B8" w:rsidP="00BE73B8">
            <w:pPr>
              <w:rPr>
                <w:rFonts w:ascii="Cambria" w:hAnsi="Cambria" w:cs="Arial"/>
                <w:sz w:val="20"/>
                <w:szCs w:val="20"/>
              </w:rPr>
            </w:pPr>
            <w:r>
              <w:rPr>
                <w:rFonts w:ascii="Cambria" w:hAnsi="Cambria" w:cs="Arial"/>
                <w:sz w:val="20"/>
                <w:szCs w:val="20"/>
              </w:rPr>
              <w:t>A</w:t>
            </w:r>
            <w:r w:rsidRPr="00BE73B8">
              <w:rPr>
                <w:rFonts w:ascii="Cambria" w:hAnsi="Cambria" w:cs="Arial"/>
                <w:sz w:val="20"/>
                <w:szCs w:val="20"/>
              </w:rPr>
              <w:t>pparative Beatmung mit freier Spontanatmung kombiniert</w:t>
            </w:r>
          </w:p>
        </w:tc>
      </w:tr>
      <w:tr w:rsidR="00264D62" w:rsidRPr="00207748" w14:paraId="562BEFF8" w14:textId="77777777" w:rsidTr="00264D62">
        <w:tc>
          <w:tcPr>
            <w:tcW w:w="0" w:type="auto"/>
            <w:tcBorders>
              <w:top w:val="single" w:sz="4" w:space="0" w:color="auto"/>
              <w:left w:val="single" w:sz="4" w:space="0" w:color="auto"/>
              <w:bottom w:val="single" w:sz="4" w:space="0" w:color="auto"/>
              <w:right w:val="single" w:sz="4" w:space="0" w:color="auto"/>
            </w:tcBorders>
          </w:tcPr>
          <w:p w14:paraId="47AF15A8" w14:textId="77777777" w:rsidR="00264D62" w:rsidRPr="00207748" w:rsidRDefault="00264D62" w:rsidP="004454B6">
            <w:pPr>
              <w:rPr>
                <w:rFonts w:ascii="Cambria" w:hAnsi="Cambria" w:cs="Arial"/>
                <w:sz w:val="20"/>
                <w:szCs w:val="20"/>
              </w:rPr>
            </w:pPr>
            <w:r w:rsidRPr="00207748">
              <w:rPr>
                <w:rFonts w:ascii="Cambria" w:hAnsi="Cambria" w:cs="Arial"/>
                <w:sz w:val="20"/>
                <w:szCs w:val="20"/>
              </w:rPr>
              <w:t>ARDS</w:t>
            </w:r>
          </w:p>
        </w:tc>
        <w:tc>
          <w:tcPr>
            <w:tcW w:w="0" w:type="auto"/>
            <w:tcBorders>
              <w:top w:val="single" w:sz="4" w:space="0" w:color="auto"/>
              <w:left w:val="single" w:sz="4" w:space="0" w:color="auto"/>
              <w:bottom w:val="single" w:sz="4" w:space="0" w:color="auto"/>
              <w:right w:val="single" w:sz="4" w:space="0" w:color="auto"/>
            </w:tcBorders>
          </w:tcPr>
          <w:p w14:paraId="22DEB177" w14:textId="77777777" w:rsidR="00264D62" w:rsidRPr="00207748" w:rsidRDefault="00264D62" w:rsidP="004454B6">
            <w:pPr>
              <w:rPr>
                <w:rFonts w:ascii="Cambria" w:hAnsi="Cambria" w:cs="Arial"/>
                <w:sz w:val="20"/>
                <w:szCs w:val="20"/>
              </w:rPr>
            </w:pPr>
            <w:r w:rsidRPr="00207748">
              <w:rPr>
                <w:rFonts w:ascii="Cambria" w:hAnsi="Cambria" w:cs="Arial"/>
                <w:sz w:val="20"/>
                <w:szCs w:val="20"/>
              </w:rPr>
              <w:t>Acute Respiratory Distress Syndrome</w:t>
            </w:r>
          </w:p>
        </w:tc>
        <w:tc>
          <w:tcPr>
            <w:tcW w:w="0" w:type="auto"/>
            <w:tcBorders>
              <w:top w:val="single" w:sz="4" w:space="0" w:color="auto"/>
              <w:left w:val="single" w:sz="4" w:space="0" w:color="auto"/>
              <w:bottom w:val="single" w:sz="4" w:space="0" w:color="auto"/>
              <w:right w:val="single" w:sz="4" w:space="0" w:color="auto"/>
            </w:tcBorders>
          </w:tcPr>
          <w:p w14:paraId="544AD721" w14:textId="77777777" w:rsidR="00264D62" w:rsidRPr="00207748" w:rsidRDefault="00264D62" w:rsidP="004454B6">
            <w:pPr>
              <w:rPr>
                <w:rFonts w:ascii="Cambria" w:hAnsi="Cambria" w:cs="Arial"/>
                <w:sz w:val="20"/>
                <w:szCs w:val="20"/>
              </w:rPr>
            </w:pPr>
            <w:r w:rsidRPr="00207748">
              <w:rPr>
                <w:rFonts w:ascii="Cambria" w:hAnsi="Cambria" w:cs="Arial"/>
                <w:sz w:val="20"/>
                <w:szCs w:val="20"/>
              </w:rPr>
              <w:t>Akutes Atemnotsyndrom</w:t>
            </w:r>
          </w:p>
        </w:tc>
      </w:tr>
      <w:tr w:rsidR="00264D62" w:rsidRPr="00207748" w14:paraId="713490A9" w14:textId="77777777" w:rsidTr="00264D62">
        <w:tc>
          <w:tcPr>
            <w:tcW w:w="0" w:type="auto"/>
            <w:tcBorders>
              <w:top w:val="single" w:sz="4" w:space="0" w:color="auto"/>
              <w:left w:val="single" w:sz="4" w:space="0" w:color="auto"/>
              <w:bottom w:val="single" w:sz="4" w:space="0" w:color="auto"/>
              <w:right w:val="single" w:sz="4" w:space="0" w:color="auto"/>
            </w:tcBorders>
          </w:tcPr>
          <w:p w14:paraId="6EA1D4E8" w14:textId="77777777" w:rsidR="00264D62" w:rsidRPr="00207748" w:rsidRDefault="00264D62" w:rsidP="004454B6">
            <w:pPr>
              <w:rPr>
                <w:rFonts w:ascii="Cambria" w:hAnsi="Cambria" w:cs="Arial"/>
                <w:sz w:val="20"/>
                <w:szCs w:val="20"/>
              </w:rPr>
            </w:pPr>
            <w:r w:rsidRPr="00207748">
              <w:rPr>
                <w:rFonts w:ascii="Cambria" w:hAnsi="Cambria" w:cs="Arial"/>
                <w:sz w:val="20"/>
                <w:szCs w:val="20"/>
              </w:rPr>
              <w:t>AWMF</w:t>
            </w:r>
          </w:p>
        </w:tc>
        <w:tc>
          <w:tcPr>
            <w:tcW w:w="0" w:type="auto"/>
            <w:tcBorders>
              <w:top w:val="single" w:sz="4" w:space="0" w:color="auto"/>
              <w:left w:val="single" w:sz="4" w:space="0" w:color="auto"/>
              <w:bottom w:val="single" w:sz="4" w:space="0" w:color="auto"/>
              <w:right w:val="single" w:sz="4" w:space="0" w:color="auto"/>
            </w:tcBorders>
          </w:tcPr>
          <w:p w14:paraId="5171C3FD" w14:textId="77777777" w:rsidR="00264D62" w:rsidRPr="00207748" w:rsidRDefault="00264D62" w:rsidP="004454B6">
            <w:pPr>
              <w:rPr>
                <w:rFonts w:ascii="Cambria" w:hAnsi="Cambria"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1478968E" w14:textId="77777777" w:rsidR="00264D62" w:rsidRPr="00207748" w:rsidRDefault="00264D62" w:rsidP="004454B6">
            <w:pPr>
              <w:rPr>
                <w:rFonts w:ascii="Cambria" w:hAnsi="Cambria" w:cs="Arial"/>
                <w:sz w:val="20"/>
                <w:szCs w:val="20"/>
              </w:rPr>
            </w:pPr>
            <w:r w:rsidRPr="00207748">
              <w:rPr>
                <w:rFonts w:ascii="Cambria" w:hAnsi="Cambria" w:cs="Arial"/>
                <w:sz w:val="20"/>
                <w:szCs w:val="20"/>
              </w:rPr>
              <w:t>Arbeitsgemeinschaft der Wissenschaftlichen Medizinischen Fachgesellschaften e. V.</w:t>
            </w:r>
          </w:p>
        </w:tc>
      </w:tr>
      <w:tr w:rsidR="009631DE" w:rsidRPr="00207748" w14:paraId="6286EAC3" w14:textId="77777777" w:rsidTr="00264D62">
        <w:tc>
          <w:tcPr>
            <w:tcW w:w="0" w:type="auto"/>
            <w:tcBorders>
              <w:top w:val="single" w:sz="4" w:space="0" w:color="auto"/>
              <w:left w:val="single" w:sz="4" w:space="0" w:color="auto"/>
              <w:bottom w:val="single" w:sz="4" w:space="0" w:color="auto"/>
              <w:right w:val="single" w:sz="4" w:space="0" w:color="auto"/>
            </w:tcBorders>
          </w:tcPr>
          <w:p w14:paraId="14EA07E3" w14:textId="58C7F185" w:rsidR="009631DE" w:rsidRPr="00207748" w:rsidRDefault="009631DE" w:rsidP="004454B6">
            <w:pPr>
              <w:rPr>
                <w:rFonts w:ascii="Cambria" w:hAnsi="Cambria" w:cs="Arial"/>
                <w:sz w:val="20"/>
                <w:szCs w:val="20"/>
              </w:rPr>
            </w:pPr>
            <w:r>
              <w:rPr>
                <w:rFonts w:ascii="Cambria" w:hAnsi="Cambria" w:cs="Arial"/>
                <w:sz w:val="20"/>
                <w:szCs w:val="20"/>
              </w:rPr>
              <w:t>CIM</w:t>
            </w:r>
          </w:p>
        </w:tc>
        <w:tc>
          <w:tcPr>
            <w:tcW w:w="0" w:type="auto"/>
            <w:tcBorders>
              <w:top w:val="single" w:sz="4" w:space="0" w:color="auto"/>
              <w:left w:val="single" w:sz="4" w:space="0" w:color="auto"/>
              <w:bottom w:val="single" w:sz="4" w:space="0" w:color="auto"/>
              <w:right w:val="single" w:sz="4" w:space="0" w:color="auto"/>
            </w:tcBorders>
          </w:tcPr>
          <w:p w14:paraId="713D5A77" w14:textId="159063B6" w:rsidR="009631DE" w:rsidRPr="00207748" w:rsidRDefault="009631DE" w:rsidP="004454B6">
            <w:pPr>
              <w:rPr>
                <w:rFonts w:ascii="Cambria" w:hAnsi="Cambria" w:cs="Arial"/>
                <w:sz w:val="20"/>
                <w:szCs w:val="20"/>
              </w:rPr>
            </w:pPr>
            <w:r>
              <w:rPr>
                <w:rFonts w:ascii="Cambria" w:hAnsi="Cambria" w:cs="Arial"/>
                <w:sz w:val="20"/>
                <w:szCs w:val="20"/>
              </w:rPr>
              <w:t>C</w:t>
            </w:r>
            <w:r w:rsidRPr="009631DE">
              <w:rPr>
                <w:rFonts w:ascii="Cambria" w:hAnsi="Cambria" w:cs="Arial"/>
                <w:sz w:val="20"/>
                <w:szCs w:val="20"/>
              </w:rPr>
              <w:t>ritical illness myopathy</w:t>
            </w:r>
          </w:p>
        </w:tc>
        <w:tc>
          <w:tcPr>
            <w:tcW w:w="0" w:type="auto"/>
            <w:tcBorders>
              <w:top w:val="single" w:sz="4" w:space="0" w:color="auto"/>
              <w:left w:val="single" w:sz="4" w:space="0" w:color="auto"/>
              <w:bottom w:val="single" w:sz="4" w:space="0" w:color="auto"/>
              <w:right w:val="single" w:sz="4" w:space="0" w:color="auto"/>
            </w:tcBorders>
          </w:tcPr>
          <w:p w14:paraId="59C4809D" w14:textId="77777777" w:rsidR="009631DE" w:rsidRPr="00207748" w:rsidRDefault="009631DE" w:rsidP="004454B6">
            <w:pPr>
              <w:rPr>
                <w:rFonts w:ascii="Cambria" w:hAnsi="Cambria" w:cs="Arial"/>
                <w:sz w:val="20"/>
                <w:szCs w:val="20"/>
              </w:rPr>
            </w:pPr>
          </w:p>
        </w:tc>
      </w:tr>
      <w:tr w:rsidR="009631DE" w:rsidRPr="00207748" w14:paraId="191BC101" w14:textId="77777777" w:rsidTr="00264D62">
        <w:tc>
          <w:tcPr>
            <w:tcW w:w="0" w:type="auto"/>
            <w:tcBorders>
              <w:top w:val="single" w:sz="4" w:space="0" w:color="auto"/>
              <w:left w:val="single" w:sz="4" w:space="0" w:color="auto"/>
              <w:bottom w:val="single" w:sz="4" w:space="0" w:color="auto"/>
              <w:right w:val="single" w:sz="4" w:space="0" w:color="auto"/>
            </w:tcBorders>
          </w:tcPr>
          <w:p w14:paraId="4BDDF227" w14:textId="098950F7" w:rsidR="009631DE" w:rsidRPr="00207748" w:rsidRDefault="009631DE" w:rsidP="004454B6">
            <w:pPr>
              <w:rPr>
                <w:rFonts w:ascii="Cambria" w:hAnsi="Cambria" w:cs="Arial"/>
                <w:sz w:val="20"/>
                <w:szCs w:val="20"/>
              </w:rPr>
            </w:pPr>
            <w:r>
              <w:rPr>
                <w:rFonts w:ascii="Cambria" w:hAnsi="Cambria" w:cs="Arial"/>
                <w:sz w:val="20"/>
                <w:szCs w:val="20"/>
              </w:rPr>
              <w:t>CIP</w:t>
            </w:r>
          </w:p>
        </w:tc>
        <w:tc>
          <w:tcPr>
            <w:tcW w:w="0" w:type="auto"/>
            <w:tcBorders>
              <w:top w:val="single" w:sz="4" w:space="0" w:color="auto"/>
              <w:left w:val="single" w:sz="4" w:space="0" w:color="auto"/>
              <w:bottom w:val="single" w:sz="4" w:space="0" w:color="auto"/>
              <w:right w:val="single" w:sz="4" w:space="0" w:color="auto"/>
            </w:tcBorders>
          </w:tcPr>
          <w:p w14:paraId="1C9F8DEC" w14:textId="343F10CF" w:rsidR="009631DE" w:rsidRPr="00207748" w:rsidRDefault="009631DE" w:rsidP="004454B6">
            <w:pPr>
              <w:rPr>
                <w:rFonts w:ascii="Cambria" w:hAnsi="Cambria" w:cs="Arial"/>
                <w:sz w:val="20"/>
                <w:szCs w:val="20"/>
              </w:rPr>
            </w:pPr>
            <w:r w:rsidRPr="009631DE">
              <w:rPr>
                <w:rFonts w:ascii="Cambria" w:hAnsi="Cambria" w:cs="Arial"/>
                <w:sz w:val="20"/>
                <w:szCs w:val="20"/>
              </w:rPr>
              <w:t>Critical illness polyneuropathy</w:t>
            </w:r>
          </w:p>
        </w:tc>
        <w:tc>
          <w:tcPr>
            <w:tcW w:w="0" w:type="auto"/>
            <w:tcBorders>
              <w:top w:val="single" w:sz="4" w:space="0" w:color="auto"/>
              <w:left w:val="single" w:sz="4" w:space="0" w:color="auto"/>
              <w:bottom w:val="single" w:sz="4" w:space="0" w:color="auto"/>
              <w:right w:val="single" w:sz="4" w:space="0" w:color="auto"/>
            </w:tcBorders>
          </w:tcPr>
          <w:p w14:paraId="301462B7" w14:textId="77777777" w:rsidR="009631DE" w:rsidRPr="00207748" w:rsidRDefault="009631DE" w:rsidP="004454B6">
            <w:pPr>
              <w:rPr>
                <w:rFonts w:ascii="Cambria" w:hAnsi="Cambria" w:cs="Arial"/>
                <w:sz w:val="20"/>
                <w:szCs w:val="20"/>
              </w:rPr>
            </w:pPr>
          </w:p>
        </w:tc>
      </w:tr>
      <w:tr w:rsidR="009631DE" w:rsidRPr="00207748" w14:paraId="29680E85" w14:textId="77777777" w:rsidTr="00264D62">
        <w:tc>
          <w:tcPr>
            <w:tcW w:w="0" w:type="auto"/>
            <w:tcBorders>
              <w:top w:val="single" w:sz="4" w:space="0" w:color="auto"/>
              <w:left w:val="single" w:sz="4" w:space="0" w:color="auto"/>
              <w:bottom w:val="single" w:sz="4" w:space="0" w:color="auto"/>
              <w:right w:val="single" w:sz="4" w:space="0" w:color="auto"/>
            </w:tcBorders>
          </w:tcPr>
          <w:p w14:paraId="4D7A4B5C" w14:textId="7D91D065" w:rsidR="009631DE" w:rsidRPr="00207748" w:rsidRDefault="009631DE" w:rsidP="004454B6">
            <w:pPr>
              <w:rPr>
                <w:rFonts w:ascii="Cambria" w:hAnsi="Cambria" w:cs="Arial"/>
                <w:sz w:val="20"/>
                <w:szCs w:val="20"/>
              </w:rPr>
            </w:pPr>
            <w:r>
              <w:rPr>
                <w:rFonts w:ascii="Cambria" w:hAnsi="Cambria" w:cs="Arial"/>
                <w:sz w:val="20"/>
                <w:szCs w:val="20"/>
              </w:rPr>
              <w:t>CFPA</w:t>
            </w:r>
          </w:p>
        </w:tc>
        <w:tc>
          <w:tcPr>
            <w:tcW w:w="0" w:type="auto"/>
            <w:tcBorders>
              <w:top w:val="single" w:sz="4" w:space="0" w:color="auto"/>
              <w:left w:val="single" w:sz="4" w:space="0" w:color="auto"/>
              <w:bottom w:val="single" w:sz="4" w:space="0" w:color="auto"/>
              <w:right w:val="single" w:sz="4" w:space="0" w:color="auto"/>
            </w:tcBorders>
          </w:tcPr>
          <w:p w14:paraId="67A9ED33" w14:textId="7B0224B2" w:rsidR="009631DE" w:rsidRPr="00207748" w:rsidRDefault="009631DE" w:rsidP="004454B6">
            <w:pPr>
              <w:rPr>
                <w:rFonts w:ascii="Cambria" w:hAnsi="Cambria" w:cs="Arial"/>
                <w:sz w:val="20"/>
                <w:szCs w:val="20"/>
              </w:rPr>
            </w:pPr>
            <w:r w:rsidRPr="009631DE">
              <w:rPr>
                <w:rFonts w:ascii="Cambria" w:hAnsi="Cambria" w:cs="Arial"/>
                <w:sz w:val="20"/>
                <w:szCs w:val="20"/>
              </w:rPr>
              <w:t>Coupled plasma filtration adsorption</w:t>
            </w:r>
          </w:p>
        </w:tc>
        <w:tc>
          <w:tcPr>
            <w:tcW w:w="0" w:type="auto"/>
            <w:tcBorders>
              <w:top w:val="single" w:sz="4" w:space="0" w:color="auto"/>
              <w:left w:val="single" w:sz="4" w:space="0" w:color="auto"/>
              <w:bottom w:val="single" w:sz="4" w:space="0" w:color="auto"/>
              <w:right w:val="single" w:sz="4" w:space="0" w:color="auto"/>
            </w:tcBorders>
          </w:tcPr>
          <w:p w14:paraId="7CFDA320" w14:textId="77777777" w:rsidR="009631DE" w:rsidRPr="00207748" w:rsidRDefault="009631DE" w:rsidP="004454B6">
            <w:pPr>
              <w:rPr>
                <w:rFonts w:ascii="Cambria" w:hAnsi="Cambria" w:cs="Arial"/>
                <w:sz w:val="20"/>
                <w:szCs w:val="20"/>
              </w:rPr>
            </w:pPr>
          </w:p>
        </w:tc>
      </w:tr>
      <w:tr w:rsidR="00264D62" w:rsidRPr="00207748" w14:paraId="690FFFE2" w14:textId="77777777" w:rsidTr="00264D62">
        <w:tc>
          <w:tcPr>
            <w:tcW w:w="0" w:type="auto"/>
            <w:tcBorders>
              <w:top w:val="single" w:sz="4" w:space="0" w:color="auto"/>
              <w:left w:val="single" w:sz="4" w:space="0" w:color="auto"/>
              <w:bottom w:val="single" w:sz="4" w:space="0" w:color="auto"/>
              <w:right w:val="single" w:sz="4" w:space="0" w:color="auto"/>
            </w:tcBorders>
          </w:tcPr>
          <w:p w14:paraId="089EA3C0" w14:textId="77777777" w:rsidR="00264D62" w:rsidRPr="00207748" w:rsidRDefault="00264D62" w:rsidP="004454B6">
            <w:pPr>
              <w:rPr>
                <w:rFonts w:ascii="Cambria" w:hAnsi="Cambria" w:cs="Arial"/>
                <w:sz w:val="20"/>
                <w:szCs w:val="20"/>
              </w:rPr>
            </w:pPr>
            <w:r w:rsidRPr="00207748">
              <w:rPr>
                <w:rFonts w:ascii="Cambria" w:hAnsi="Cambria" w:cs="Arial"/>
                <w:sz w:val="20"/>
                <w:szCs w:val="20"/>
              </w:rPr>
              <w:t>DGEM</w:t>
            </w:r>
          </w:p>
        </w:tc>
        <w:tc>
          <w:tcPr>
            <w:tcW w:w="0" w:type="auto"/>
            <w:tcBorders>
              <w:top w:val="single" w:sz="4" w:space="0" w:color="auto"/>
              <w:left w:val="single" w:sz="4" w:space="0" w:color="auto"/>
              <w:bottom w:val="single" w:sz="4" w:space="0" w:color="auto"/>
              <w:right w:val="single" w:sz="4" w:space="0" w:color="auto"/>
            </w:tcBorders>
          </w:tcPr>
          <w:p w14:paraId="48FCB612" w14:textId="77777777" w:rsidR="00264D62" w:rsidRPr="00207748" w:rsidRDefault="00264D62" w:rsidP="004454B6">
            <w:pPr>
              <w:rPr>
                <w:rFonts w:ascii="Cambria" w:hAnsi="Cambria"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21E1A8A8" w14:textId="77777777" w:rsidR="00264D62" w:rsidRPr="00207748" w:rsidRDefault="00264D62" w:rsidP="004454B6">
            <w:pPr>
              <w:rPr>
                <w:rFonts w:ascii="Cambria" w:hAnsi="Cambria" w:cs="Arial"/>
                <w:sz w:val="20"/>
                <w:szCs w:val="20"/>
              </w:rPr>
            </w:pPr>
            <w:r w:rsidRPr="00207748">
              <w:rPr>
                <w:rFonts w:ascii="Cambria" w:hAnsi="Cambria" w:cs="Arial"/>
                <w:sz w:val="20"/>
                <w:szCs w:val="20"/>
              </w:rPr>
              <w:t>Deutsche Gesellschaft für Ernährungsmedizin e.V.</w:t>
            </w:r>
          </w:p>
        </w:tc>
      </w:tr>
      <w:tr w:rsidR="00A70A21" w:rsidRPr="00207748" w14:paraId="223BEE19" w14:textId="77777777" w:rsidTr="00264D62">
        <w:tc>
          <w:tcPr>
            <w:tcW w:w="0" w:type="auto"/>
            <w:tcBorders>
              <w:top w:val="single" w:sz="4" w:space="0" w:color="auto"/>
              <w:left w:val="single" w:sz="4" w:space="0" w:color="auto"/>
              <w:bottom w:val="single" w:sz="4" w:space="0" w:color="auto"/>
              <w:right w:val="single" w:sz="4" w:space="0" w:color="auto"/>
            </w:tcBorders>
          </w:tcPr>
          <w:p w14:paraId="248EBFE1" w14:textId="702A0554" w:rsidR="00A70A21" w:rsidRPr="00207748" w:rsidRDefault="00A70A21" w:rsidP="004454B6">
            <w:pPr>
              <w:rPr>
                <w:rFonts w:ascii="Cambria" w:hAnsi="Cambria" w:cs="Arial"/>
                <w:sz w:val="20"/>
                <w:szCs w:val="20"/>
              </w:rPr>
            </w:pPr>
            <w:r>
              <w:rPr>
                <w:rFonts w:ascii="Cambria" w:hAnsi="Cambria" w:cs="Arial"/>
                <w:sz w:val="20"/>
                <w:szCs w:val="20"/>
              </w:rPr>
              <w:t xml:space="preserve">DIC </w:t>
            </w:r>
          </w:p>
        </w:tc>
        <w:tc>
          <w:tcPr>
            <w:tcW w:w="0" w:type="auto"/>
            <w:tcBorders>
              <w:top w:val="single" w:sz="4" w:space="0" w:color="auto"/>
              <w:left w:val="single" w:sz="4" w:space="0" w:color="auto"/>
              <w:bottom w:val="single" w:sz="4" w:space="0" w:color="auto"/>
              <w:right w:val="single" w:sz="4" w:space="0" w:color="auto"/>
            </w:tcBorders>
          </w:tcPr>
          <w:p w14:paraId="1363DDF4" w14:textId="091FB5FD" w:rsidR="00A70A21" w:rsidRPr="00207748" w:rsidRDefault="00A70A21" w:rsidP="004454B6">
            <w:pPr>
              <w:rPr>
                <w:rFonts w:ascii="Cambria" w:hAnsi="Cambria" w:cs="Arial"/>
                <w:sz w:val="20"/>
                <w:szCs w:val="20"/>
              </w:rPr>
            </w:pPr>
            <w:r w:rsidRPr="00A70A21">
              <w:rPr>
                <w:rFonts w:ascii="Cambria" w:hAnsi="Cambria" w:cs="Arial"/>
                <w:sz w:val="20"/>
                <w:szCs w:val="20"/>
              </w:rPr>
              <w:t>Disseminated intravascular coagulation</w:t>
            </w:r>
          </w:p>
        </w:tc>
        <w:tc>
          <w:tcPr>
            <w:tcW w:w="0" w:type="auto"/>
            <w:tcBorders>
              <w:top w:val="single" w:sz="4" w:space="0" w:color="auto"/>
              <w:left w:val="single" w:sz="4" w:space="0" w:color="auto"/>
              <w:bottom w:val="single" w:sz="4" w:space="0" w:color="auto"/>
              <w:right w:val="single" w:sz="4" w:space="0" w:color="auto"/>
            </w:tcBorders>
          </w:tcPr>
          <w:p w14:paraId="79468A7E" w14:textId="4673F7E2" w:rsidR="00A70A21" w:rsidRPr="00207748" w:rsidRDefault="00A70A21" w:rsidP="004454B6">
            <w:pPr>
              <w:rPr>
                <w:rFonts w:ascii="Cambria" w:hAnsi="Cambria" w:cs="Arial"/>
                <w:sz w:val="20"/>
                <w:szCs w:val="20"/>
              </w:rPr>
            </w:pPr>
            <w:r>
              <w:rPr>
                <w:rFonts w:ascii="Cambria" w:hAnsi="Cambria" w:cs="Arial"/>
                <w:sz w:val="20"/>
                <w:szCs w:val="20"/>
              </w:rPr>
              <w:t>D</w:t>
            </w:r>
            <w:r w:rsidRPr="00A70A21">
              <w:rPr>
                <w:rFonts w:ascii="Cambria" w:hAnsi="Cambria" w:cs="Arial"/>
                <w:sz w:val="20"/>
                <w:szCs w:val="20"/>
              </w:rPr>
              <w:t>isseminierte intravasale Koagulopathie</w:t>
            </w:r>
          </w:p>
        </w:tc>
      </w:tr>
      <w:tr w:rsidR="00264D62" w:rsidRPr="00207748" w14:paraId="6223E9F5" w14:textId="77777777" w:rsidTr="00264D62">
        <w:tc>
          <w:tcPr>
            <w:tcW w:w="0" w:type="auto"/>
            <w:tcBorders>
              <w:top w:val="single" w:sz="4" w:space="0" w:color="auto"/>
              <w:left w:val="single" w:sz="4" w:space="0" w:color="auto"/>
              <w:bottom w:val="single" w:sz="4" w:space="0" w:color="auto"/>
              <w:right w:val="single" w:sz="4" w:space="0" w:color="auto"/>
            </w:tcBorders>
          </w:tcPr>
          <w:p w14:paraId="25D86C8D" w14:textId="77777777" w:rsidR="00264D62" w:rsidRPr="00207748" w:rsidRDefault="00264D62" w:rsidP="004454B6">
            <w:pPr>
              <w:rPr>
                <w:rFonts w:ascii="Cambria" w:hAnsi="Cambria" w:cs="Arial"/>
                <w:sz w:val="20"/>
                <w:szCs w:val="20"/>
              </w:rPr>
            </w:pPr>
            <w:r w:rsidRPr="00207748">
              <w:rPr>
                <w:rFonts w:ascii="Cambria" w:hAnsi="Cambria" w:cs="Arial"/>
                <w:sz w:val="20"/>
                <w:szCs w:val="20"/>
              </w:rPr>
              <w:t>DSG</w:t>
            </w:r>
          </w:p>
        </w:tc>
        <w:tc>
          <w:tcPr>
            <w:tcW w:w="0" w:type="auto"/>
            <w:tcBorders>
              <w:top w:val="single" w:sz="4" w:space="0" w:color="auto"/>
              <w:left w:val="single" w:sz="4" w:space="0" w:color="auto"/>
              <w:bottom w:val="single" w:sz="4" w:space="0" w:color="auto"/>
              <w:right w:val="single" w:sz="4" w:space="0" w:color="auto"/>
            </w:tcBorders>
          </w:tcPr>
          <w:p w14:paraId="7AC922D4" w14:textId="77777777" w:rsidR="00264D62" w:rsidRPr="00207748" w:rsidRDefault="00264D62" w:rsidP="004454B6">
            <w:pPr>
              <w:rPr>
                <w:rFonts w:ascii="Cambria" w:hAnsi="Cambria"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114A1568" w14:textId="77777777" w:rsidR="00264D62" w:rsidRPr="00207748" w:rsidRDefault="00264D62" w:rsidP="004454B6">
            <w:pPr>
              <w:rPr>
                <w:rFonts w:ascii="Cambria" w:hAnsi="Cambria" w:cs="Arial"/>
                <w:sz w:val="20"/>
                <w:szCs w:val="20"/>
              </w:rPr>
            </w:pPr>
            <w:r w:rsidRPr="00207748">
              <w:rPr>
                <w:rFonts w:ascii="Cambria" w:hAnsi="Cambria" w:cs="Arial"/>
                <w:sz w:val="20"/>
                <w:szCs w:val="20"/>
              </w:rPr>
              <w:t>Deutsche Sepsis Gesellschaft e. V.</w:t>
            </w:r>
          </w:p>
        </w:tc>
      </w:tr>
      <w:tr w:rsidR="00264D62" w:rsidRPr="00207748" w14:paraId="31A3BF1B" w14:textId="77777777" w:rsidTr="00264D62">
        <w:tc>
          <w:tcPr>
            <w:tcW w:w="0" w:type="auto"/>
            <w:tcBorders>
              <w:top w:val="single" w:sz="4" w:space="0" w:color="auto"/>
              <w:left w:val="single" w:sz="4" w:space="0" w:color="auto"/>
              <w:bottom w:val="single" w:sz="4" w:space="0" w:color="auto"/>
              <w:right w:val="single" w:sz="4" w:space="0" w:color="auto"/>
            </w:tcBorders>
          </w:tcPr>
          <w:p w14:paraId="16D3382B" w14:textId="77777777" w:rsidR="00264D62" w:rsidRPr="00207748" w:rsidRDefault="00264D62" w:rsidP="004454B6">
            <w:pPr>
              <w:rPr>
                <w:rFonts w:ascii="Cambria" w:hAnsi="Cambria" w:cs="Arial"/>
                <w:sz w:val="20"/>
                <w:szCs w:val="20"/>
              </w:rPr>
            </w:pPr>
            <w:r w:rsidRPr="00207748">
              <w:rPr>
                <w:rFonts w:ascii="Cambria" w:hAnsi="Cambria" w:cs="Arial"/>
                <w:sz w:val="20"/>
                <w:szCs w:val="20"/>
              </w:rPr>
              <w:t>DSH</w:t>
            </w:r>
          </w:p>
        </w:tc>
        <w:tc>
          <w:tcPr>
            <w:tcW w:w="0" w:type="auto"/>
            <w:tcBorders>
              <w:top w:val="single" w:sz="4" w:space="0" w:color="auto"/>
              <w:left w:val="single" w:sz="4" w:space="0" w:color="auto"/>
              <w:bottom w:val="single" w:sz="4" w:space="0" w:color="auto"/>
              <w:right w:val="single" w:sz="4" w:space="0" w:color="auto"/>
            </w:tcBorders>
          </w:tcPr>
          <w:p w14:paraId="401E8D22" w14:textId="77777777" w:rsidR="00264D62" w:rsidRPr="00207748" w:rsidRDefault="00264D62" w:rsidP="004454B6">
            <w:pPr>
              <w:rPr>
                <w:rFonts w:ascii="Cambria" w:hAnsi="Cambria"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6F191E13" w14:textId="77777777" w:rsidR="00264D62" w:rsidRPr="00207748" w:rsidRDefault="00264D62" w:rsidP="004454B6">
            <w:pPr>
              <w:rPr>
                <w:rFonts w:ascii="Cambria" w:hAnsi="Cambria" w:cs="Arial"/>
                <w:sz w:val="20"/>
                <w:szCs w:val="20"/>
              </w:rPr>
            </w:pPr>
            <w:r w:rsidRPr="00207748">
              <w:rPr>
                <w:rFonts w:ascii="Cambria" w:hAnsi="Cambria" w:cs="Arial"/>
                <w:sz w:val="20"/>
                <w:szCs w:val="20"/>
              </w:rPr>
              <w:t>Deutsche Sepsis Hilfe e. V.</w:t>
            </w:r>
          </w:p>
        </w:tc>
      </w:tr>
      <w:tr w:rsidR="00264D62" w:rsidRPr="00207748" w14:paraId="051940B0" w14:textId="77777777" w:rsidTr="00264D62">
        <w:tc>
          <w:tcPr>
            <w:tcW w:w="0" w:type="auto"/>
            <w:tcBorders>
              <w:top w:val="single" w:sz="4" w:space="0" w:color="auto"/>
              <w:left w:val="single" w:sz="4" w:space="0" w:color="auto"/>
              <w:bottom w:val="single" w:sz="4" w:space="0" w:color="auto"/>
              <w:right w:val="single" w:sz="4" w:space="0" w:color="auto"/>
            </w:tcBorders>
          </w:tcPr>
          <w:p w14:paraId="71E7408D" w14:textId="77777777" w:rsidR="00264D62" w:rsidRPr="00207748" w:rsidRDefault="00264D62" w:rsidP="004454B6">
            <w:pPr>
              <w:rPr>
                <w:rFonts w:ascii="Cambria" w:hAnsi="Cambria" w:cs="Arial"/>
                <w:sz w:val="20"/>
                <w:szCs w:val="20"/>
              </w:rPr>
            </w:pPr>
            <w:r w:rsidRPr="00207748">
              <w:rPr>
                <w:rFonts w:ascii="Cambria" w:hAnsi="Cambria" w:cs="Arial"/>
                <w:sz w:val="20"/>
                <w:szCs w:val="20"/>
              </w:rPr>
              <w:t>DSI</w:t>
            </w:r>
          </w:p>
        </w:tc>
        <w:tc>
          <w:tcPr>
            <w:tcW w:w="0" w:type="auto"/>
            <w:tcBorders>
              <w:top w:val="single" w:sz="4" w:space="0" w:color="auto"/>
              <w:left w:val="single" w:sz="4" w:space="0" w:color="auto"/>
              <w:bottom w:val="single" w:sz="4" w:space="0" w:color="auto"/>
              <w:right w:val="single" w:sz="4" w:space="0" w:color="auto"/>
            </w:tcBorders>
          </w:tcPr>
          <w:p w14:paraId="4FA467F1" w14:textId="77777777" w:rsidR="00264D62" w:rsidRPr="00207748" w:rsidRDefault="00264D62" w:rsidP="004454B6">
            <w:pPr>
              <w:rPr>
                <w:rFonts w:ascii="Cambria" w:hAnsi="Cambria" w:cs="Arial"/>
                <w:sz w:val="20"/>
                <w:szCs w:val="20"/>
              </w:rPr>
            </w:pPr>
            <w:r w:rsidRPr="00207748">
              <w:rPr>
                <w:rFonts w:ascii="Cambria" w:hAnsi="Cambria" w:cs="Arial"/>
                <w:sz w:val="20"/>
                <w:szCs w:val="20"/>
              </w:rPr>
              <w:t>Daily Sedation Interruption</w:t>
            </w:r>
          </w:p>
        </w:tc>
        <w:tc>
          <w:tcPr>
            <w:tcW w:w="0" w:type="auto"/>
            <w:tcBorders>
              <w:top w:val="single" w:sz="4" w:space="0" w:color="auto"/>
              <w:left w:val="single" w:sz="4" w:space="0" w:color="auto"/>
              <w:bottom w:val="single" w:sz="4" w:space="0" w:color="auto"/>
              <w:right w:val="single" w:sz="4" w:space="0" w:color="auto"/>
            </w:tcBorders>
          </w:tcPr>
          <w:p w14:paraId="7134792A" w14:textId="77777777" w:rsidR="00264D62" w:rsidRPr="00207748" w:rsidRDefault="00264D62" w:rsidP="004454B6">
            <w:pPr>
              <w:rPr>
                <w:rFonts w:ascii="Cambria" w:hAnsi="Cambria" w:cs="Arial"/>
                <w:sz w:val="20"/>
                <w:szCs w:val="20"/>
              </w:rPr>
            </w:pPr>
            <w:r w:rsidRPr="00207748">
              <w:rPr>
                <w:rFonts w:ascii="Cambria" w:hAnsi="Cambria" w:cs="Arial"/>
                <w:sz w:val="20"/>
                <w:szCs w:val="20"/>
              </w:rPr>
              <w:t>Tägliche Sedationsunterbrechung</w:t>
            </w:r>
          </w:p>
        </w:tc>
      </w:tr>
      <w:tr w:rsidR="00E15D93" w:rsidRPr="00207748" w14:paraId="606FD5D1" w14:textId="77777777" w:rsidTr="00264D62">
        <w:tc>
          <w:tcPr>
            <w:tcW w:w="0" w:type="auto"/>
            <w:tcBorders>
              <w:top w:val="single" w:sz="4" w:space="0" w:color="auto"/>
              <w:left w:val="single" w:sz="4" w:space="0" w:color="auto"/>
              <w:bottom w:val="single" w:sz="4" w:space="0" w:color="auto"/>
              <w:right w:val="single" w:sz="4" w:space="0" w:color="auto"/>
            </w:tcBorders>
          </w:tcPr>
          <w:p w14:paraId="3890E196" w14:textId="36BF0C91" w:rsidR="00E15D93" w:rsidRPr="00207748" w:rsidRDefault="00E15D93" w:rsidP="004454B6">
            <w:pPr>
              <w:rPr>
                <w:rFonts w:ascii="Cambria" w:hAnsi="Cambria" w:cs="Arial"/>
                <w:sz w:val="20"/>
                <w:szCs w:val="20"/>
              </w:rPr>
            </w:pPr>
            <w:r>
              <w:rPr>
                <w:rFonts w:ascii="Cambria" w:hAnsi="Cambria" w:cs="Arial"/>
                <w:sz w:val="20"/>
                <w:szCs w:val="20"/>
              </w:rPr>
              <w:t>DTP</w:t>
            </w:r>
          </w:p>
        </w:tc>
        <w:tc>
          <w:tcPr>
            <w:tcW w:w="0" w:type="auto"/>
            <w:tcBorders>
              <w:top w:val="single" w:sz="4" w:space="0" w:color="auto"/>
              <w:left w:val="single" w:sz="4" w:space="0" w:color="auto"/>
              <w:bottom w:val="single" w:sz="4" w:space="0" w:color="auto"/>
              <w:right w:val="single" w:sz="4" w:space="0" w:color="auto"/>
            </w:tcBorders>
          </w:tcPr>
          <w:p w14:paraId="292B154E" w14:textId="67371A34" w:rsidR="00E15D93" w:rsidRPr="00207748" w:rsidRDefault="00E15D93" w:rsidP="004454B6">
            <w:pPr>
              <w:rPr>
                <w:rFonts w:ascii="Cambria" w:hAnsi="Cambria" w:cs="Arial"/>
                <w:sz w:val="20"/>
                <w:szCs w:val="20"/>
              </w:rPr>
            </w:pPr>
            <w:r>
              <w:rPr>
                <w:rFonts w:ascii="Cambria" w:hAnsi="Cambria" w:cs="Arial"/>
                <w:sz w:val="20"/>
                <w:szCs w:val="20"/>
              </w:rPr>
              <w:t>Differential Time to Positivity</w:t>
            </w:r>
          </w:p>
        </w:tc>
        <w:tc>
          <w:tcPr>
            <w:tcW w:w="0" w:type="auto"/>
            <w:tcBorders>
              <w:top w:val="single" w:sz="4" w:space="0" w:color="auto"/>
              <w:left w:val="single" w:sz="4" w:space="0" w:color="auto"/>
              <w:bottom w:val="single" w:sz="4" w:space="0" w:color="auto"/>
              <w:right w:val="single" w:sz="4" w:space="0" w:color="auto"/>
            </w:tcBorders>
          </w:tcPr>
          <w:p w14:paraId="74DD14B2" w14:textId="77777777" w:rsidR="00E15D93" w:rsidRPr="00207748" w:rsidRDefault="00E15D93" w:rsidP="004454B6">
            <w:pPr>
              <w:rPr>
                <w:rFonts w:ascii="Cambria" w:hAnsi="Cambria" w:cs="Arial"/>
                <w:sz w:val="20"/>
                <w:szCs w:val="20"/>
              </w:rPr>
            </w:pPr>
          </w:p>
        </w:tc>
      </w:tr>
      <w:tr w:rsidR="005E3853" w:rsidRPr="00207748" w14:paraId="671C8F8B" w14:textId="77777777" w:rsidTr="00342FB3">
        <w:tc>
          <w:tcPr>
            <w:tcW w:w="0" w:type="auto"/>
          </w:tcPr>
          <w:p w14:paraId="34D3604D" w14:textId="77777777" w:rsidR="005E3853" w:rsidRPr="00207748" w:rsidRDefault="005E3853" w:rsidP="004454B6">
            <w:pPr>
              <w:rPr>
                <w:rFonts w:ascii="Cambria" w:hAnsi="Cambria" w:cs="Arial"/>
                <w:sz w:val="20"/>
                <w:szCs w:val="20"/>
              </w:rPr>
            </w:pPr>
            <w:r w:rsidRPr="00207748">
              <w:rPr>
                <w:rFonts w:ascii="Cambria" w:hAnsi="Cambria" w:cs="Arial"/>
                <w:sz w:val="20"/>
                <w:szCs w:val="20"/>
              </w:rPr>
              <w:t>EGDT</w:t>
            </w:r>
          </w:p>
        </w:tc>
        <w:tc>
          <w:tcPr>
            <w:tcW w:w="0" w:type="auto"/>
          </w:tcPr>
          <w:p w14:paraId="2C2244F0" w14:textId="77777777" w:rsidR="005E3853" w:rsidRPr="00207748" w:rsidRDefault="005E3853" w:rsidP="004454B6">
            <w:pPr>
              <w:rPr>
                <w:rFonts w:ascii="Cambria" w:hAnsi="Cambria" w:cs="Arial"/>
                <w:sz w:val="20"/>
                <w:szCs w:val="20"/>
              </w:rPr>
            </w:pPr>
            <w:r w:rsidRPr="00207748">
              <w:rPr>
                <w:rFonts w:ascii="Cambria" w:hAnsi="Cambria" w:cs="Arial"/>
                <w:sz w:val="20"/>
                <w:szCs w:val="20"/>
              </w:rPr>
              <w:t>Early Goal-Directed Therapy</w:t>
            </w:r>
          </w:p>
        </w:tc>
        <w:tc>
          <w:tcPr>
            <w:tcW w:w="0" w:type="auto"/>
          </w:tcPr>
          <w:p w14:paraId="39BB724C" w14:textId="77777777" w:rsidR="005E3853" w:rsidRPr="00207748" w:rsidRDefault="005E3853" w:rsidP="004454B6">
            <w:pPr>
              <w:rPr>
                <w:rFonts w:ascii="Cambria" w:hAnsi="Cambria" w:cs="Arial"/>
                <w:sz w:val="20"/>
                <w:szCs w:val="20"/>
              </w:rPr>
            </w:pPr>
            <w:r w:rsidRPr="00207748">
              <w:rPr>
                <w:rFonts w:ascii="Cambria" w:hAnsi="Cambria" w:cs="Arial"/>
                <w:sz w:val="20"/>
                <w:szCs w:val="20"/>
              </w:rPr>
              <w:t>Frühzeitige Zielgerichtete Therapie</w:t>
            </w:r>
          </w:p>
        </w:tc>
      </w:tr>
      <w:tr w:rsidR="00A70A21" w:rsidRPr="00207748" w14:paraId="7322C741" w14:textId="77777777" w:rsidTr="00342FB3">
        <w:tc>
          <w:tcPr>
            <w:tcW w:w="0" w:type="auto"/>
          </w:tcPr>
          <w:p w14:paraId="49D74184" w14:textId="1842F39D" w:rsidR="00A70A21" w:rsidRPr="00207748" w:rsidRDefault="00A70A21" w:rsidP="004454B6">
            <w:pPr>
              <w:rPr>
                <w:rFonts w:ascii="Cambria" w:hAnsi="Cambria" w:cs="Arial"/>
                <w:sz w:val="20"/>
                <w:szCs w:val="20"/>
              </w:rPr>
            </w:pPr>
            <w:r>
              <w:rPr>
                <w:rFonts w:ascii="Cambria" w:hAnsi="Cambria" w:cs="Arial"/>
                <w:sz w:val="20"/>
                <w:szCs w:val="20"/>
              </w:rPr>
              <w:t>GFP</w:t>
            </w:r>
          </w:p>
        </w:tc>
        <w:tc>
          <w:tcPr>
            <w:tcW w:w="0" w:type="auto"/>
          </w:tcPr>
          <w:p w14:paraId="61F93533" w14:textId="77777777" w:rsidR="00A70A21" w:rsidRPr="00207748" w:rsidRDefault="00A70A21" w:rsidP="004454B6">
            <w:pPr>
              <w:rPr>
                <w:rFonts w:ascii="Cambria" w:hAnsi="Cambria" w:cs="Arial"/>
                <w:sz w:val="20"/>
                <w:szCs w:val="20"/>
              </w:rPr>
            </w:pPr>
          </w:p>
        </w:tc>
        <w:tc>
          <w:tcPr>
            <w:tcW w:w="0" w:type="auto"/>
          </w:tcPr>
          <w:p w14:paraId="307AD3F9" w14:textId="5B889032" w:rsidR="00A70A21" w:rsidRPr="00207748" w:rsidRDefault="00A70A21" w:rsidP="004454B6">
            <w:pPr>
              <w:rPr>
                <w:rFonts w:ascii="Cambria" w:hAnsi="Cambria" w:cs="Arial"/>
                <w:sz w:val="20"/>
                <w:szCs w:val="20"/>
              </w:rPr>
            </w:pPr>
            <w:r>
              <w:rPr>
                <w:rFonts w:ascii="Cambria" w:hAnsi="Cambria" w:cs="Arial"/>
                <w:sz w:val="20"/>
                <w:szCs w:val="20"/>
              </w:rPr>
              <w:t>Gefrorenes Frischplasma</w:t>
            </w:r>
          </w:p>
        </w:tc>
      </w:tr>
      <w:tr w:rsidR="005E3853" w:rsidRPr="00587AE4" w14:paraId="038BE9E1" w14:textId="77777777" w:rsidTr="00342FB3">
        <w:tc>
          <w:tcPr>
            <w:tcW w:w="0" w:type="auto"/>
          </w:tcPr>
          <w:p w14:paraId="4DBBC1B4" w14:textId="77777777" w:rsidR="005E3853" w:rsidRPr="00207748" w:rsidRDefault="005E3853" w:rsidP="004454B6">
            <w:pPr>
              <w:rPr>
                <w:rFonts w:ascii="Cambria" w:hAnsi="Cambria" w:cs="Arial"/>
                <w:sz w:val="20"/>
                <w:szCs w:val="20"/>
              </w:rPr>
            </w:pPr>
            <w:r w:rsidRPr="00207748">
              <w:rPr>
                <w:rFonts w:ascii="Cambria" w:hAnsi="Cambria" w:cs="Arial"/>
                <w:sz w:val="20"/>
                <w:szCs w:val="20"/>
              </w:rPr>
              <w:t>GRADE</w:t>
            </w:r>
          </w:p>
        </w:tc>
        <w:tc>
          <w:tcPr>
            <w:tcW w:w="0" w:type="auto"/>
          </w:tcPr>
          <w:p w14:paraId="3702FA0C" w14:textId="77777777" w:rsidR="005E3853" w:rsidRPr="00207748" w:rsidRDefault="005E3853" w:rsidP="004454B6">
            <w:pPr>
              <w:rPr>
                <w:rFonts w:ascii="Cambria" w:hAnsi="Cambria" w:cs="Arial"/>
                <w:sz w:val="20"/>
                <w:szCs w:val="20"/>
                <w:lang w:val="en-US"/>
              </w:rPr>
            </w:pPr>
            <w:r w:rsidRPr="00207748">
              <w:rPr>
                <w:rFonts w:ascii="Cambria" w:hAnsi="Cambria" w:cs="Arial"/>
                <w:sz w:val="20"/>
                <w:szCs w:val="20"/>
                <w:lang w:val="en-US"/>
              </w:rPr>
              <w:t>Grading of Recommendations, Assessment, Development and Evaluation</w:t>
            </w:r>
          </w:p>
        </w:tc>
        <w:tc>
          <w:tcPr>
            <w:tcW w:w="0" w:type="auto"/>
          </w:tcPr>
          <w:p w14:paraId="083F682B" w14:textId="77777777" w:rsidR="005E3853" w:rsidRPr="00207748" w:rsidRDefault="005E3853" w:rsidP="004454B6">
            <w:pPr>
              <w:rPr>
                <w:rFonts w:ascii="Cambria" w:hAnsi="Cambria" w:cs="Arial"/>
                <w:sz w:val="20"/>
                <w:szCs w:val="20"/>
                <w:lang w:val="en-US"/>
              </w:rPr>
            </w:pPr>
          </w:p>
        </w:tc>
      </w:tr>
      <w:tr w:rsidR="005E3853" w:rsidRPr="00207748" w14:paraId="3C91C23E" w14:textId="77777777" w:rsidTr="00342FB3">
        <w:tc>
          <w:tcPr>
            <w:tcW w:w="0" w:type="auto"/>
          </w:tcPr>
          <w:p w14:paraId="29980F51" w14:textId="77777777" w:rsidR="005E3853" w:rsidRPr="00207748" w:rsidRDefault="005E3853" w:rsidP="004454B6">
            <w:pPr>
              <w:rPr>
                <w:rFonts w:ascii="Cambria" w:hAnsi="Cambria" w:cs="Arial"/>
                <w:sz w:val="20"/>
                <w:szCs w:val="20"/>
              </w:rPr>
            </w:pPr>
            <w:r w:rsidRPr="00207748">
              <w:rPr>
                <w:rFonts w:ascii="Cambria" w:hAnsi="Cambria" w:cs="Arial"/>
                <w:sz w:val="20"/>
                <w:szCs w:val="20"/>
              </w:rPr>
              <w:t>GRV</w:t>
            </w:r>
          </w:p>
        </w:tc>
        <w:tc>
          <w:tcPr>
            <w:tcW w:w="0" w:type="auto"/>
          </w:tcPr>
          <w:p w14:paraId="49906134" w14:textId="77777777" w:rsidR="005E3853" w:rsidRPr="00207748" w:rsidRDefault="005E3853" w:rsidP="004454B6">
            <w:pPr>
              <w:rPr>
                <w:rFonts w:ascii="Cambria" w:hAnsi="Cambria" w:cs="Arial"/>
                <w:sz w:val="20"/>
                <w:szCs w:val="20"/>
              </w:rPr>
            </w:pPr>
          </w:p>
        </w:tc>
        <w:tc>
          <w:tcPr>
            <w:tcW w:w="0" w:type="auto"/>
          </w:tcPr>
          <w:p w14:paraId="42EDEC5F" w14:textId="77777777" w:rsidR="005E3853" w:rsidRPr="00207748" w:rsidRDefault="005E3853" w:rsidP="004454B6">
            <w:pPr>
              <w:rPr>
                <w:rFonts w:ascii="Cambria" w:hAnsi="Cambria" w:cs="Arial"/>
                <w:sz w:val="20"/>
                <w:szCs w:val="20"/>
              </w:rPr>
            </w:pPr>
            <w:r w:rsidRPr="00207748">
              <w:rPr>
                <w:rFonts w:ascii="Cambria" w:hAnsi="Cambria" w:cs="Arial"/>
                <w:sz w:val="20"/>
                <w:szCs w:val="20"/>
              </w:rPr>
              <w:t>Gastrales Residualvolumen</w:t>
            </w:r>
          </w:p>
        </w:tc>
      </w:tr>
      <w:tr w:rsidR="00A70A21" w:rsidRPr="00207748" w14:paraId="309A9F15" w14:textId="77777777" w:rsidTr="00342FB3">
        <w:tc>
          <w:tcPr>
            <w:tcW w:w="0" w:type="auto"/>
          </w:tcPr>
          <w:p w14:paraId="13E6A3F9" w14:textId="36D5B030" w:rsidR="00A70A21" w:rsidRPr="00207748" w:rsidRDefault="00A70A21" w:rsidP="004454B6">
            <w:pPr>
              <w:rPr>
                <w:rFonts w:ascii="Cambria" w:hAnsi="Cambria" w:cs="Arial"/>
                <w:sz w:val="20"/>
                <w:szCs w:val="20"/>
              </w:rPr>
            </w:pPr>
            <w:r>
              <w:rPr>
                <w:rFonts w:ascii="Cambria" w:hAnsi="Cambria" w:cs="Arial"/>
                <w:sz w:val="20"/>
                <w:szCs w:val="20"/>
              </w:rPr>
              <w:t>H2Ras</w:t>
            </w:r>
          </w:p>
        </w:tc>
        <w:tc>
          <w:tcPr>
            <w:tcW w:w="0" w:type="auto"/>
          </w:tcPr>
          <w:p w14:paraId="122D48F3" w14:textId="71E8D547" w:rsidR="00A70A21" w:rsidRPr="00207748" w:rsidRDefault="00A70A21" w:rsidP="004454B6">
            <w:pPr>
              <w:rPr>
                <w:rFonts w:ascii="Cambria" w:hAnsi="Cambria" w:cs="Arial"/>
                <w:sz w:val="20"/>
                <w:szCs w:val="20"/>
              </w:rPr>
            </w:pPr>
            <w:r w:rsidRPr="00A70A21">
              <w:rPr>
                <w:rFonts w:ascii="Cambria" w:hAnsi="Cambria" w:cs="Arial"/>
                <w:sz w:val="20"/>
                <w:szCs w:val="20"/>
              </w:rPr>
              <w:t>H2 receptor antagonists</w:t>
            </w:r>
          </w:p>
        </w:tc>
        <w:tc>
          <w:tcPr>
            <w:tcW w:w="0" w:type="auto"/>
          </w:tcPr>
          <w:p w14:paraId="6E543C4F" w14:textId="2A8407EE" w:rsidR="00A70A21" w:rsidRPr="00207748" w:rsidRDefault="00A70A21" w:rsidP="00A70A21">
            <w:pPr>
              <w:rPr>
                <w:rFonts w:ascii="Cambria" w:hAnsi="Cambria" w:cs="Arial"/>
                <w:sz w:val="20"/>
                <w:szCs w:val="20"/>
              </w:rPr>
            </w:pPr>
            <w:r>
              <w:rPr>
                <w:rFonts w:ascii="Cambria" w:hAnsi="Cambria" w:cs="Arial"/>
                <w:sz w:val="20"/>
                <w:szCs w:val="20"/>
              </w:rPr>
              <w:t>H2 Rezeptor A</w:t>
            </w:r>
            <w:r w:rsidRPr="00A70A21">
              <w:rPr>
                <w:rFonts w:ascii="Cambria" w:hAnsi="Cambria" w:cs="Arial"/>
                <w:sz w:val="20"/>
                <w:szCs w:val="20"/>
              </w:rPr>
              <w:t>ntagonist</w:t>
            </w:r>
            <w:r>
              <w:rPr>
                <w:rFonts w:ascii="Cambria" w:hAnsi="Cambria" w:cs="Arial"/>
                <w:sz w:val="20"/>
                <w:szCs w:val="20"/>
              </w:rPr>
              <w:t>en</w:t>
            </w:r>
          </w:p>
        </w:tc>
      </w:tr>
      <w:tr w:rsidR="005E3853" w:rsidRPr="00207748" w14:paraId="162E5FD8" w14:textId="77777777" w:rsidTr="00342FB3">
        <w:tc>
          <w:tcPr>
            <w:tcW w:w="0" w:type="auto"/>
          </w:tcPr>
          <w:p w14:paraId="3ED5942C" w14:textId="77777777" w:rsidR="005E3853" w:rsidRPr="00207748" w:rsidRDefault="005E3853" w:rsidP="004454B6">
            <w:pPr>
              <w:rPr>
                <w:rFonts w:ascii="Cambria" w:hAnsi="Cambria" w:cs="Arial"/>
                <w:sz w:val="20"/>
                <w:szCs w:val="20"/>
              </w:rPr>
            </w:pPr>
            <w:r w:rsidRPr="00207748">
              <w:rPr>
                <w:rFonts w:ascii="Cambria" w:hAnsi="Cambria" w:cs="Arial"/>
                <w:sz w:val="20"/>
                <w:szCs w:val="20"/>
              </w:rPr>
              <w:t>HFOV</w:t>
            </w:r>
          </w:p>
        </w:tc>
        <w:tc>
          <w:tcPr>
            <w:tcW w:w="0" w:type="auto"/>
          </w:tcPr>
          <w:p w14:paraId="22A2390C" w14:textId="77777777" w:rsidR="005E3853" w:rsidRPr="00207748" w:rsidRDefault="005E3853" w:rsidP="004454B6">
            <w:pPr>
              <w:rPr>
                <w:rFonts w:ascii="Cambria" w:hAnsi="Cambria" w:cs="Arial"/>
                <w:sz w:val="20"/>
                <w:szCs w:val="20"/>
              </w:rPr>
            </w:pPr>
            <w:r w:rsidRPr="00207748">
              <w:rPr>
                <w:rFonts w:ascii="Cambria" w:hAnsi="Cambria" w:cs="Arial"/>
                <w:sz w:val="20"/>
                <w:szCs w:val="20"/>
              </w:rPr>
              <w:t>High Frequency Oscillation Ventilation</w:t>
            </w:r>
          </w:p>
        </w:tc>
        <w:tc>
          <w:tcPr>
            <w:tcW w:w="0" w:type="auto"/>
          </w:tcPr>
          <w:p w14:paraId="44734BC3" w14:textId="77777777" w:rsidR="005E3853" w:rsidRPr="00207748" w:rsidRDefault="005E3853" w:rsidP="004454B6">
            <w:pPr>
              <w:rPr>
                <w:rFonts w:ascii="Cambria" w:hAnsi="Cambria" w:cs="Arial"/>
                <w:sz w:val="20"/>
                <w:szCs w:val="20"/>
              </w:rPr>
            </w:pPr>
            <w:r w:rsidRPr="00207748">
              <w:rPr>
                <w:rFonts w:ascii="Cambria" w:hAnsi="Cambria" w:cs="Arial"/>
                <w:sz w:val="20"/>
                <w:szCs w:val="20"/>
              </w:rPr>
              <w:t>Hochfrequenzbeatmung</w:t>
            </w:r>
          </w:p>
        </w:tc>
      </w:tr>
      <w:tr w:rsidR="005E3853" w:rsidRPr="00207748" w14:paraId="2081007F" w14:textId="77777777" w:rsidTr="00342FB3">
        <w:tc>
          <w:tcPr>
            <w:tcW w:w="0" w:type="auto"/>
          </w:tcPr>
          <w:p w14:paraId="0C1F9972" w14:textId="77777777" w:rsidR="005E3853" w:rsidRPr="00207748" w:rsidRDefault="005E3853" w:rsidP="004454B6">
            <w:pPr>
              <w:rPr>
                <w:rFonts w:ascii="Cambria" w:hAnsi="Cambria" w:cs="Arial"/>
                <w:sz w:val="20"/>
                <w:szCs w:val="20"/>
              </w:rPr>
            </w:pPr>
            <w:r w:rsidRPr="00207748">
              <w:rPr>
                <w:rFonts w:ascii="Cambria" w:hAnsi="Cambria" w:cs="Arial"/>
                <w:sz w:val="20"/>
                <w:szCs w:val="20"/>
              </w:rPr>
              <w:t>HZV</w:t>
            </w:r>
          </w:p>
        </w:tc>
        <w:tc>
          <w:tcPr>
            <w:tcW w:w="0" w:type="auto"/>
          </w:tcPr>
          <w:p w14:paraId="334E51D4" w14:textId="77777777" w:rsidR="005E3853" w:rsidRPr="00207748" w:rsidRDefault="005E3853" w:rsidP="004454B6">
            <w:pPr>
              <w:rPr>
                <w:rFonts w:ascii="Cambria" w:hAnsi="Cambria" w:cs="Arial"/>
                <w:sz w:val="20"/>
                <w:szCs w:val="20"/>
              </w:rPr>
            </w:pPr>
          </w:p>
        </w:tc>
        <w:tc>
          <w:tcPr>
            <w:tcW w:w="0" w:type="auto"/>
          </w:tcPr>
          <w:p w14:paraId="5EA5FA52" w14:textId="77777777" w:rsidR="005E3853" w:rsidRPr="00207748" w:rsidRDefault="005E3853" w:rsidP="004454B6">
            <w:pPr>
              <w:rPr>
                <w:rFonts w:ascii="Cambria" w:hAnsi="Cambria" w:cs="Arial"/>
                <w:sz w:val="20"/>
                <w:szCs w:val="20"/>
              </w:rPr>
            </w:pPr>
            <w:r w:rsidRPr="00207748">
              <w:rPr>
                <w:rFonts w:ascii="Cambria" w:hAnsi="Cambria" w:cs="Arial"/>
                <w:sz w:val="20"/>
                <w:szCs w:val="20"/>
              </w:rPr>
              <w:t>Herzzeitvolumen</w:t>
            </w:r>
          </w:p>
        </w:tc>
      </w:tr>
      <w:tr w:rsidR="005E3853" w:rsidRPr="00207748" w14:paraId="6A2A9AB7" w14:textId="77777777" w:rsidTr="00342FB3">
        <w:tc>
          <w:tcPr>
            <w:tcW w:w="0" w:type="auto"/>
          </w:tcPr>
          <w:p w14:paraId="0FFCC069" w14:textId="0DD2FC74" w:rsidR="005E3853" w:rsidRPr="00207748" w:rsidRDefault="00A70A21" w:rsidP="004454B6">
            <w:pPr>
              <w:rPr>
                <w:rFonts w:ascii="Cambria" w:hAnsi="Cambria" w:cs="Arial"/>
                <w:sz w:val="20"/>
                <w:szCs w:val="20"/>
              </w:rPr>
            </w:pPr>
            <w:r>
              <w:rPr>
                <w:rFonts w:ascii="Cambria" w:hAnsi="Cambria" w:cs="Arial"/>
                <w:sz w:val="20"/>
                <w:szCs w:val="20"/>
              </w:rPr>
              <w:t>IV</w:t>
            </w:r>
            <w:r w:rsidR="005E3853" w:rsidRPr="00207748">
              <w:rPr>
                <w:rFonts w:ascii="Cambria" w:hAnsi="Cambria" w:cs="Arial"/>
                <w:sz w:val="20"/>
                <w:szCs w:val="20"/>
              </w:rPr>
              <w:t>Ig</w:t>
            </w:r>
          </w:p>
        </w:tc>
        <w:tc>
          <w:tcPr>
            <w:tcW w:w="0" w:type="auto"/>
          </w:tcPr>
          <w:p w14:paraId="6E6E3F6D" w14:textId="77777777" w:rsidR="005E3853" w:rsidRPr="00207748" w:rsidRDefault="00A70A21" w:rsidP="004454B6">
            <w:pPr>
              <w:rPr>
                <w:rFonts w:ascii="Cambria" w:hAnsi="Cambria" w:cs="Arial"/>
                <w:sz w:val="20"/>
                <w:szCs w:val="20"/>
              </w:rPr>
            </w:pPr>
            <w:r>
              <w:rPr>
                <w:rFonts w:ascii="Cambria" w:hAnsi="Cambria" w:cs="Arial"/>
                <w:sz w:val="20"/>
                <w:szCs w:val="20"/>
              </w:rPr>
              <w:t>Intravenous Immunoglobulin</w:t>
            </w:r>
          </w:p>
        </w:tc>
        <w:tc>
          <w:tcPr>
            <w:tcW w:w="0" w:type="auto"/>
          </w:tcPr>
          <w:p w14:paraId="16843D26" w14:textId="77777777" w:rsidR="005E3853" w:rsidRPr="00207748" w:rsidRDefault="00A70A21" w:rsidP="004454B6">
            <w:pPr>
              <w:rPr>
                <w:rFonts w:ascii="Cambria" w:hAnsi="Cambria" w:cs="Arial"/>
                <w:sz w:val="20"/>
                <w:szCs w:val="20"/>
              </w:rPr>
            </w:pPr>
            <w:r>
              <w:rPr>
                <w:rFonts w:ascii="Cambria" w:hAnsi="Cambria" w:cs="Arial"/>
                <w:sz w:val="20"/>
                <w:szCs w:val="20"/>
              </w:rPr>
              <w:t xml:space="preserve">Intravenöses </w:t>
            </w:r>
            <w:r w:rsidR="005E3853" w:rsidRPr="00207748">
              <w:rPr>
                <w:rFonts w:ascii="Cambria" w:hAnsi="Cambria" w:cs="Arial"/>
                <w:sz w:val="20"/>
                <w:szCs w:val="20"/>
              </w:rPr>
              <w:t>Immunglobulin</w:t>
            </w:r>
          </w:p>
        </w:tc>
      </w:tr>
      <w:tr w:rsidR="005E3853" w:rsidRPr="00207748" w14:paraId="659FF69A" w14:textId="77777777" w:rsidTr="00342FB3">
        <w:tc>
          <w:tcPr>
            <w:tcW w:w="0" w:type="auto"/>
          </w:tcPr>
          <w:p w14:paraId="7F7E5C5B" w14:textId="77777777" w:rsidR="005E3853" w:rsidRPr="00207748" w:rsidRDefault="005E3853" w:rsidP="004454B6">
            <w:pPr>
              <w:rPr>
                <w:rFonts w:ascii="Cambria" w:hAnsi="Cambria" w:cs="Arial"/>
                <w:sz w:val="20"/>
                <w:szCs w:val="20"/>
              </w:rPr>
            </w:pPr>
            <w:r w:rsidRPr="00207748">
              <w:rPr>
                <w:rFonts w:ascii="Cambria" w:hAnsi="Cambria" w:cs="Arial"/>
                <w:sz w:val="20"/>
                <w:szCs w:val="20"/>
              </w:rPr>
              <w:t>IPK</w:t>
            </w:r>
          </w:p>
        </w:tc>
        <w:tc>
          <w:tcPr>
            <w:tcW w:w="0" w:type="auto"/>
          </w:tcPr>
          <w:p w14:paraId="2DAA1542" w14:textId="77777777" w:rsidR="005E3853" w:rsidRPr="00207748" w:rsidRDefault="005E3853" w:rsidP="004454B6">
            <w:pPr>
              <w:rPr>
                <w:rFonts w:ascii="Cambria" w:hAnsi="Cambria" w:cs="Arial"/>
                <w:sz w:val="20"/>
                <w:szCs w:val="20"/>
              </w:rPr>
            </w:pPr>
          </w:p>
        </w:tc>
        <w:tc>
          <w:tcPr>
            <w:tcW w:w="0" w:type="auto"/>
          </w:tcPr>
          <w:p w14:paraId="70FE44BD" w14:textId="77777777" w:rsidR="005E3853" w:rsidRPr="00207748" w:rsidRDefault="005E3853" w:rsidP="004454B6">
            <w:pPr>
              <w:rPr>
                <w:rFonts w:ascii="Cambria" w:hAnsi="Cambria" w:cs="Arial"/>
                <w:sz w:val="20"/>
                <w:szCs w:val="20"/>
              </w:rPr>
            </w:pPr>
            <w:r w:rsidRPr="00207748">
              <w:rPr>
                <w:rFonts w:ascii="Cambria" w:hAnsi="Cambria" w:cs="Arial"/>
                <w:sz w:val="20"/>
                <w:szCs w:val="20"/>
              </w:rPr>
              <w:t>Intermittierende Pneumatische Kompression</w:t>
            </w:r>
          </w:p>
        </w:tc>
      </w:tr>
      <w:tr w:rsidR="005E3853" w:rsidRPr="00207748" w14:paraId="651EE575" w14:textId="77777777" w:rsidTr="00342FB3">
        <w:tc>
          <w:tcPr>
            <w:tcW w:w="0" w:type="auto"/>
          </w:tcPr>
          <w:p w14:paraId="44C45A2C" w14:textId="77777777" w:rsidR="005E3853" w:rsidRPr="00207748" w:rsidRDefault="005E3853" w:rsidP="004454B6">
            <w:pPr>
              <w:rPr>
                <w:rFonts w:ascii="Cambria" w:hAnsi="Cambria" w:cs="Arial"/>
                <w:sz w:val="20"/>
                <w:szCs w:val="20"/>
              </w:rPr>
            </w:pPr>
            <w:r w:rsidRPr="00207748">
              <w:rPr>
                <w:rFonts w:ascii="Cambria" w:hAnsi="Cambria" w:cs="Arial"/>
                <w:sz w:val="20"/>
                <w:szCs w:val="20"/>
              </w:rPr>
              <w:t>ITS</w:t>
            </w:r>
          </w:p>
        </w:tc>
        <w:tc>
          <w:tcPr>
            <w:tcW w:w="0" w:type="auto"/>
          </w:tcPr>
          <w:p w14:paraId="3BC416DD" w14:textId="77777777" w:rsidR="005E3853" w:rsidRPr="00207748" w:rsidRDefault="005E3853" w:rsidP="004454B6">
            <w:pPr>
              <w:rPr>
                <w:rFonts w:ascii="Cambria" w:hAnsi="Cambria" w:cs="Arial"/>
                <w:sz w:val="20"/>
                <w:szCs w:val="20"/>
              </w:rPr>
            </w:pPr>
          </w:p>
        </w:tc>
        <w:tc>
          <w:tcPr>
            <w:tcW w:w="0" w:type="auto"/>
          </w:tcPr>
          <w:p w14:paraId="6CADDDB2" w14:textId="77777777" w:rsidR="005E3853" w:rsidRPr="00207748" w:rsidRDefault="005E3853" w:rsidP="004454B6">
            <w:pPr>
              <w:rPr>
                <w:rFonts w:ascii="Cambria" w:hAnsi="Cambria" w:cs="Arial"/>
                <w:sz w:val="20"/>
                <w:szCs w:val="20"/>
              </w:rPr>
            </w:pPr>
            <w:r w:rsidRPr="00207748">
              <w:rPr>
                <w:rFonts w:ascii="Cambria" w:hAnsi="Cambria" w:cs="Arial"/>
                <w:sz w:val="20"/>
                <w:szCs w:val="20"/>
              </w:rPr>
              <w:t>Intensivstation</w:t>
            </w:r>
          </w:p>
        </w:tc>
      </w:tr>
      <w:tr w:rsidR="005E3853" w:rsidRPr="00207748" w14:paraId="72B4DCDE" w14:textId="77777777" w:rsidTr="00342FB3">
        <w:tc>
          <w:tcPr>
            <w:tcW w:w="0" w:type="auto"/>
          </w:tcPr>
          <w:p w14:paraId="6D5593A4" w14:textId="77777777" w:rsidR="005E3853" w:rsidRPr="00207748" w:rsidRDefault="005E3853" w:rsidP="004454B6">
            <w:pPr>
              <w:rPr>
                <w:rFonts w:ascii="Cambria" w:hAnsi="Cambria" w:cs="Arial"/>
                <w:sz w:val="20"/>
                <w:szCs w:val="20"/>
              </w:rPr>
            </w:pPr>
            <w:r w:rsidRPr="00207748">
              <w:rPr>
                <w:rFonts w:ascii="Cambria" w:hAnsi="Cambria" w:cs="Arial"/>
                <w:sz w:val="20"/>
                <w:szCs w:val="20"/>
              </w:rPr>
              <w:t>LAE</w:t>
            </w:r>
          </w:p>
        </w:tc>
        <w:tc>
          <w:tcPr>
            <w:tcW w:w="0" w:type="auto"/>
          </w:tcPr>
          <w:p w14:paraId="070DE821" w14:textId="77777777" w:rsidR="005E3853" w:rsidRPr="00207748" w:rsidRDefault="005E3853" w:rsidP="004454B6">
            <w:pPr>
              <w:rPr>
                <w:rFonts w:ascii="Cambria" w:hAnsi="Cambria" w:cs="Arial"/>
                <w:sz w:val="20"/>
                <w:szCs w:val="20"/>
              </w:rPr>
            </w:pPr>
          </w:p>
        </w:tc>
        <w:tc>
          <w:tcPr>
            <w:tcW w:w="0" w:type="auto"/>
          </w:tcPr>
          <w:p w14:paraId="3B8EDCAE" w14:textId="77777777" w:rsidR="005E3853" w:rsidRPr="00207748" w:rsidRDefault="005E3853" w:rsidP="004454B6">
            <w:pPr>
              <w:rPr>
                <w:rFonts w:ascii="Cambria" w:hAnsi="Cambria" w:cs="Arial"/>
                <w:sz w:val="20"/>
                <w:szCs w:val="20"/>
              </w:rPr>
            </w:pPr>
            <w:r w:rsidRPr="00207748">
              <w:rPr>
                <w:rFonts w:ascii="Cambria" w:hAnsi="Cambria" w:cs="Arial"/>
                <w:sz w:val="20"/>
                <w:szCs w:val="20"/>
              </w:rPr>
              <w:t>Lungenarterienembolie</w:t>
            </w:r>
          </w:p>
        </w:tc>
      </w:tr>
      <w:tr w:rsidR="009631DE" w:rsidRPr="00207748" w14:paraId="732658B2" w14:textId="77777777" w:rsidTr="00342FB3">
        <w:tc>
          <w:tcPr>
            <w:tcW w:w="0" w:type="auto"/>
          </w:tcPr>
          <w:p w14:paraId="5194386B" w14:textId="212591FD" w:rsidR="009631DE" w:rsidRPr="00207748" w:rsidRDefault="009631DE" w:rsidP="004454B6">
            <w:pPr>
              <w:rPr>
                <w:rFonts w:ascii="Cambria" w:hAnsi="Cambria" w:cs="Arial"/>
                <w:sz w:val="20"/>
                <w:szCs w:val="20"/>
              </w:rPr>
            </w:pPr>
            <w:r>
              <w:rPr>
                <w:rFonts w:ascii="Cambria" w:hAnsi="Cambria" w:cs="Arial"/>
                <w:sz w:val="20"/>
                <w:szCs w:val="20"/>
              </w:rPr>
              <w:t>LOA</w:t>
            </w:r>
          </w:p>
        </w:tc>
        <w:tc>
          <w:tcPr>
            <w:tcW w:w="0" w:type="auto"/>
          </w:tcPr>
          <w:p w14:paraId="3E4540EE" w14:textId="395E61EA" w:rsidR="009631DE" w:rsidRPr="00207748" w:rsidRDefault="009631DE" w:rsidP="004454B6">
            <w:pPr>
              <w:rPr>
                <w:rFonts w:ascii="Cambria" w:hAnsi="Cambria" w:cs="Arial"/>
                <w:sz w:val="20"/>
                <w:szCs w:val="20"/>
              </w:rPr>
            </w:pPr>
            <w:r>
              <w:rPr>
                <w:rFonts w:ascii="Cambria" w:hAnsi="Cambria" w:cs="Arial"/>
                <w:sz w:val="20"/>
                <w:szCs w:val="20"/>
              </w:rPr>
              <w:t>Limits of agreement</w:t>
            </w:r>
          </w:p>
        </w:tc>
        <w:tc>
          <w:tcPr>
            <w:tcW w:w="0" w:type="auto"/>
          </w:tcPr>
          <w:p w14:paraId="01D8BF0F" w14:textId="12597A57" w:rsidR="009631DE" w:rsidRPr="00207748" w:rsidRDefault="009631DE" w:rsidP="004454B6">
            <w:pPr>
              <w:rPr>
                <w:rFonts w:ascii="Cambria" w:hAnsi="Cambria" w:cs="Arial"/>
                <w:sz w:val="20"/>
                <w:szCs w:val="20"/>
              </w:rPr>
            </w:pPr>
            <w:r w:rsidRPr="009631DE">
              <w:rPr>
                <w:rFonts w:ascii="Cambria" w:hAnsi="Cambria" w:cs="Arial"/>
                <w:sz w:val="20"/>
                <w:szCs w:val="20"/>
              </w:rPr>
              <w:t>Limits of agreement</w:t>
            </w:r>
          </w:p>
        </w:tc>
      </w:tr>
      <w:tr w:rsidR="00BE73B8" w:rsidRPr="00207748" w14:paraId="2801CECF" w14:textId="77777777" w:rsidTr="00342FB3">
        <w:tc>
          <w:tcPr>
            <w:tcW w:w="0" w:type="auto"/>
          </w:tcPr>
          <w:p w14:paraId="68CA51AB" w14:textId="68679BC9" w:rsidR="00BE73B8" w:rsidRPr="00207748" w:rsidRDefault="00BE73B8" w:rsidP="004454B6">
            <w:pPr>
              <w:rPr>
                <w:rFonts w:ascii="Cambria" w:hAnsi="Cambria" w:cs="Arial"/>
                <w:sz w:val="20"/>
                <w:szCs w:val="20"/>
              </w:rPr>
            </w:pPr>
            <w:r>
              <w:rPr>
                <w:rFonts w:ascii="Cambria" w:hAnsi="Cambria" w:cs="Arial"/>
                <w:sz w:val="20"/>
                <w:szCs w:val="20"/>
              </w:rPr>
              <w:lastRenderedPageBreak/>
              <w:t>LOVt</w:t>
            </w:r>
          </w:p>
        </w:tc>
        <w:tc>
          <w:tcPr>
            <w:tcW w:w="0" w:type="auto"/>
          </w:tcPr>
          <w:p w14:paraId="34ABEBE8" w14:textId="69D05DE3" w:rsidR="00BE73B8" w:rsidRPr="00207748" w:rsidRDefault="00BE73B8" w:rsidP="004454B6">
            <w:pPr>
              <w:rPr>
                <w:rFonts w:ascii="Cambria" w:hAnsi="Cambria" w:cs="Arial"/>
                <w:sz w:val="20"/>
                <w:szCs w:val="20"/>
              </w:rPr>
            </w:pPr>
            <w:r>
              <w:rPr>
                <w:rFonts w:ascii="Cambria" w:hAnsi="Cambria" w:cs="Arial"/>
                <w:sz w:val="20"/>
                <w:szCs w:val="20"/>
              </w:rPr>
              <w:t>Low Vt Ventilation</w:t>
            </w:r>
          </w:p>
        </w:tc>
        <w:tc>
          <w:tcPr>
            <w:tcW w:w="0" w:type="auto"/>
          </w:tcPr>
          <w:p w14:paraId="4285F481" w14:textId="79AEAE92" w:rsidR="00BE73B8" w:rsidRPr="00207748" w:rsidRDefault="00BE73B8" w:rsidP="004454B6">
            <w:pPr>
              <w:rPr>
                <w:rFonts w:ascii="Cambria" w:hAnsi="Cambria" w:cs="Arial"/>
                <w:sz w:val="20"/>
                <w:szCs w:val="20"/>
              </w:rPr>
            </w:pPr>
            <w:r>
              <w:rPr>
                <w:rFonts w:ascii="Cambria" w:hAnsi="Cambria" w:cs="Arial"/>
                <w:sz w:val="20"/>
                <w:szCs w:val="20"/>
              </w:rPr>
              <w:t>Beatmung mit niedrigen Tidalvolumina</w:t>
            </w:r>
          </w:p>
        </w:tc>
      </w:tr>
      <w:tr w:rsidR="005E3853" w:rsidRPr="00207748" w14:paraId="29BF0F06" w14:textId="77777777" w:rsidTr="00342FB3">
        <w:tc>
          <w:tcPr>
            <w:tcW w:w="0" w:type="auto"/>
          </w:tcPr>
          <w:p w14:paraId="1F8A32CD" w14:textId="77777777" w:rsidR="005E3853" w:rsidRPr="00207748" w:rsidRDefault="005E3853" w:rsidP="004454B6">
            <w:pPr>
              <w:rPr>
                <w:rFonts w:ascii="Cambria" w:hAnsi="Cambria" w:cs="Arial"/>
                <w:sz w:val="20"/>
                <w:szCs w:val="20"/>
              </w:rPr>
            </w:pPr>
            <w:r w:rsidRPr="00207748">
              <w:rPr>
                <w:rFonts w:ascii="Cambria" w:hAnsi="Cambria" w:cs="Arial"/>
                <w:sz w:val="20"/>
                <w:szCs w:val="20"/>
              </w:rPr>
              <w:t>MAP</w:t>
            </w:r>
          </w:p>
        </w:tc>
        <w:tc>
          <w:tcPr>
            <w:tcW w:w="0" w:type="auto"/>
          </w:tcPr>
          <w:p w14:paraId="13CBA995" w14:textId="77777777" w:rsidR="005E3853" w:rsidRPr="00207748" w:rsidRDefault="005E3853" w:rsidP="004454B6">
            <w:pPr>
              <w:rPr>
                <w:rFonts w:ascii="Cambria" w:hAnsi="Cambria" w:cs="Arial"/>
                <w:sz w:val="20"/>
                <w:szCs w:val="20"/>
              </w:rPr>
            </w:pPr>
            <w:r w:rsidRPr="00207748">
              <w:rPr>
                <w:rFonts w:ascii="Cambria" w:hAnsi="Cambria" w:cs="Arial"/>
                <w:sz w:val="20"/>
                <w:szCs w:val="20"/>
              </w:rPr>
              <w:t>Mean Arterial Pressure</w:t>
            </w:r>
          </w:p>
        </w:tc>
        <w:tc>
          <w:tcPr>
            <w:tcW w:w="0" w:type="auto"/>
          </w:tcPr>
          <w:p w14:paraId="07357B12" w14:textId="77777777" w:rsidR="005E3853" w:rsidRPr="00207748" w:rsidRDefault="005E3853" w:rsidP="004454B6">
            <w:pPr>
              <w:rPr>
                <w:rFonts w:ascii="Cambria" w:hAnsi="Cambria" w:cs="Arial"/>
                <w:sz w:val="20"/>
                <w:szCs w:val="20"/>
              </w:rPr>
            </w:pPr>
            <w:r w:rsidRPr="00207748">
              <w:rPr>
                <w:rFonts w:ascii="Cambria" w:hAnsi="Cambria" w:cs="Arial"/>
                <w:sz w:val="20"/>
                <w:szCs w:val="20"/>
              </w:rPr>
              <w:t>Mittlerer Arterieller Druck</w:t>
            </w:r>
          </w:p>
        </w:tc>
      </w:tr>
      <w:tr w:rsidR="005E3853" w:rsidRPr="00207748" w14:paraId="0705C573" w14:textId="77777777" w:rsidTr="00342FB3">
        <w:tc>
          <w:tcPr>
            <w:tcW w:w="0" w:type="auto"/>
          </w:tcPr>
          <w:p w14:paraId="21B01679" w14:textId="77777777" w:rsidR="005E3853" w:rsidRPr="00207748" w:rsidRDefault="005E3853" w:rsidP="004454B6">
            <w:pPr>
              <w:rPr>
                <w:rFonts w:ascii="Cambria" w:hAnsi="Cambria" w:cs="Arial"/>
                <w:sz w:val="20"/>
                <w:szCs w:val="20"/>
              </w:rPr>
            </w:pPr>
            <w:r w:rsidRPr="00207748">
              <w:rPr>
                <w:rFonts w:ascii="Cambria" w:hAnsi="Cambria" w:cs="Arial"/>
                <w:sz w:val="20"/>
                <w:szCs w:val="20"/>
              </w:rPr>
              <w:t>MIC</w:t>
            </w:r>
          </w:p>
        </w:tc>
        <w:tc>
          <w:tcPr>
            <w:tcW w:w="0" w:type="auto"/>
          </w:tcPr>
          <w:p w14:paraId="7B5AE9C2" w14:textId="77777777" w:rsidR="005E3853" w:rsidRPr="00207748" w:rsidRDefault="005E3853" w:rsidP="004454B6">
            <w:pPr>
              <w:rPr>
                <w:rFonts w:ascii="Cambria" w:hAnsi="Cambria" w:cs="Arial"/>
                <w:sz w:val="20"/>
                <w:szCs w:val="20"/>
              </w:rPr>
            </w:pPr>
            <w:r w:rsidRPr="00207748">
              <w:rPr>
                <w:rFonts w:ascii="Cambria" w:hAnsi="Cambria" w:cs="Arial"/>
                <w:sz w:val="20"/>
                <w:szCs w:val="20"/>
              </w:rPr>
              <w:t>Minimal Inhibition Concentration</w:t>
            </w:r>
          </w:p>
        </w:tc>
        <w:tc>
          <w:tcPr>
            <w:tcW w:w="0" w:type="auto"/>
          </w:tcPr>
          <w:p w14:paraId="69C6B474" w14:textId="29CEEA97" w:rsidR="005E3853" w:rsidRPr="00207748" w:rsidRDefault="005E3853" w:rsidP="004454B6">
            <w:pPr>
              <w:rPr>
                <w:rFonts w:ascii="Cambria" w:hAnsi="Cambria" w:cs="Arial"/>
                <w:sz w:val="20"/>
                <w:szCs w:val="20"/>
              </w:rPr>
            </w:pPr>
            <w:r w:rsidRPr="00207748">
              <w:rPr>
                <w:rFonts w:ascii="Cambria" w:hAnsi="Cambria" w:cs="Arial"/>
                <w:sz w:val="20"/>
                <w:szCs w:val="20"/>
              </w:rPr>
              <w:t>Minimale Hemmstoffkonzentration</w:t>
            </w:r>
            <w:r w:rsidR="002B1061">
              <w:rPr>
                <w:rFonts w:ascii="Cambria" w:hAnsi="Cambria" w:cs="Arial"/>
                <w:sz w:val="20"/>
                <w:szCs w:val="20"/>
              </w:rPr>
              <w:t xml:space="preserve"> </w:t>
            </w:r>
            <w:r w:rsidR="00A70A21">
              <w:rPr>
                <w:rFonts w:ascii="Cambria" w:hAnsi="Cambria" w:cs="Arial"/>
                <w:sz w:val="20"/>
                <w:szCs w:val="20"/>
              </w:rPr>
              <w:t>(MHK)</w:t>
            </w:r>
          </w:p>
        </w:tc>
      </w:tr>
      <w:tr w:rsidR="00264D62" w:rsidRPr="00207748" w14:paraId="164E8C1E" w14:textId="77777777" w:rsidTr="00264D62">
        <w:tc>
          <w:tcPr>
            <w:tcW w:w="0" w:type="auto"/>
            <w:tcBorders>
              <w:top w:val="single" w:sz="4" w:space="0" w:color="auto"/>
              <w:left w:val="single" w:sz="4" w:space="0" w:color="auto"/>
              <w:bottom w:val="single" w:sz="4" w:space="0" w:color="auto"/>
              <w:right w:val="single" w:sz="4" w:space="0" w:color="auto"/>
            </w:tcBorders>
          </w:tcPr>
          <w:p w14:paraId="03747132" w14:textId="77777777" w:rsidR="00264D62" w:rsidRPr="00207748" w:rsidRDefault="00264D62" w:rsidP="004454B6">
            <w:pPr>
              <w:rPr>
                <w:rFonts w:ascii="Cambria" w:hAnsi="Cambria" w:cs="Arial"/>
                <w:sz w:val="20"/>
                <w:szCs w:val="20"/>
              </w:rPr>
            </w:pPr>
            <w:r w:rsidRPr="00207748">
              <w:rPr>
                <w:rFonts w:ascii="Cambria" w:hAnsi="Cambria" w:cs="Arial"/>
                <w:sz w:val="20"/>
                <w:szCs w:val="20"/>
              </w:rPr>
              <w:t>MRSA</w:t>
            </w:r>
          </w:p>
        </w:tc>
        <w:tc>
          <w:tcPr>
            <w:tcW w:w="0" w:type="auto"/>
            <w:tcBorders>
              <w:top w:val="single" w:sz="4" w:space="0" w:color="auto"/>
              <w:left w:val="single" w:sz="4" w:space="0" w:color="auto"/>
              <w:bottom w:val="single" w:sz="4" w:space="0" w:color="auto"/>
              <w:right w:val="single" w:sz="4" w:space="0" w:color="auto"/>
            </w:tcBorders>
          </w:tcPr>
          <w:p w14:paraId="25274948" w14:textId="77777777" w:rsidR="00264D62" w:rsidRPr="00207748" w:rsidRDefault="00264D62" w:rsidP="004454B6">
            <w:pPr>
              <w:rPr>
                <w:rFonts w:ascii="Cambria" w:hAnsi="Cambria"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6F3318E2" w14:textId="77777777" w:rsidR="00264D62" w:rsidRPr="00207748" w:rsidRDefault="00264D62" w:rsidP="004454B6">
            <w:pPr>
              <w:rPr>
                <w:rFonts w:ascii="Cambria" w:hAnsi="Cambria" w:cs="Arial"/>
                <w:sz w:val="20"/>
                <w:szCs w:val="20"/>
              </w:rPr>
            </w:pPr>
            <w:r w:rsidRPr="00207748">
              <w:rPr>
                <w:rFonts w:ascii="Cambria" w:hAnsi="Cambria" w:cs="Arial"/>
                <w:sz w:val="20"/>
                <w:szCs w:val="20"/>
              </w:rPr>
              <w:t>Methicillin-resistenter Staphylococcus aureus</w:t>
            </w:r>
          </w:p>
        </w:tc>
      </w:tr>
      <w:tr w:rsidR="00264D62" w:rsidRPr="00207748" w14:paraId="33904C79" w14:textId="77777777" w:rsidTr="00264D62">
        <w:tc>
          <w:tcPr>
            <w:tcW w:w="0" w:type="auto"/>
            <w:tcBorders>
              <w:top w:val="single" w:sz="4" w:space="0" w:color="auto"/>
              <w:left w:val="single" w:sz="4" w:space="0" w:color="auto"/>
              <w:bottom w:val="single" w:sz="4" w:space="0" w:color="auto"/>
              <w:right w:val="single" w:sz="4" w:space="0" w:color="auto"/>
            </w:tcBorders>
          </w:tcPr>
          <w:p w14:paraId="5E6211AB" w14:textId="77777777" w:rsidR="00264D62" w:rsidRPr="00207748" w:rsidRDefault="00264D62" w:rsidP="004454B6">
            <w:pPr>
              <w:rPr>
                <w:rFonts w:ascii="Cambria" w:hAnsi="Cambria" w:cs="Arial"/>
                <w:sz w:val="20"/>
                <w:szCs w:val="20"/>
              </w:rPr>
            </w:pPr>
            <w:r w:rsidRPr="00207748">
              <w:rPr>
                <w:rFonts w:ascii="Cambria" w:hAnsi="Cambria" w:cs="Arial"/>
                <w:sz w:val="20"/>
                <w:szCs w:val="20"/>
              </w:rPr>
              <w:t>MTPS</w:t>
            </w:r>
          </w:p>
        </w:tc>
        <w:tc>
          <w:tcPr>
            <w:tcW w:w="0" w:type="auto"/>
            <w:tcBorders>
              <w:top w:val="single" w:sz="4" w:space="0" w:color="auto"/>
              <w:left w:val="single" w:sz="4" w:space="0" w:color="auto"/>
              <w:bottom w:val="single" w:sz="4" w:space="0" w:color="auto"/>
              <w:right w:val="single" w:sz="4" w:space="0" w:color="auto"/>
            </w:tcBorders>
          </w:tcPr>
          <w:p w14:paraId="734CC4DB" w14:textId="77777777" w:rsidR="00264D62" w:rsidRPr="00207748" w:rsidRDefault="00264D62" w:rsidP="004454B6">
            <w:pPr>
              <w:rPr>
                <w:rFonts w:ascii="Cambria" w:hAnsi="Cambria"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6328E970" w14:textId="77777777" w:rsidR="00264D62" w:rsidRPr="00207748" w:rsidRDefault="00264D62" w:rsidP="004454B6">
            <w:pPr>
              <w:rPr>
                <w:rFonts w:ascii="Cambria" w:hAnsi="Cambria" w:cs="Arial"/>
                <w:sz w:val="20"/>
                <w:szCs w:val="20"/>
              </w:rPr>
            </w:pPr>
            <w:r w:rsidRPr="00207748">
              <w:rPr>
                <w:rFonts w:ascii="Cambria" w:hAnsi="Cambria" w:cs="Arial"/>
                <w:sz w:val="20"/>
                <w:szCs w:val="20"/>
              </w:rPr>
              <w:t>Medizinischen Thromboseprophylaxestrümpfe</w:t>
            </w:r>
          </w:p>
        </w:tc>
      </w:tr>
      <w:tr w:rsidR="00264D62" w:rsidRPr="00207748" w14:paraId="57BD8B44" w14:textId="77777777" w:rsidTr="00264D62">
        <w:tc>
          <w:tcPr>
            <w:tcW w:w="0" w:type="auto"/>
            <w:tcBorders>
              <w:top w:val="single" w:sz="4" w:space="0" w:color="auto"/>
              <w:left w:val="single" w:sz="4" w:space="0" w:color="auto"/>
              <w:bottom w:val="single" w:sz="4" w:space="0" w:color="auto"/>
              <w:right w:val="single" w:sz="4" w:space="0" w:color="auto"/>
            </w:tcBorders>
          </w:tcPr>
          <w:p w14:paraId="41D28F2E" w14:textId="77777777" w:rsidR="00264D62" w:rsidRPr="00207748" w:rsidRDefault="00264D62" w:rsidP="004454B6">
            <w:pPr>
              <w:rPr>
                <w:rFonts w:ascii="Cambria" w:hAnsi="Cambria" w:cs="Arial"/>
                <w:sz w:val="20"/>
                <w:szCs w:val="20"/>
              </w:rPr>
            </w:pPr>
            <w:r w:rsidRPr="00207748">
              <w:rPr>
                <w:rFonts w:ascii="Cambria" w:hAnsi="Cambria" w:cs="Arial"/>
                <w:sz w:val="20"/>
                <w:szCs w:val="20"/>
              </w:rPr>
              <w:t>NMH</w:t>
            </w:r>
          </w:p>
        </w:tc>
        <w:tc>
          <w:tcPr>
            <w:tcW w:w="0" w:type="auto"/>
            <w:tcBorders>
              <w:top w:val="single" w:sz="4" w:space="0" w:color="auto"/>
              <w:left w:val="single" w:sz="4" w:space="0" w:color="auto"/>
              <w:bottom w:val="single" w:sz="4" w:space="0" w:color="auto"/>
              <w:right w:val="single" w:sz="4" w:space="0" w:color="auto"/>
            </w:tcBorders>
          </w:tcPr>
          <w:p w14:paraId="45CBADA7" w14:textId="77777777" w:rsidR="00264D62" w:rsidRPr="00207748" w:rsidRDefault="00264D62" w:rsidP="004454B6">
            <w:pPr>
              <w:rPr>
                <w:rFonts w:ascii="Cambria" w:hAnsi="Cambria"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31D1C69F" w14:textId="77777777" w:rsidR="00264D62" w:rsidRPr="00207748" w:rsidRDefault="00264D62" w:rsidP="004454B6">
            <w:pPr>
              <w:rPr>
                <w:rFonts w:ascii="Cambria" w:hAnsi="Cambria" w:cs="Arial"/>
                <w:sz w:val="20"/>
                <w:szCs w:val="20"/>
              </w:rPr>
            </w:pPr>
            <w:r w:rsidRPr="00207748">
              <w:rPr>
                <w:rFonts w:ascii="Cambria" w:hAnsi="Cambria" w:cs="Arial"/>
                <w:sz w:val="20"/>
                <w:szCs w:val="20"/>
              </w:rPr>
              <w:t>Niedermolekulares Heparin</w:t>
            </w:r>
          </w:p>
        </w:tc>
      </w:tr>
      <w:tr w:rsidR="00264D62" w:rsidRPr="00207748" w14:paraId="1703E6FC" w14:textId="77777777" w:rsidTr="00264D62">
        <w:tc>
          <w:tcPr>
            <w:tcW w:w="0" w:type="auto"/>
            <w:tcBorders>
              <w:top w:val="single" w:sz="4" w:space="0" w:color="auto"/>
              <w:left w:val="single" w:sz="4" w:space="0" w:color="auto"/>
              <w:bottom w:val="single" w:sz="4" w:space="0" w:color="auto"/>
              <w:right w:val="single" w:sz="4" w:space="0" w:color="auto"/>
            </w:tcBorders>
          </w:tcPr>
          <w:p w14:paraId="1D9490D0" w14:textId="77777777" w:rsidR="00264D62" w:rsidRPr="00207748" w:rsidRDefault="00264D62" w:rsidP="004454B6">
            <w:pPr>
              <w:rPr>
                <w:rFonts w:ascii="Cambria" w:hAnsi="Cambria" w:cs="Arial"/>
                <w:sz w:val="20"/>
                <w:szCs w:val="20"/>
              </w:rPr>
            </w:pPr>
            <w:r w:rsidRPr="00207748">
              <w:rPr>
                <w:rFonts w:ascii="Cambria" w:hAnsi="Cambria" w:cs="Arial"/>
                <w:sz w:val="20"/>
                <w:szCs w:val="20"/>
              </w:rPr>
              <w:t>PEEP</w:t>
            </w:r>
          </w:p>
        </w:tc>
        <w:tc>
          <w:tcPr>
            <w:tcW w:w="0" w:type="auto"/>
            <w:tcBorders>
              <w:top w:val="single" w:sz="4" w:space="0" w:color="auto"/>
              <w:left w:val="single" w:sz="4" w:space="0" w:color="auto"/>
              <w:bottom w:val="single" w:sz="4" w:space="0" w:color="auto"/>
              <w:right w:val="single" w:sz="4" w:space="0" w:color="auto"/>
            </w:tcBorders>
          </w:tcPr>
          <w:p w14:paraId="67843E9F" w14:textId="77777777" w:rsidR="00264D62" w:rsidRPr="00207748" w:rsidRDefault="00264D62" w:rsidP="004454B6">
            <w:pPr>
              <w:rPr>
                <w:rFonts w:ascii="Cambria" w:hAnsi="Cambria" w:cs="Arial"/>
                <w:sz w:val="20"/>
                <w:szCs w:val="20"/>
              </w:rPr>
            </w:pPr>
            <w:r w:rsidRPr="00207748">
              <w:rPr>
                <w:rFonts w:ascii="Cambria" w:hAnsi="Cambria" w:cs="Arial"/>
                <w:sz w:val="20"/>
                <w:szCs w:val="20"/>
              </w:rPr>
              <w:t>Positive End-Expiratory Pressure</w:t>
            </w:r>
          </w:p>
        </w:tc>
        <w:tc>
          <w:tcPr>
            <w:tcW w:w="0" w:type="auto"/>
            <w:tcBorders>
              <w:top w:val="single" w:sz="4" w:space="0" w:color="auto"/>
              <w:left w:val="single" w:sz="4" w:space="0" w:color="auto"/>
              <w:bottom w:val="single" w:sz="4" w:space="0" w:color="auto"/>
              <w:right w:val="single" w:sz="4" w:space="0" w:color="auto"/>
            </w:tcBorders>
          </w:tcPr>
          <w:p w14:paraId="57634967" w14:textId="77777777" w:rsidR="00264D62" w:rsidRPr="00207748" w:rsidRDefault="00264D62" w:rsidP="004454B6">
            <w:pPr>
              <w:rPr>
                <w:rFonts w:ascii="Cambria" w:hAnsi="Cambria" w:cs="Arial"/>
                <w:sz w:val="20"/>
                <w:szCs w:val="20"/>
              </w:rPr>
            </w:pPr>
            <w:r w:rsidRPr="00207748">
              <w:rPr>
                <w:rFonts w:ascii="Cambria" w:hAnsi="Cambria" w:cs="Arial"/>
                <w:sz w:val="20"/>
                <w:szCs w:val="20"/>
              </w:rPr>
              <w:t>Positiver Endexspiratorischer Druck</w:t>
            </w:r>
          </w:p>
        </w:tc>
      </w:tr>
      <w:tr w:rsidR="00BE73B8" w:rsidRPr="00BE73B8" w14:paraId="1BD40A0D" w14:textId="77777777" w:rsidTr="00264D62">
        <w:tc>
          <w:tcPr>
            <w:tcW w:w="0" w:type="auto"/>
            <w:tcBorders>
              <w:top w:val="single" w:sz="4" w:space="0" w:color="auto"/>
              <w:left w:val="single" w:sz="4" w:space="0" w:color="auto"/>
              <w:bottom w:val="single" w:sz="4" w:space="0" w:color="auto"/>
              <w:right w:val="single" w:sz="4" w:space="0" w:color="auto"/>
            </w:tcBorders>
          </w:tcPr>
          <w:p w14:paraId="626832D8" w14:textId="55CF535E" w:rsidR="00BE73B8" w:rsidRPr="00207748" w:rsidRDefault="00BE73B8" w:rsidP="00BE73B8">
            <w:pPr>
              <w:rPr>
                <w:rFonts w:ascii="Cambria" w:hAnsi="Cambria" w:cs="Arial"/>
                <w:sz w:val="20"/>
                <w:szCs w:val="20"/>
              </w:rPr>
            </w:pPr>
            <w:r>
              <w:rPr>
                <w:rFonts w:ascii="Cambria" w:hAnsi="Cambria" w:cs="Arial"/>
                <w:sz w:val="20"/>
                <w:szCs w:val="20"/>
              </w:rPr>
              <w:t>PEi</w:t>
            </w:r>
          </w:p>
        </w:tc>
        <w:tc>
          <w:tcPr>
            <w:tcW w:w="0" w:type="auto"/>
            <w:tcBorders>
              <w:top w:val="single" w:sz="4" w:space="0" w:color="auto"/>
              <w:left w:val="single" w:sz="4" w:space="0" w:color="auto"/>
              <w:bottom w:val="single" w:sz="4" w:space="0" w:color="auto"/>
              <w:right w:val="single" w:sz="4" w:space="0" w:color="auto"/>
            </w:tcBorders>
          </w:tcPr>
          <w:p w14:paraId="52736D2C" w14:textId="388D5FE0" w:rsidR="00BE73B8" w:rsidRPr="00DC4B69" w:rsidRDefault="00BE73B8" w:rsidP="00BE73B8">
            <w:pPr>
              <w:rPr>
                <w:rFonts w:ascii="Cambria" w:hAnsi="Cambria" w:cs="Arial"/>
                <w:sz w:val="20"/>
                <w:szCs w:val="20"/>
                <w:lang w:val="en-US"/>
              </w:rPr>
            </w:pPr>
            <w:r>
              <w:rPr>
                <w:rFonts w:ascii="Cambria" w:hAnsi="Cambria" w:cs="Arial"/>
                <w:sz w:val="20"/>
                <w:szCs w:val="20"/>
                <w:lang w:val="en-US"/>
              </w:rPr>
              <w:t>P</w:t>
            </w:r>
            <w:r w:rsidRPr="00DC4B69">
              <w:rPr>
                <w:rFonts w:ascii="Cambria" w:hAnsi="Cambria" w:cs="Arial"/>
                <w:sz w:val="20"/>
                <w:szCs w:val="20"/>
                <w:lang w:val="en-US"/>
              </w:rPr>
              <w:t>ressure-electrical activity index</w:t>
            </w:r>
          </w:p>
        </w:tc>
        <w:tc>
          <w:tcPr>
            <w:tcW w:w="0" w:type="auto"/>
            <w:tcBorders>
              <w:top w:val="single" w:sz="4" w:space="0" w:color="auto"/>
              <w:left w:val="single" w:sz="4" w:space="0" w:color="auto"/>
              <w:bottom w:val="single" w:sz="4" w:space="0" w:color="auto"/>
              <w:right w:val="single" w:sz="4" w:space="0" w:color="auto"/>
            </w:tcBorders>
          </w:tcPr>
          <w:p w14:paraId="31300F9F" w14:textId="77777777" w:rsidR="00BE73B8" w:rsidRPr="00DC4B69" w:rsidRDefault="00BE73B8" w:rsidP="004454B6">
            <w:pPr>
              <w:rPr>
                <w:rFonts w:ascii="Cambria" w:hAnsi="Cambria" w:cs="Arial"/>
                <w:sz w:val="20"/>
                <w:szCs w:val="20"/>
                <w:lang w:val="en-US"/>
              </w:rPr>
            </w:pPr>
          </w:p>
        </w:tc>
      </w:tr>
      <w:tr w:rsidR="00D00070" w:rsidRPr="00207748" w14:paraId="5892E96E" w14:textId="77777777" w:rsidTr="00264D62">
        <w:tc>
          <w:tcPr>
            <w:tcW w:w="0" w:type="auto"/>
            <w:tcBorders>
              <w:top w:val="single" w:sz="4" w:space="0" w:color="auto"/>
              <w:left w:val="single" w:sz="4" w:space="0" w:color="auto"/>
              <w:bottom w:val="single" w:sz="4" w:space="0" w:color="auto"/>
              <w:right w:val="single" w:sz="4" w:space="0" w:color="auto"/>
            </w:tcBorders>
          </w:tcPr>
          <w:p w14:paraId="6D54C22D" w14:textId="1711F4F5" w:rsidR="00D00070" w:rsidRPr="00207748" w:rsidRDefault="00D00070" w:rsidP="004454B6">
            <w:pPr>
              <w:rPr>
                <w:rFonts w:ascii="Cambria" w:hAnsi="Cambria" w:cs="Arial"/>
                <w:sz w:val="20"/>
                <w:szCs w:val="20"/>
              </w:rPr>
            </w:pPr>
            <w:r>
              <w:rPr>
                <w:rFonts w:ascii="Cambria" w:hAnsi="Cambria" w:cs="Arial"/>
                <w:sz w:val="20"/>
                <w:szCs w:val="20"/>
              </w:rPr>
              <w:t>PPV</w:t>
            </w:r>
          </w:p>
        </w:tc>
        <w:tc>
          <w:tcPr>
            <w:tcW w:w="0" w:type="auto"/>
            <w:tcBorders>
              <w:top w:val="single" w:sz="4" w:space="0" w:color="auto"/>
              <w:left w:val="single" w:sz="4" w:space="0" w:color="auto"/>
              <w:bottom w:val="single" w:sz="4" w:space="0" w:color="auto"/>
              <w:right w:val="single" w:sz="4" w:space="0" w:color="auto"/>
            </w:tcBorders>
          </w:tcPr>
          <w:p w14:paraId="67AA33AD" w14:textId="26EF263C" w:rsidR="00D00070" w:rsidRPr="00207748" w:rsidRDefault="00D00070" w:rsidP="004454B6">
            <w:pPr>
              <w:rPr>
                <w:rFonts w:ascii="Cambria" w:hAnsi="Cambria" w:cs="Arial"/>
                <w:sz w:val="20"/>
                <w:szCs w:val="20"/>
              </w:rPr>
            </w:pPr>
            <w:r>
              <w:rPr>
                <w:rFonts w:ascii="Cambria" w:hAnsi="Cambria" w:cs="Arial"/>
                <w:sz w:val="20"/>
                <w:szCs w:val="20"/>
              </w:rPr>
              <w:t>Pulse Pressure Variation</w:t>
            </w:r>
          </w:p>
        </w:tc>
        <w:tc>
          <w:tcPr>
            <w:tcW w:w="0" w:type="auto"/>
            <w:tcBorders>
              <w:top w:val="single" w:sz="4" w:space="0" w:color="auto"/>
              <w:left w:val="single" w:sz="4" w:space="0" w:color="auto"/>
              <w:bottom w:val="single" w:sz="4" w:space="0" w:color="auto"/>
              <w:right w:val="single" w:sz="4" w:space="0" w:color="auto"/>
            </w:tcBorders>
          </w:tcPr>
          <w:p w14:paraId="078D7374" w14:textId="272DD9CA" w:rsidR="00D00070" w:rsidRPr="00207748" w:rsidRDefault="00D00070" w:rsidP="004454B6">
            <w:pPr>
              <w:rPr>
                <w:rFonts w:ascii="Cambria" w:hAnsi="Cambria" w:cs="Arial"/>
                <w:sz w:val="20"/>
                <w:szCs w:val="20"/>
              </w:rPr>
            </w:pPr>
            <w:r>
              <w:rPr>
                <w:rFonts w:ascii="Cambria" w:hAnsi="Cambria" w:cs="Arial"/>
                <w:sz w:val="20"/>
                <w:szCs w:val="20"/>
              </w:rPr>
              <w:t>Puls-Druck Variabilität</w:t>
            </w:r>
          </w:p>
        </w:tc>
      </w:tr>
      <w:tr w:rsidR="00A70A21" w:rsidRPr="00207748" w14:paraId="255BCAFD" w14:textId="77777777" w:rsidTr="00264D62">
        <w:tc>
          <w:tcPr>
            <w:tcW w:w="0" w:type="auto"/>
            <w:tcBorders>
              <w:top w:val="single" w:sz="4" w:space="0" w:color="auto"/>
              <w:left w:val="single" w:sz="4" w:space="0" w:color="auto"/>
              <w:bottom w:val="single" w:sz="4" w:space="0" w:color="auto"/>
              <w:right w:val="single" w:sz="4" w:space="0" w:color="auto"/>
            </w:tcBorders>
          </w:tcPr>
          <w:p w14:paraId="74908BAD" w14:textId="4D8723CD" w:rsidR="00A70A21" w:rsidRPr="00207748" w:rsidRDefault="00A70A21" w:rsidP="004454B6">
            <w:pPr>
              <w:rPr>
                <w:rFonts w:ascii="Cambria" w:hAnsi="Cambria" w:cs="Arial"/>
                <w:sz w:val="20"/>
                <w:szCs w:val="20"/>
              </w:rPr>
            </w:pPr>
            <w:r>
              <w:rPr>
                <w:rFonts w:ascii="Cambria" w:hAnsi="Cambria" w:cs="Arial"/>
                <w:sz w:val="20"/>
                <w:szCs w:val="20"/>
              </w:rPr>
              <w:t>RAAS</w:t>
            </w:r>
          </w:p>
        </w:tc>
        <w:tc>
          <w:tcPr>
            <w:tcW w:w="0" w:type="auto"/>
            <w:tcBorders>
              <w:top w:val="single" w:sz="4" w:space="0" w:color="auto"/>
              <w:left w:val="single" w:sz="4" w:space="0" w:color="auto"/>
              <w:bottom w:val="single" w:sz="4" w:space="0" w:color="auto"/>
              <w:right w:val="single" w:sz="4" w:space="0" w:color="auto"/>
            </w:tcBorders>
          </w:tcPr>
          <w:p w14:paraId="684B6049" w14:textId="1E370B4E" w:rsidR="00A70A21" w:rsidRPr="00207748" w:rsidRDefault="00A70A21" w:rsidP="004454B6">
            <w:pPr>
              <w:rPr>
                <w:rFonts w:ascii="Cambria" w:hAnsi="Cambria" w:cs="Arial"/>
                <w:sz w:val="20"/>
                <w:szCs w:val="20"/>
              </w:rPr>
            </w:pPr>
            <w:r w:rsidRPr="00A70A21">
              <w:rPr>
                <w:rFonts w:ascii="Cambria" w:hAnsi="Cambria" w:cs="Arial"/>
                <w:sz w:val="20"/>
                <w:szCs w:val="20"/>
              </w:rPr>
              <w:t>Richmond Agitation-Sedation Scale</w:t>
            </w:r>
          </w:p>
        </w:tc>
        <w:tc>
          <w:tcPr>
            <w:tcW w:w="0" w:type="auto"/>
            <w:tcBorders>
              <w:top w:val="single" w:sz="4" w:space="0" w:color="auto"/>
              <w:left w:val="single" w:sz="4" w:space="0" w:color="auto"/>
              <w:bottom w:val="single" w:sz="4" w:space="0" w:color="auto"/>
              <w:right w:val="single" w:sz="4" w:space="0" w:color="auto"/>
            </w:tcBorders>
          </w:tcPr>
          <w:p w14:paraId="2EB9B4DA" w14:textId="37CDF5C0" w:rsidR="00A70A21" w:rsidRPr="00207748" w:rsidRDefault="00A70A21" w:rsidP="004454B6">
            <w:pPr>
              <w:rPr>
                <w:rFonts w:ascii="Cambria" w:hAnsi="Cambria" w:cs="Arial"/>
                <w:sz w:val="20"/>
                <w:szCs w:val="20"/>
              </w:rPr>
            </w:pPr>
            <w:r w:rsidRPr="00A70A21">
              <w:rPr>
                <w:rFonts w:ascii="Cambria" w:hAnsi="Cambria" w:cs="Arial"/>
                <w:sz w:val="20"/>
                <w:szCs w:val="20"/>
              </w:rPr>
              <w:t>Richmond Agitation-Sedation Scale</w:t>
            </w:r>
          </w:p>
        </w:tc>
      </w:tr>
      <w:tr w:rsidR="00A70A21" w:rsidRPr="00207748" w14:paraId="74370BCB" w14:textId="77777777" w:rsidTr="00264D62">
        <w:tc>
          <w:tcPr>
            <w:tcW w:w="0" w:type="auto"/>
            <w:tcBorders>
              <w:top w:val="single" w:sz="4" w:space="0" w:color="auto"/>
              <w:left w:val="single" w:sz="4" w:space="0" w:color="auto"/>
              <w:bottom w:val="single" w:sz="4" w:space="0" w:color="auto"/>
              <w:right w:val="single" w:sz="4" w:space="0" w:color="auto"/>
            </w:tcBorders>
          </w:tcPr>
          <w:p w14:paraId="34172182" w14:textId="7ECC4EFF" w:rsidR="00A70A21" w:rsidRPr="00207748" w:rsidRDefault="00A70A21" w:rsidP="004454B6">
            <w:pPr>
              <w:rPr>
                <w:rFonts w:ascii="Cambria" w:hAnsi="Cambria" w:cs="Arial"/>
                <w:sz w:val="20"/>
                <w:szCs w:val="20"/>
              </w:rPr>
            </w:pPr>
            <w:r>
              <w:rPr>
                <w:rFonts w:ascii="Cambria" w:hAnsi="Cambria" w:cs="Arial"/>
                <w:sz w:val="20"/>
                <w:szCs w:val="20"/>
              </w:rPr>
              <w:t>PPI</w:t>
            </w:r>
          </w:p>
        </w:tc>
        <w:tc>
          <w:tcPr>
            <w:tcW w:w="0" w:type="auto"/>
            <w:tcBorders>
              <w:top w:val="single" w:sz="4" w:space="0" w:color="auto"/>
              <w:left w:val="single" w:sz="4" w:space="0" w:color="auto"/>
              <w:bottom w:val="single" w:sz="4" w:space="0" w:color="auto"/>
              <w:right w:val="single" w:sz="4" w:space="0" w:color="auto"/>
            </w:tcBorders>
          </w:tcPr>
          <w:p w14:paraId="766D34FE" w14:textId="7EFF8E56" w:rsidR="00A70A21" w:rsidRPr="00207748" w:rsidRDefault="00A70A21" w:rsidP="004454B6">
            <w:pPr>
              <w:rPr>
                <w:rFonts w:ascii="Cambria" w:hAnsi="Cambria" w:cs="Arial"/>
                <w:sz w:val="20"/>
                <w:szCs w:val="20"/>
              </w:rPr>
            </w:pPr>
            <w:r>
              <w:rPr>
                <w:rFonts w:ascii="Cambria" w:hAnsi="Cambria" w:cs="Arial"/>
                <w:sz w:val="20"/>
                <w:szCs w:val="20"/>
              </w:rPr>
              <w:t>Proton pump inhibitor</w:t>
            </w:r>
          </w:p>
        </w:tc>
        <w:tc>
          <w:tcPr>
            <w:tcW w:w="0" w:type="auto"/>
            <w:tcBorders>
              <w:top w:val="single" w:sz="4" w:space="0" w:color="auto"/>
              <w:left w:val="single" w:sz="4" w:space="0" w:color="auto"/>
              <w:bottom w:val="single" w:sz="4" w:space="0" w:color="auto"/>
              <w:right w:val="single" w:sz="4" w:space="0" w:color="auto"/>
            </w:tcBorders>
          </w:tcPr>
          <w:p w14:paraId="5696DA06" w14:textId="452458B3" w:rsidR="00A70A21" w:rsidRPr="00207748" w:rsidRDefault="00A70A21" w:rsidP="004454B6">
            <w:pPr>
              <w:rPr>
                <w:rFonts w:ascii="Cambria" w:hAnsi="Cambria" w:cs="Arial"/>
                <w:sz w:val="20"/>
                <w:szCs w:val="20"/>
              </w:rPr>
            </w:pPr>
            <w:r>
              <w:rPr>
                <w:rFonts w:ascii="Cambria" w:hAnsi="Cambria" w:cs="Arial"/>
                <w:sz w:val="20"/>
                <w:szCs w:val="20"/>
              </w:rPr>
              <w:t>Protonenpumpeninhibitoren</w:t>
            </w:r>
          </w:p>
        </w:tc>
      </w:tr>
      <w:tr w:rsidR="009631DE" w:rsidRPr="00207748" w14:paraId="5DE32F4F" w14:textId="77777777" w:rsidTr="00264D62">
        <w:tc>
          <w:tcPr>
            <w:tcW w:w="0" w:type="auto"/>
            <w:tcBorders>
              <w:top w:val="single" w:sz="4" w:space="0" w:color="auto"/>
              <w:left w:val="single" w:sz="4" w:space="0" w:color="auto"/>
              <w:bottom w:val="single" w:sz="4" w:space="0" w:color="auto"/>
              <w:right w:val="single" w:sz="4" w:space="0" w:color="auto"/>
            </w:tcBorders>
          </w:tcPr>
          <w:p w14:paraId="65A4A93E" w14:textId="6F9AC290" w:rsidR="009631DE" w:rsidRPr="00207748" w:rsidRDefault="009631DE" w:rsidP="004454B6">
            <w:pPr>
              <w:rPr>
                <w:rFonts w:ascii="Cambria" w:hAnsi="Cambria" w:cs="Arial"/>
                <w:sz w:val="20"/>
                <w:szCs w:val="20"/>
              </w:rPr>
            </w:pPr>
            <w:r>
              <w:rPr>
                <w:rFonts w:ascii="Cambria" w:hAnsi="Cambria" w:cs="Arial"/>
                <w:sz w:val="20"/>
                <w:szCs w:val="20"/>
              </w:rPr>
              <w:t>PTSD</w:t>
            </w:r>
          </w:p>
        </w:tc>
        <w:tc>
          <w:tcPr>
            <w:tcW w:w="0" w:type="auto"/>
            <w:tcBorders>
              <w:top w:val="single" w:sz="4" w:space="0" w:color="auto"/>
              <w:left w:val="single" w:sz="4" w:space="0" w:color="auto"/>
              <w:bottom w:val="single" w:sz="4" w:space="0" w:color="auto"/>
              <w:right w:val="single" w:sz="4" w:space="0" w:color="auto"/>
            </w:tcBorders>
          </w:tcPr>
          <w:p w14:paraId="78FDA11D" w14:textId="656ADD27" w:rsidR="009631DE" w:rsidRPr="00207748" w:rsidRDefault="009631DE" w:rsidP="004454B6">
            <w:pPr>
              <w:rPr>
                <w:rFonts w:ascii="Cambria" w:hAnsi="Cambria" w:cs="Arial"/>
                <w:sz w:val="20"/>
                <w:szCs w:val="20"/>
              </w:rPr>
            </w:pPr>
            <w:r>
              <w:rPr>
                <w:rFonts w:ascii="Cambria" w:hAnsi="Cambria" w:cs="Arial"/>
                <w:sz w:val="20"/>
                <w:szCs w:val="20"/>
              </w:rPr>
              <w:t>P</w:t>
            </w:r>
            <w:r w:rsidRPr="009631DE">
              <w:rPr>
                <w:rFonts w:ascii="Cambria" w:hAnsi="Cambria" w:cs="Arial"/>
                <w:sz w:val="20"/>
                <w:szCs w:val="20"/>
              </w:rPr>
              <w:t>osttraumatic stress disorder</w:t>
            </w:r>
          </w:p>
        </w:tc>
        <w:tc>
          <w:tcPr>
            <w:tcW w:w="0" w:type="auto"/>
            <w:tcBorders>
              <w:top w:val="single" w:sz="4" w:space="0" w:color="auto"/>
              <w:left w:val="single" w:sz="4" w:space="0" w:color="auto"/>
              <w:bottom w:val="single" w:sz="4" w:space="0" w:color="auto"/>
              <w:right w:val="single" w:sz="4" w:space="0" w:color="auto"/>
            </w:tcBorders>
          </w:tcPr>
          <w:p w14:paraId="351ABD76" w14:textId="094A0CA1" w:rsidR="009631DE" w:rsidRPr="00207748" w:rsidRDefault="009631DE" w:rsidP="004454B6">
            <w:pPr>
              <w:rPr>
                <w:rFonts w:ascii="Cambria" w:hAnsi="Cambria" w:cs="Arial"/>
                <w:sz w:val="20"/>
                <w:szCs w:val="20"/>
              </w:rPr>
            </w:pPr>
            <w:r w:rsidRPr="009631DE">
              <w:rPr>
                <w:rFonts w:ascii="Cambria" w:hAnsi="Cambria" w:cs="Arial"/>
                <w:sz w:val="20"/>
                <w:szCs w:val="20"/>
              </w:rPr>
              <w:t>Posttraumatische Belastungsstörung (PTBS)</w:t>
            </w:r>
          </w:p>
        </w:tc>
      </w:tr>
      <w:tr w:rsidR="00264D62" w:rsidRPr="00207748" w14:paraId="1701E05A" w14:textId="77777777" w:rsidTr="00264D62">
        <w:tc>
          <w:tcPr>
            <w:tcW w:w="0" w:type="auto"/>
            <w:tcBorders>
              <w:top w:val="single" w:sz="4" w:space="0" w:color="auto"/>
              <w:left w:val="single" w:sz="4" w:space="0" w:color="auto"/>
              <w:bottom w:val="single" w:sz="4" w:space="0" w:color="auto"/>
              <w:right w:val="single" w:sz="4" w:space="0" w:color="auto"/>
            </w:tcBorders>
          </w:tcPr>
          <w:p w14:paraId="0BC120F9" w14:textId="77777777" w:rsidR="00264D62" w:rsidRPr="00207748" w:rsidRDefault="00264D62" w:rsidP="004454B6">
            <w:pPr>
              <w:rPr>
                <w:rFonts w:ascii="Cambria" w:hAnsi="Cambria" w:cs="Arial"/>
                <w:sz w:val="20"/>
                <w:szCs w:val="20"/>
              </w:rPr>
            </w:pPr>
            <w:r w:rsidRPr="00207748">
              <w:rPr>
                <w:rFonts w:ascii="Cambria" w:hAnsi="Cambria" w:cs="Arial"/>
                <w:sz w:val="20"/>
                <w:szCs w:val="20"/>
              </w:rPr>
              <w:t>RCT</w:t>
            </w:r>
          </w:p>
        </w:tc>
        <w:tc>
          <w:tcPr>
            <w:tcW w:w="0" w:type="auto"/>
            <w:tcBorders>
              <w:top w:val="single" w:sz="4" w:space="0" w:color="auto"/>
              <w:left w:val="single" w:sz="4" w:space="0" w:color="auto"/>
              <w:bottom w:val="single" w:sz="4" w:space="0" w:color="auto"/>
              <w:right w:val="single" w:sz="4" w:space="0" w:color="auto"/>
            </w:tcBorders>
          </w:tcPr>
          <w:p w14:paraId="0B1AB89E" w14:textId="77777777" w:rsidR="00264D62" w:rsidRPr="00207748" w:rsidRDefault="00264D62" w:rsidP="004454B6">
            <w:pPr>
              <w:rPr>
                <w:rFonts w:ascii="Cambria" w:hAnsi="Cambria" w:cs="Arial"/>
                <w:sz w:val="20"/>
                <w:szCs w:val="20"/>
              </w:rPr>
            </w:pPr>
            <w:r w:rsidRPr="00207748">
              <w:rPr>
                <w:rFonts w:ascii="Cambria" w:hAnsi="Cambria" w:cs="Arial"/>
                <w:sz w:val="20"/>
                <w:szCs w:val="20"/>
              </w:rPr>
              <w:t>Randomized Controlled Trial</w:t>
            </w:r>
          </w:p>
        </w:tc>
        <w:tc>
          <w:tcPr>
            <w:tcW w:w="0" w:type="auto"/>
            <w:tcBorders>
              <w:top w:val="single" w:sz="4" w:space="0" w:color="auto"/>
              <w:left w:val="single" w:sz="4" w:space="0" w:color="auto"/>
              <w:bottom w:val="single" w:sz="4" w:space="0" w:color="auto"/>
              <w:right w:val="single" w:sz="4" w:space="0" w:color="auto"/>
            </w:tcBorders>
          </w:tcPr>
          <w:p w14:paraId="1B2935CE" w14:textId="77777777" w:rsidR="00264D62" w:rsidRPr="00207748" w:rsidRDefault="00264D62" w:rsidP="004454B6">
            <w:pPr>
              <w:rPr>
                <w:rFonts w:ascii="Cambria" w:hAnsi="Cambria" w:cs="Arial"/>
                <w:sz w:val="20"/>
                <w:szCs w:val="20"/>
              </w:rPr>
            </w:pPr>
            <w:r w:rsidRPr="00207748">
              <w:rPr>
                <w:rFonts w:ascii="Cambria" w:hAnsi="Cambria" w:cs="Arial"/>
                <w:sz w:val="20"/>
                <w:szCs w:val="20"/>
              </w:rPr>
              <w:t>Randomisierte kontrollierte Studie</w:t>
            </w:r>
          </w:p>
        </w:tc>
      </w:tr>
      <w:tr w:rsidR="00BE73B8" w:rsidRPr="00207748" w14:paraId="0E1ACB8D" w14:textId="77777777" w:rsidTr="00264D62">
        <w:tc>
          <w:tcPr>
            <w:tcW w:w="0" w:type="auto"/>
            <w:tcBorders>
              <w:top w:val="single" w:sz="4" w:space="0" w:color="auto"/>
              <w:left w:val="single" w:sz="4" w:space="0" w:color="auto"/>
              <w:bottom w:val="single" w:sz="4" w:space="0" w:color="auto"/>
              <w:right w:val="single" w:sz="4" w:space="0" w:color="auto"/>
            </w:tcBorders>
          </w:tcPr>
          <w:p w14:paraId="0F334C37" w14:textId="34FF9DF7" w:rsidR="00BE73B8" w:rsidRPr="00207748" w:rsidRDefault="00BE73B8" w:rsidP="004454B6">
            <w:pPr>
              <w:rPr>
                <w:rFonts w:ascii="Cambria" w:hAnsi="Cambria" w:cs="Arial"/>
                <w:sz w:val="20"/>
                <w:szCs w:val="20"/>
              </w:rPr>
            </w:pPr>
            <w:r>
              <w:rPr>
                <w:rFonts w:ascii="Cambria" w:hAnsi="Cambria" w:cs="Arial"/>
                <w:sz w:val="20"/>
                <w:szCs w:val="20"/>
              </w:rPr>
              <w:t>RM</w:t>
            </w:r>
          </w:p>
        </w:tc>
        <w:tc>
          <w:tcPr>
            <w:tcW w:w="0" w:type="auto"/>
            <w:tcBorders>
              <w:top w:val="single" w:sz="4" w:space="0" w:color="auto"/>
              <w:left w:val="single" w:sz="4" w:space="0" w:color="auto"/>
              <w:bottom w:val="single" w:sz="4" w:space="0" w:color="auto"/>
              <w:right w:val="single" w:sz="4" w:space="0" w:color="auto"/>
            </w:tcBorders>
          </w:tcPr>
          <w:p w14:paraId="3DFF8A29" w14:textId="57C65670" w:rsidR="00BE73B8" w:rsidRPr="00207748" w:rsidRDefault="00BE73B8" w:rsidP="004454B6">
            <w:pPr>
              <w:rPr>
                <w:rFonts w:ascii="Cambria" w:hAnsi="Cambria" w:cs="Arial"/>
                <w:sz w:val="20"/>
                <w:szCs w:val="20"/>
              </w:rPr>
            </w:pPr>
            <w:r>
              <w:rPr>
                <w:rFonts w:ascii="Cambria" w:hAnsi="Cambria" w:cs="Arial"/>
                <w:sz w:val="20"/>
                <w:szCs w:val="20"/>
              </w:rPr>
              <w:t>Recruitment maneuver</w:t>
            </w:r>
          </w:p>
        </w:tc>
        <w:tc>
          <w:tcPr>
            <w:tcW w:w="0" w:type="auto"/>
            <w:tcBorders>
              <w:top w:val="single" w:sz="4" w:space="0" w:color="auto"/>
              <w:left w:val="single" w:sz="4" w:space="0" w:color="auto"/>
              <w:bottom w:val="single" w:sz="4" w:space="0" w:color="auto"/>
              <w:right w:val="single" w:sz="4" w:space="0" w:color="auto"/>
            </w:tcBorders>
          </w:tcPr>
          <w:p w14:paraId="0F6418DF" w14:textId="6EEEE1DF" w:rsidR="00BE73B8" w:rsidRPr="00207748" w:rsidRDefault="00BE73B8" w:rsidP="004454B6">
            <w:pPr>
              <w:rPr>
                <w:rFonts w:ascii="Cambria" w:hAnsi="Cambria" w:cs="Arial"/>
                <w:sz w:val="20"/>
                <w:szCs w:val="20"/>
              </w:rPr>
            </w:pPr>
            <w:r>
              <w:rPr>
                <w:rFonts w:ascii="Cambria" w:hAnsi="Cambria" w:cs="Arial"/>
                <w:sz w:val="20"/>
                <w:szCs w:val="20"/>
              </w:rPr>
              <w:t>Recruitmentmanöver</w:t>
            </w:r>
          </w:p>
        </w:tc>
      </w:tr>
      <w:tr w:rsidR="00264D62" w:rsidRPr="00207748" w14:paraId="3829655E" w14:textId="77777777" w:rsidTr="00264D62">
        <w:tc>
          <w:tcPr>
            <w:tcW w:w="0" w:type="auto"/>
            <w:tcBorders>
              <w:top w:val="single" w:sz="4" w:space="0" w:color="auto"/>
              <w:left w:val="single" w:sz="4" w:space="0" w:color="auto"/>
              <w:bottom w:val="single" w:sz="4" w:space="0" w:color="auto"/>
              <w:right w:val="single" w:sz="4" w:space="0" w:color="auto"/>
            </w:tcBorders>
          </w:tcPr>
          <w:p w14:paraId="3E089F3B" w14:textId="77777777" w:rsidR="00264D62" w:rsidRPr="00207748" w:rsidRDefault="00264D62" w:rsidP="004454B6">
            <w:pPr>
              <w:rPr>
                <w:rFonts w:ascii="Cambria" w:hAnsi="Cambria" w:cs="Arial"/>
                <w:sz w:val="20"/>
                <w:szCs w:val="20"/>
              </w:rPr>
            </w:pPr>
            <w:r w:rsidRPr="00207748">
              <w:rPr>
                <w:rFonts w:ascii="Cambria" w:hAnsi="Cambria" w:cs="Arial"/>
                <w:sz w:val="20"/>
                <w:szCs w:val="20"/>
              </w:rPr>
              <w:t>RRT</w:t>
            </w:r>
          </w:p>
        </w:tc>
        <w:tc>
          <w:tcPr>
            <w:tcW w:w="0" w:type="auto"/>
            <w:tcBorders>
              <w:top w:val="single" w:sz="4" w:space="0" w:color="auto"/>
              <w:left w:val="single" w:sz="4" w:space="0" w:color="auto"/>
              <w:bottom w:val="single" w:sz="4" w:space="0" w:color="auto"/>
              <w:right w:val="single" w:sz="4" w:space="0" w:color="auto"/>
            </w:tcBorders>
          </w:tcPr>
          <w:p w14:paraId="6BD17FA9" w14:textId="77777777" w:rsidR="00264D62" w:rsidRPr="00207748" w:rsidRDefault="00264D62" w:rsidP="004454B6">
            <w:pPr>
              <w:rPr>
                <w:rFonts w:ascii="Cambria" w:hAnsi="Cambria" w:cs="Arial"/>
                <w:sz w:val="20"/>
                <w:szCs w:val="20"/>
              </w:rPr>
            </w:pPr>
            <w:r w:rsidRPr="00207748">
              <w:rPr>
                <w:rFonts w:ascii="Cambria" w:hAnsi="Cambria" w:cs="Arial"/>
                <w:sz w:val="20"/>
                <w:szCs w:val="20"/>
              </w:rPr>
              <w:t>Renal Replacement Therapy</w:t>
            </w:r>
          </w:p>
        </w:tc>
        <w:tc>
          <w:tcPr>
            <w:tcW w:w="0" w:type="auto"/>
            <w:tcBorders>
              <w:top w:val="single" w:sz="4" w:space="0" w:color="auto"/>
              <w:left w:val="single" w:sz="4" w:space="0" w:color="auto"/>
              <w:bottom w:val="single" w:sz="4" w:space="0" w:color="auto"/>
              <w:right w:val="single" w:sz="4" w:space="0" w:color="auto"/>
            </w:tcBorders>
          </w:tcPr>
          <w:p w14:paraId="5F1B5F71" w14:textId="77777777" w:rsidR="00264D62" w:rsidRPr="00207748" w:rsidRDefault="00264D62" w:rsidP="004454B6">
            <w:pPr>
              <w:rPr>
                <w:rFonts w:ascii="Cambria" w:hAnsi="Cambria" w:cs="Arial"/>
                <w:sz w:val="20"/>
                <w:szCs w:val="20"/>
              </w:rPr>
            </w:pPr>
            <w:r w:rsidRPr="00207748">
              <w:rPr>
                <w:rFonts w:ascii="Cambria" w:hAnsi="Cambria" w:cs="Arial"/>
                <w:sz w:val="20"/>
                <w:szCs w:val="20"/>
              </w:rPr>
              <w:t>Nierenersatztherapie</w:t>
            </w:r>
          </w:p>
        </w:tc>
      </w:tr>
      <w:tr w:rsidR="00264D62" w:rsidRPr="00207748" w14:paraId="33B2094C" w14:textId="77777777" w:rsidTr="00264D62">
        <w:tc>
          <w:tcPr>
            <w:tcW w:w="0" w:type="auto"/>
            <w:tcBorders>
              <w:top w:val="single" w:sz="4" w:space="0" w:color="auto"/>
              <w:left w:val="single" w:sz="4" w:space="0" w:color="auto"/>
              <w:bottom w:val="single" w:sz="4" w:space="0" w:color="auto"/>
              <w:right w:val="single" w:sz="4" w:space="0" w:color="auto"/>
            </w:tcBorders>
          </w:tcPr>
          <w:p w14:paraId="27228F88" w14:textId="77777777" w:rsidR="00264D62" w:rsidRPr="00207748" w:rsidRDefault="00264D62" w:rsidP="004454B6">
            <w:pPr>
              <w:rPr>
                <w:rFonts w:ascii="Cambria" w:hAnsi="Cambria" w:cs="Arial"/>
                <w:sz w:val="20"/>
                <w:szCs w:val="20"/>
              </w:rPr>
            </w:pPr>
            <w:r w:rsidRPr="00207748">
              <w:rPr>
                <w:rFonts w:ascii="Cambria" w:hAnsi="Cambria" w:cs="Arial"/>
                <w:sz w:val="20"/>
                <w:szCs w:val="20"/>
              </w:rPr>
              <w:t>SIRS</w:t>
            </w:r>
          </w:p>
        </w:tc>
        <w:tc>
          <w:tcPr>
            <w:tcW w:w="0" w:type="auto"/>
            <w:tcBorders>
              <w:top w:val="single" w:sz="4" w:space="0" w:color="auto"/>
              <w:left w:val="single" w:sz="4" w:space="0" w:color="auto"/>
              <w:bottom w:val="single" w:sz="4" w:space="0" w:color="auto"/>
              <w:right w:val="single" w:sz="4" w:space="0" w:color="auto"/>
            </w:tcBorders>
          </w:tcPr>
          <w:p w14:paraId="73E919B6" w14:textId="77777777" w:rsidR="00264D62" w:rsidRPr="00207748" w:rsidRDefault="00264D62" w:rsidP="004454B6">
            <w:pPr>
              <w:rPr>
                <w:rFonts w:ascii="Cambria" w:hAnsi="Cambria"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508C5BFE" w14:textId="77777777" w:rsidR="00264D62" w:rsidRPr="00207748" w:rsidRDefault="00264D62" w:rsidP="004454B6">
            <w:pPr>
              <w:rPr>
                <w:rFonts w:ascii="Cambria" w:hAnsi="Cambria" w:cs="Arial"/>
                <w:sz w:val="20"/>
                <w:szCs w:val="20"/>
              </w:rPr>
            </w:pPr>
            <w:r w:rsidRPr="00207748">
              <w:rPr>
                <w:rFonts w:ascii="Cambria" w:hAnsi="Cambria" w:cs="Arial"/>
                <w:sz w:val="20"/>
                <w:szCs w:val="20"/>
              </w:rPr>
              <w:t>Systemisches Inflammatorisches Response-Syndrom</w:t>
            </w:r>
          </w:p>
        </w:tc>
      </w:tr>
      <w:tr w:rsidR="00264D62" w:rsidRPr="00207748" w14:paraId="71B11213" w14:textId="77777777" w:rsidTr="00264D62">
        <w:tc>
          <w:tcPr>
            <w:tcW w:w="0" w:type="auto"/>
            <w:tcBorders>
              <w:top w:val="single" w:sz="4" w:space="0" w:color="auto"/>
              <w:left w:val="single" w:sz="4" w:space="0" w:color="auto"/>
              <w:bottom w:val="single" w:sz="4" w:space="0" w:color="auto"/>
              <w:right w:val="single" w:sz="4" w:space="0" w:color="auto"/>
            </w:tcBorders>
          </w:tcPr>
          <w:p w14:paraId="501B8346" w14:textId="77777777" w:rsidR="00264D62" w:rsidRPr="00207748" w:rsidRDefault="00264D62" w:rsidP="004454B6">
            <w:pPr>
              <w:rPr>
                <w:rFonts w:ascii="Cambria" w:hAnsi="Cambria" w:cs="Arial"/>
                <w:sz w:val="20"/>
                <w:szCs w:val="20"/>
              </w:rPr>
            </w:pPr>
            <w:r w:rsidRPr="00207748">
              <w:rPr>
                <w:rFonts w:ascii="Cambria" w:hAnsi="Cambria" w:cs="Arial"/>
                <w:sz w:val="20"/>
                <w:szCs w:val="20"/>
              </w:rPr>
              <w:t xml:space="preserve">SOFA </w:t>
            </w:r>
          </w:p>
        </w:tc>
        <w:tc>
          <w:tcPr>
            <w:tcW w:w="0" w:type="auto"/>
            <w:tcBorders>
              <w:top w:val="single" w:sz="4" w:space="0" w:color="auto"/>
              <w:left w:val="single" w:sz="4" w:space="0" w:color="auto"/>
              <w:bottom w:val="single" w:sz="4" w:space="0" w:color="auto"/>
              <w:right w:val="single" w:sz="4" w:space="0" w:color="auto"/>
            </w:tcBorders>
          </w:tcPr>
          <w:p w14:paraId="4A87E607" w14:textId="77777777" w:rsidR="00264D62" w:rsidRPr="00207748" w:rsidRDefault="00264D62" w:rsidP="004454B6">
            <w:pPr>
              <w:rPr>
                <w:rFonts w:ascii="Cambria" w:hAnsi="Cambria" w:cs="Arial"/>
                <w:sz w:val="20"/>
                <w:szCs w:val="20"/>
              </w:rPr>
            </w:pPr>
            <w:r w:rsidRPr="00207748">
              <w:rPr>
                <w:rFonts w:ascii="Cambria" w:hAnsi="Cambria" w:cs="Arial"/>
                <w:sz w:val="20"/>
                <w:szCs w:val="20"/>
              </w:rPr>
              <w:t>Sequential Organ Failure Assessment</w:t>
            </w:r>
          </w:p>
        </w:tc>
        <w:tc>
          <w:tcPr>
            <w:tcW w:w="0" w:type="auto"/>
            <w:tcBorders>
              <w:top w:val="single" w:sz="4" w:space="0" w:color="auto"/>
              <w:left w:val="single" w:sz="4" w:space="0" w:color="auto"/>
              <w:bottom w:val="single" w:sz="4" w:space="0" w:color="auto"/>
              <w:right w:val="single" w:sz="4" w:space="0" w:color="auto"/>
            </w:tcBorders>
          </w:tcPr>
          <w:p w14:paraId="5A906CF6" w14:textId="77777777" w:rsidR="00264D62" w:rsidRPr="00207748" w:rsidRDefault="00264D62" w:rsidP="004454B6">
            <w:pPr>
              <w:rPr>
                <w:rFonts w:ascii="Cambria" w:hAnsi="Cambria" w:cs="Arial"/>
                <w:sz w:val="20"/>
                <w:szCs w:val="20"/>
              </w:rPr>
            </w:pPr>
          </w:p>
        </w:tc>
      </w:tr>
      <w:tr w:rsidR="00264D62" w:rsidRPr="00207748" w14:paraId="242C9FC7" w14:textId="77777777" w:rsidTr="00264D62">
        <w:tc>
          <w:tcPr>
            <w:tcW w:w="0" w:type="auto"/>
            <w:tcBorders>
              <w:top w:val="single" w:sz="4" w:space="0" w:color="auto"/>
              <w:left w:val="single" w:sz="4" w:space="0" w:color="auto"/>
              <w:bottom w:val="single" w:sz="4" w:space="0" w:color="auto"/>
              <w:right w:val="single" w:sz="4" w:space="0" w:color="auto"/>
            </w:tcBorders>
          </w:tcPr>
          <w:p w14:paraId="310F54A5" w14:textId="77777777" w:rsidR="00264D62" w:rsidRPr="00207748" w:rsidRDefault="00264D62" w:rsidP="004454B6">
            <w:pPr>
              <w:rPr>
                <w:rFonts w:ascii="Cambria" w:hAnsi="Cambria" w:cs="Arial"/>
                <w:sz w:val="20"/>
                <w:szCs w:val="20"/>
              </w:rPr>
            </w:pPr>
            <w:r w:rsidRPr="00207748">
              <w:rPr>
                <w:rFonts w:ascii="Cambria" w:hAnsi="Cambria" w:cs="Arial"/>
                <w:sz w:val="20"/>
                <w:szCs w:val="20"/>
              </w:rPr>
              <w:t>SSC</w:t>
            </w:r>
          </w:p>
        </w:tc>
        <w:tc>
          <w:tcPr>
            <w:tcW w:w="0" w:type="auto"/>
            <w:tcBorders>
              <w:top w:val="single" w:sz="4" w:space="0" w:color="auto"/>
              <w:left w:val="single" w:sz="4" w:space="0" w:color="auto"/>
              <w:bottom w:val="single" w:sz="4" w:space="0" w:color="auto"/>
              <w:right w:val="single" w:sz="4" w:space="0" w:color="auto"/>
            </w:tcBorders>
          </w:tcPr>
          <w:p w14:paraId="342F0D97" w14:textId="77777777" w:rsidR="00264D62" w:rsidRPr="00207748" w:rsidRDefault="00264D62" w:rsidP="004454B6">
            <w:pPr>
              <w:rPr>
                <w:rFonts w:ascii="Cambria" w:hAnsi="Cambria" w:cs="Arial"/>
                <w:sz w:val="20"/>
                <w:szCs w:val="20"/>
              </w:rPr>
            </w:pPr>
            <w:r w:rsidRPr="00207748">
              <w:rPr>
                <w:rFonts w:ascii="Cambria" w:hAnsi="Cambria" w:cs="Arial"/>
                <w:sz w:val="20"/>
                <w:szCs w:val="20"/>
              </w:rPr>
              <w:t>Surviving Sepsis Campaign</w:t>
            </w:r>
          </w:p>
        </w:tc>
        <w:tc>
          <w:tcPr>
            <w:tcW w:w="0" w:type="auto"/>
            <w:tcBorders>
              <w:top w:val="single" w:sz="4" w:space="0" w:color="auto"/>
              <w:left w:val="single" w:sz="4" w:space="0" w:color="auto"/>
              <w:bottom w:val="single" w:sz="4" w:space="0" w:color="auto"/>
              <w:right w:val="single" w:sz="4" w:space="0" w:color="auto"/>
            </w:tcBorders>
          </w:tcPr>
          <w:p w14:paraId="0C2936EB" w14:textId="77777777" w:rsidR="00264D62" w:rsidRPr="00207748" w:rsidRDefault="00264D62" w:rsidP="004454B6">
            <w:pPr>
              <w:rPr>
                <w:rFonts w:ascii="Cambria" w:hAnsi="Cambria" w:cs="Arial"/>
                <w:sz w:val="20"/>
                <w:szCs w:val="20"/>
              </w:rPr>
            </w:pPr>
          </w:p>
        </w:tc>
      </w:tr>
      <w:tr w:rsidR="00A70A21" w:rsidRPr="00207748" w14:paraId="67154A88" w14:textId="77777777" w:rsidTr="00264D62">
        <w:tc>
          <w:tcPr>
            <w:tcW w:w="0" w:type="auto"/>
            <w:tcBorders>
              <w:top w:val="single" w:sz="4" w:space="0" w:color="auto"/>
              <w:left w:val="single" w:sz="4" w:space="0" w:color="auto"/>
              <w:bottom w:val="single" w:sz="4" w:space="0" w:color="auto"/>
              <w:right w:val="single" w:sz="4" w:space="0" w:color="auto"/>
            </w:tcBorders>
          </w:tcPr>
          <w:p w14:paraId="51A52283" w14:textId="36D9318D" w:rsidR="00A70A21" w:rsidRPr="00207748" w:rsidRDefault="00A70A21" w:rsidP="004454B6">
            <w:pPr>
              <w:rPr>
                <w:rFonts w:ascii="Cambria" w:hAnsi="Cambria" w:cs="Arial"/>
                <w:sz w:val="20"/>
                <w:szCs w:val="20"/>
              </w:rPr>
            </w:pPr>
            <w:r>
              <w:rPr>
                <w:rFonts w:ascii="Cambria" w:hAnsi="Cambria" w:cs="Arial"/>
                <w:sz w:val="20"/>
                <w:szCs w:val="20"/>
              </w:rPr>
              <w:t>TEE</w:t>
            </w:r>
          </w:p>
        </w:tc>
        <w:tc>
          <w:tcPr>
            <w:tcW w:w="0" w:type="auto"/>
            <w:tcBorders>
              <w:top w:val="single" w:sz="4" w:space="0" w:color="auto"/>
              <w:left w:val="single" w:sz="4" w:space="0" w:color="auto"/>
              <w:bottom w:val="single" w:sz="4" w:space="0" w:color="auto"/>
              <w:right w:val="single" w:sz="4" w:space="0" w:color="auto"/>
            </w:tcBorders>
          </w:tcPr>
          <w:p w14:paraId="4729EB28" w14:textId="19A5D4A8" w:rsidR="00A70A21" w:rsidRPr="00207748" w:rsidRDefault="00A70A21" w:rsidP="00A70A21">
            <w:pPr>
              <w:rPr>
                <w:rFonts w:ascii="Cambria" w:hAnsi="Cambria" w:cs="Arial"/>
                <w:sz w:val="20"/>
                <w:szCs w:val="20"/>
              </w:rPr>
            </w:pPr>
            <w:r>
              <w:rPr>
                <w:rFonts w:ascii="Cambria" w:hAnsi="Cambria" w:cs="Arial"/>
                <w:sz w:val="20"/>
                <w:szCs w:val="20"/>
              </w:rPr>
              <w:t>T</w:t>
            </w:r>
            <w:r w:rsidRPr="00A70A21">
              <w:rPr>
                <w:rFonts w:ascii="Cambria" w:hAnsi="Cambria" w:cs="Arial"/>
                <w:sz w:val="20"/>
                <w:szCs w:val="20"/>
              </w:rPr>
              <w:t>ransesophageal echocardiography</w:t>
            </w:r>
          </w:p>
        </w:tc>
        <w:tc>
          <w:tcPr>
            <w:tcW w:w="0" w:type="auto"/>
            <w:tcBorders>
              <w:top w:val="single" w:sz="4" w:space="0" w:color="auto"/>
              <w:left w:val="single" w:sz="4" w:space="0" w:color="auto"/>
              <w:bottom w:val="single" w:sz="4" w:space="0" w:color="auto"/>
              <w:right w:val="single" w:sz="4" w:space="0" w:color="auto"/>
            </w:tcBorders>
          </w:tcPr>
          <w:p w14:paraId="2E2F4921" w14:textId="673B5B0B" w:rsidR="00A70A21" w:rsidRPr="00207748" w:rsidRDefault="00A70A21" w:rsidP="004454B6">
            <w:pPr>
              <w:rPr>
                <w:rFonts w:ascii="Cambria" w:hAnsi="Cambria" w:cs="Arial"/>
                <w:sz w:val="20"/>
                <w:szCs w:val="20"/>
              </w:rPr>
            </w:pPr>
            <w:r w:rsidRPr="00A70A21">
              <w:rPr>
                <w:rFonts w:ascii="Cambria" w:hAnsi="Cambria" w:cs="Arial"/>
                <w:sz w:val="20"/>
                <w:szCs w:val="20"/>
              </w:rPr>
              <w:t>Transösophageale Echokardiographie</w:t>
            </w:r>
          </w:p>
        </w:tc>
      </w:tr>
      <w:tr w:rsidR="00A70A21" w:rsidRPr="00207748" w14:paraId="4BA8A3CA" w14:textId="77777777" w:rsidTr="00264D62">
        <w:tc>
          <w:tcPr>
            <w:tcW w:w="0" w:type="auto"/>
            <w:tcBorders>
              <w:top w:val="single" w:sz="4" w:space="0" w:color="auto"/>
              <w:left w:val="single" w:sz="4" w:space="0" w:color="auto"/>
              <w:bottom w:val="single" w:sz="4" w:space="0" w:color="auto"/>
              <w:right w:val="single" w:sz="4" w:space="0" w:color="auto"/>
            </w:tcBorders>
          </w:tcPr>
          <w:p w14:paraId="7F2B427B" w14:textId="63DC689A" w:rsidR="00A70A21" w:rsidRPr="00207748" w:rsidRDefault="00A70A21" w:rsidP="004454B6">
            <w:pPr>
              <w:rPr>
                <w:rFonts w:ascii="Cambria" w:hAnsi="Cambria" w:cs="Arial"/>
                <w:sz w:val="20"/>
                <w:szCs w:val="20"/>
              </w:rPr>
            </w:pPr>
            <w:r>
              <w:rPr>
                <w:rFonts w:ascii="Cambria" w:hAnsi="Cambria" w:cs="Arial"/>
                <w:sz w:val="20"/>
                <w:szCs w:val="20"/>
              </w:rPr>
              <w:t>TTE</w:t>
            </w:r>
          </w:p>
        </w:tc>
        <w:tc>
          <w:tcPr>
            <w:tcW w:w="0" w:type="auto"/>
            <w:tcBorders>
              <w:top w:val="single" w:sz="4" w:space="0" w:color="auto"/>
              <w:left w:val="single" w:sz="4" w:space="0" w:color="auto"/>
              <w:bottom w:val="single" w:sz="4" w:space="0" w:color="auto"/>
              <w:right w:val="single" w:sz="4" w:space="0" w:color="auto"/>
            </w:tcBorders>
          </w:tcPr>
          <w:p w14:paraId="39A26A63" w14:textId="26453826" w:rsidR="00A70A21" w:rsidRPr="00207748" w:rsidRDefault="00A70A21" w:rsidP="00A70A21">
            <w:pPr>
              <w:rPr>
                <w:rFonts w:ascii="Cambria" w:hAnsi="Cambria" w:cs="Arial"/>
                <w:sz w:val="20"/>
                <w:szCs w:val="20"/>
              </w:rPr>
            </w:pPr>
            <w:r w:rsidRPr="00A70A21">
              <w:rPr>
                <w:rFonts w:ascii="Cambria" w:hAnsi="Cambria" w:cs="Arial"/>
                <w:sz w:val="20"/>
                <w:szCs w:val="20"/>
              </w:rPr>
              <w:t>Trans</w:t>
            </w:r>
            <w:r>
              <w:rPr>
                <w:rFonts w:ascii="Cambria" w:hAnsi="Cambria" w:cs="Arial"/>
                <w:sz w:val="20"/>
                <w:szCs w:val="20"/>
              </w:rPr>
              <w:t>thoracal</w:t>
            </w:r>
            <w:r w:rsidRPr="00A70A21">
              <w:rPr>
                <w:rFonts w:ascii="Cambria" w:hAnsi="Cambria" w:cs="Arial"/>
                <w:sz w:val="20"/>
                <w:szCs w:val="20"/>
              </w:rPr>
              <w:t xml:space="preserve"> echocardiography</w:t>
            </w:r>
          </w:p>
        </w:tc>
        <w:tc>
          <w:tcPr>
            <w:tcW w:w="0" w:type="auto"/>
            <w:tcBorders>
              <w:top w:val="single" w:sz="4" w:space="0" w:color="auto"/>
              <w:left w:val="single" w:sz="4" w:space="0" w:color="auto"/>
              <w:bottom w:val="single" w:sz="4" w:space="0" w:color="auto"/>
              <w:right w:val="single" w:sz="4" w:space="0" w:color="auto"/>
            </w:tcBorders>
          </w:tcPr>
          <w:p w14:paraId="26D81BA1" w14:textId="35951240" w:rsidR="00A70A21" w:rsidRPr="00207748" w:rsidRDefault="00A70A21" w:rsidP="00A70A21">
            <w:pPr>
              <w:rPr>
                <w:rFonts w:ascii="Cambria" w:hAnsi="Cambria" w:cs="Arial"/>
                <w:sz w:val="20"/>
                <w:szCs w:val="20"/>
              </w:rPr>
            </w:pPr>
            <w:r w:rsidRPr="00A70A21">
              <w:rPr>
                <w:rFonts w:ascii="Cambria" w:hAnsi="Cambria" w:cs="Arial"/>
                <w:sz w:val="20"/>
                <w:szCs w:val="20"/>
              </w:rPr>
              <w:t>Trans</w:t>
            </w:r>
            <w:r>
              <w:rPr>
                <w:rFonts w:ascii="Cambria" w:hAnsi="Cambria" w:cs="Arial"/>
                <w:sz w:val="20"/>
                <w:szCs w:val="20"/>
              </w:rPr>
              <w:t>thorakale</w:t>
            </w:r>
            <w:r w:rsidRPr="00A70A21">
              <w:rPr>
                <w:rFonts w:ascii="Cambria" w:hAnsi="Cambria" w:cs="Arial"/>
                <w:sz w:val="20"/>
                <w:szCs w:val="20"/>
              </w:rPr>
              <w:t xml:space="preserve"> Echokardiographie</w:t>
            </w:r>
          </w:p>
        </w:tc>
      </w:tr>
      <w:tr w:rsidR="00264D62" w:rsidRPr="00207748" w14:paraId="5FA0C5C5" w14:textId="77777777" w:rsidTr="00264D62">
        <w:tc>
          <w:tcPr>
            <w:tcW w:w="0" w:type="auto"/>
            <w:tcBorders>
              <w:top w:val="single" w:sz="4" w:space="0" w:color="auto"/>
              <w:left w:val="single" w:sz="4" w:space="0" w:color="auto"/>
              <w:bottom w:val="single" w:sz="4" w:space="0" w:color="auto"/>
              <w:right w:val="single" w:sz="4" w:space="0" w:color="auto"/>
            </w:tcBorders>
          </w:tcPr>
          <w:p w14:paraId="5EFA56EE" w14:textId="77777777" w:rsidR="00264D62" w:rsidRPr="00207748" w:rsidRDefault="00264D62" w:rsidP="004454B6">
            <w:pPr>
              <w:rPr>
                <w:rFonts w:ascii="Cambria" w:hAnsi="Cambria" w:cs="Arial"/>
                <w:sz w:val="20"/>
                <w:szCs w:val="20"/>
              </w:rPr>
            </w:pPr>
            <w:r w:rsidRPr="00207748">
              <w:rPr>
                <w:rFonts w:ascii="Cambria" w:hAnsi="Cambria" w:cs="Arial"/>
                <w:sz w:val="20"/>
                <w:szCs w:val="20"/>
              </w:rPr>
              <w:t>TVT</w:t>
            </w:r>
          </w:p>
        </w:tc>
        <w:tc>
          <w:tcPr>
            <w:tcW w:w="0" w:type="auto"/>
            <w:tcBorders>
              <w:top w:val="single" w:sz="4" w:space="0" w:color="auto"/>
              <w:left w:val="single" w:sz="4" w:space="0" w:color="auto"/>
              <w:bottom w:val="single" w:sz="4" w:space="0" w:color="auto"/>
              <w:right w:val="single" w:sz="4" w:space="0" w:color="auto"/>
            </w:tcBorders>
          </w:tcPr>
          <w:p w14:paraId="44E5C6CC" w14:textId="77777777" w:rsidR="00264D62" w:rsidRPr="00207748" w:rsidRDefault="00264D62" w:rsidP="004454B6">
            <w:pPr>
              <w:rPr>
                <w:rFonts w:ascii="Cambria" w:hAnsi="Cambria"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3E084DE3" w14:textId="77777777" w:rsidR="00264D62" w:rsidRPr="00207748" w:rsidRDefault="00264D62" w:rsidP="004454B6">
            <w:pPr>
              <w:rPr>
                <w:rFonts w:ascii="Cambria" w:hAnsi="Cambria" w:cs="Arial"/>
                <w:sz w:val="20"/>
                <w:szCs w:val="20"/>
              </w:rPr>
            </w:pPr>
            <w:r w:rsidRPr="00207748">
              <w:rPr>
                <w:rFonts w:ascii="Cambria" w:hAnsi="Cambria" w:cs="Arial"/>
                <w:sz w:val="20"/>
                <w:szCs w:val="20"/>
              </w:rPr>
              <w:t>Tiefe Venenthrombose</w:t>
            </w:r>
          </w:p>
        </w:tc>
      </w:tr>
      <w:tr w:rsidR="00264D62" w:rsidRPr="00207748" w14:paraId="3AFF9B08" w14:textId="77777777" w:rsidTr="00264D62">
        <w:tc>
          <w:tcPr>
            <w:tcW w:w="0" w:type="auto"/>
            <w:tcBorders>
              <w:top w:val="single" w:sz="4" w:space="0" w:color="auto"/>
              <w:left w:val="single" w:sz="4" w:space="0" w:color="auto"/>
              <w:bottom w:val="single" w:sz="4" w:space="0" w:color="auto"/>
              <w:right w:val="single" w:sz="4" w:space="0" w:color="auto"/>
            </w:tcBorders>
          </w:tcPr>
          <w:p w14:paraId="35CFFB45" w14:textId="77777777" w:rsidR="00264D62" w:rsidRPr="00207748" w:rsidRDefault="00264D62" w:rsidP="004454B6">
            <w:pPr>
              <w:rPr>
                <w:rFonts w:ascii="Cambria" w:hAnsi="Cambria" w:cs="Arial"/>
                <w:sz w:val="20"/>
                <w:szCs w:val="20"/>
              </w:rPr>
            </w:pPr>
            <w:r w:rsidRPr="00207748">
              <w:rPr>
                <w:rFonts w:ascii="Cambria" w:hAnsi="Cambria" w:cs="Arial"/>
                <w:sz w:val="20"/>
                <w:szCs w:val="20"/>
              </w:rPr>
              <w:t>UFH</w:t>
            </w:r>
          </w:p>
        </w:tc>
        <w:tc>
          <w:tcPr>
            <w:tcW w:w="0" w:type="auto"/>
            <w:tcBorders>
              <w:top w:val="single" w:sz="4" w:space="0" w:color="auto"/>
              <w:left w:val="single" w:sz="4" w:space="0" w:color="auto"/>
              <w:bottom w:val="single" w:sz="4" w:space="0" w:color="auto"/>
              <w:right w:val="single" w:sz="4" w:space="0" w:color="auto"/>
            </w:tcBorders>
          </w:tcPr>
          <w:p w14:paraId="06E764B4" w14:textId="77777777" w:rsidR="00264D62" w:rsidRPr="00207748" w:rsidRDefault="00264D62" w:rsidP="004454B6">
            <w:pPr>
              <w:rPr>
                <w:rFonts w:ascii="Cambria" w:hAnsi="Cambria"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760F10AC" w14:textId="77777777" w:rsidR="00264D62" w:rsidRPr="00207748" w:rsidRDefault="00264D62" w:rsidP="004454B6">
            <w:pPr>
              <w:rPr>
                <w:rFonts w:ascii="Cambria" w:hAnsi="Cambria" w:cs="Arial"/>
                <w:sz w:val="20"/>
                <w:szCs w:val="20"/>
              </w:rPr>
            </w:pPr>
            <w:r w:rsidRPr="00207748">
              <w:rPr>
                <w:rFonts w:ascii="Cambria" w:hAnsi="Cambria" w:cs="Arial"/>
                <w:sz w:val="20"/>
                <w:szCs w:val="20"/>
              </w:rPr>
              <w:t>Unfraktioniertes Heparin</w:t>
            </w:r>
          </w:p>
        </w:tc>
      </w:tr>
      <w:tr w:rsidR="00BE73B8" w:rsidRPr="00207748" w14:paraId="546C6A2C" w14:textId="77777777" w:rsidTr="00264D62">
        <w:tc>
          <w:tcPr>
            <w:tcW w:w="0" w:type="auto"/>
            <w:tcBorders>
              <w:top w:val="single" w:sz="4" w:space="0" w:color="auto"/>
              <w:left w:val="single" w:sz="4" w:space="0" w:color="auto"/>
              <w:bottom w:val="single" w:sz="4" w:space="0" w:color="auto"/>
              <w:right w:val="single" w:sz="4" w:space="0" w:color="auto"/>
            </w:tcBorders>
          </w:tcPr>
          <w:p w14:paraId="415F128E" w14:textId="5E31E9A2" w:rsidR="00BE73B8" w:rsidRPr="00207748" w:rsidRDefault="00BE73B8" w:rsidP="004454B6">
            <w:pPr>
              <w:rPr>
                <w:rFonts w:ascii="Cambria" w:hAnsi="Cambria" w:cs="Arial"/>
                <w:sz w:val="20"/>
                <w:szCs w:val="20"/>
              </w:rPr>
            </w:pPr>
            <w:r>
              <w:rPr>
                <w:rFonts w:ascii="Cambria" w:hAnsi="Cambria" w:cs="Arial"/>
                <w:sz w:val="20"/>
                <w:szCs w:val="20"/>
              </w:rPr>
              <w:t>Vt</w:t>
            </w:r>
          </w:p>
        </w:tc>
        <w:tc>
          <w:tcPr>
            <w:tcW w:w="0" w:type="auto"/>
            <w:tcBorders>
              <w:top w:val="single" w:sz="4" w:space="0" w:color="auto"/>
              <w:left w:val="single" w:sz="4" w:space="0" w:color="auto"/>
              <w:bottom w:val="single" w:sz="4" w:space="0" w:color="auto"/>
              <w:right w:val="single" w:sz="4" w:space="0" w:color="auto"/>
            </w:tcBorders>
          </w:tcPr>
          <w:p w14:paraId="7757AA4C" w14:textId="3BDCC8EA" w:rsidR="00BE73B8" w:rsidRPr="00207748" w:rsidRDefault="00BE73B8" w:rsidP="004454B6">
            <w:pPr>
              <w:rPr>
                <w:rFonts w:ascii="Cambria" w:hAnsi="Cambria" w:cs="Arial"/>
                <w:sz w:val="20"/>
                <w:szCs w:val="20"/>
              </w:rPr>
            </w:pPr>
            <w:r>
              <w:rPr>
                <w:rFonts w:ascii="Cambria" w:hAnsi="Cambria" w:cs="Arial"/>
                <w:sz w:val="20"/>
                <w:szCs w:val="20"/>
              </w:rPr>
              <w:t>Tidal Volume</w:t>
            </w:r>
          </w:p>
        </w:tc>
        <w:tc>
          <w:tcPr>
            <w:tcW w:w="0" w:type="auto"/>
            <w:tcBorders>
              <w:top w:val="single" w:sz="4" w:space="0" w:color="auto"/>
              <w:left w:val="single" w:sz="4" w:space="0" w:color="auto"/>
              <w:bottom w:val="single" w:sz="4" w:space="0" w:color="auto"/>
              <w:right w:val="single" w:sz="4" w:space="0" w:color="auto"/>
            </w:tcBorders>
          </w:tcPr>
          <w:p w14:paraId="792D2835" w14:textId="2014836A" w:rsidR="00BE73B8" w:rsidRPr="00207748" w:rsidRDefault="00BE73B8" w:rsidP="004454B6">
            <w:pPr>
              <w:rPr>
                <w:rFonts w:ascii="Cambria" w:hAnsi="Cambria" w:cs="Arial"/>
                <w:sz w:val="20"/>
                <w:szCs w:val="20"/>
              </w:rPr>
            </w:pPr>
            <w:r>
              <w:rPr>
                <w:rFonts w:ascii="Cambria" w:hAnsi="Cambria" w:cs="Arial"/>
                <w:sz w:val="20"/>
                <w:szCs w:val="20"/>
              </w:rPr>
              <w:t>Tidalvolumen</w:t>
            </w:r>
          </w:p>
        </w:tc>
      </w:tr>
      <w:tr w:rsidR="00A70A21" w:rsidRPr="00207748" w14:paraId="7CED3340" w14:textId="77777777" w:rsidTr="00264D62">
        <w:tc>
          <w:tcPr>
            <w:tcW w:w="0" w:type="auto"/>
            <w:tcBorders>
              <w:top w:val="single" w:sz="4" w:space="0" w:color="auto"/>
              <w:left w:val="single" w:sz="4" w:space="0" w:color="auto"/>
              <w:bottom w:val="single" w:sz="4" w:space="0" w:color="auto"/>
              <w:right w:val="single" w:sz="4" w:space="0" w:color="auto"/>
            </w:tcBorders>
          </w:tcPr>
          <w:p w14:paraId="18BD20AD" w14:textId="32D409EC" w:rsidR="00A70A21" w:rsidRPr="00207748" w:rsidRDefault="00A70A21" w:rsidP="004454B6">
            <w:pPr>
              <w:rPr>
                <w:rFonts w:ascii="Cambria" w:hAnsi="Cambria" w:cs="Arial"/>
                <w:sz w:val="20"/>
                <w:szCs w:val="20"/>
              </w:rPr>
            </w:pPr>
            <w:r>
              <w:rPr>
                <w:rFonts w:ascii="Cambria" w:hAnsi="Cambria" w:cs="Arial"/>
                <w:sz w:val="20"/>
                <w:szCs w:val="20"/>
              </w:rPr>
              <w:t>VTE</w:t>
            </w:r>
          </w:p>
        </w:tc>
        <w:tc>
          <w:tcPr>
            <w:tcW w:w="0" w:type="auto"/>
            <w:tcBorders>
              <w:top w:val="single" w:sz="4" w:space="0" w:color="auto"/>
              <w:left w:val="single" w:sz="4" w:space="0" w:color="auto"/>
              <w:bottom w:val="single" w:sz="4" w:space="0" w:color="auto"/>
              <w:right w:val="single" w:sz="4" w:space="0" w:color="auto"/>
            </w:tcBorders>
          </w:tcPr>
          <w:p w14:paraId="2A9B4DE3" w14:textId="26323C41" w:rsidR="00A70A21" w:rsidRPr="00207748" w:rsidRDefault="00A70A21" w:rsidP="00A70A21">
            <w:pPr>
              <w:rPr>
                <w:rFonts w:ascii="Cambria" w:hAnsi="Cambria" w:cs="Arial"/>
                <w:sz w:val="20"/>
                <w:szCs w:val="20"/>
              </w:rPr>
            </w:pPr>
            <w:r>
              <w:rPr>
                <w:rFonts w:ascii="Cambria" w:hAnsi="Cambria" w:cs="Arial"/>
                <w:sz w:val="20"/>
                <w:szCs w:val="20"/>
              </w:rPr>
              <w:t>Venous T</w:t>
            </w:r>
            <w:r w:rsidRPr="00A70A21">
              <w:rPr>
                <w:rFonts w:ascii="Cambria" w:hAnsi="Cambria" w:cs="Arial"/>
                <w:sz w:val="20"/>
                <w:szCs w:val="20"/>
              </w:rPr>
              <w:t>hromboembolism</w:t>
            </w:r>
          </w:p>
        </w:tc>
        <w:tc>
          <w:tcPr>
            <w:tcW w:w="0" w:type="auto"/>
            <w:tcBorders>
              <w:top w:val="single" w:sz="4" w:space="0" w:color="auto"/>
              <w:left w:val="single" w:sz="4" w:space="0" w:color="auto"/>
              <w:bottom w:val="single" w:sz="4" w:space="0" w:color="auto"/>
              <w:right w:val="single" w:sz="4" w:space="0" w:color="auto"/>
            </w:tcBorders>
          </w:tcPr>
          <w:p w14:paraId="2307CA6B" w14:textId="703E4EB2" w:rsidR="00A70A21" w:rsidRPr="00207748" w:rsidRDefault="00A70A21" w:rsidP="004454B6">
            <w:pPr>
              <w:rPr>
                <w:rFonts w:ascii="Cambria" w:hAnsi="Cambria" w:cs="Arial"/>
                <w:sz w:val="20"/>
                <w:szCs w:val="20"/>
              </w:rPr>
            </w:pPr>
            <w:r>
              <w:rPr>
                <w:rFonts w:ascii="Cambria" w:hAnsi="Cambria" w:cs="Arial"/>
                <w:sz w:val="20"/>
                <w:szCs w:val="20"/>
              </w:rPr>
              <w:t>Venöse Thromboembolie</w:t>
            </w:r>
          </w:p>
        </w:tc>
      </w:tr>
      <w:tr w:rsidR="00264D62" w:rsidRPr="00207748" w14:paraId="525C3FFD" w14:textId="77777777" w:rsidTr="00264D62">
        <w:tc>
          <w:tcPr>
            <w:tcW w:w="0" w:type="auto"/>
            <w:tcBorders>
              <w:top w:val="single" w:sz="4" w:space="0" w:color="auto"/>
              <w:left w:val="single" w:sz="4" w:space="0" w:color="auto"/>
              <w:bottom w:val="single" w:sz="4" w:space="0" w:color="auto"/>
              <w:right w:val="single" w:sz="4" w:space="0" w:color="auto"/>
            </w:tcBorders>
          </w:tcPr>
          <w:p w14:paraId="7AEB682E" w14:textId="77777777" w:rsidR="00264D62" w:rsidRPr="00207748" w:rsidRDefault="00264D62" w:rsidP="004454B6">
            <w:pPr>
              <w:rPr>
                <w:rFonts w:ascii="Cambria" w:hAnsi="Cambria" w:cs="Arial"/>
                <w:sz w:val="20"/>
                <w:szCs w:val="20"/>
              </w:rPr>
            </w:pPr>
            <w:r w:rsidRPr="00207748">
              <w:rPr>
                <w:rFonts w:ascii="Cambria" w:hAnsi="Cambria" w:cs="Arial"/>
                <w:sz w:val="20"/>
                <w:szCs w:val="20"/>
              </w:rPr>
              <w:t>WHO</w:t>
            </w:r>
          </w:p>
        </w:tc>
        <w:tc>
          <w:tcPr>
            <w:tcW w:w="0" w:type="auto"/>
            <w:tcBorders>
              <w:top w:val="single" w:sz="4" w:space="0" w:color="auto"/>
              <w:left w:val="single" w:sz="4" w:space="0" w:color="auto"/>
              <w:bottom w:val="single" w:sz="4" w:space="0" w:color="auto"/>
              <w:right w:val="single" w:sz="4" w:space="0" w:color="auto"/>
            </w:tcBorders>
          </w:tcPr>
          <w:p w14:paraId="3408AA97" w14:textId="77777777" w:rsidR="00264D62" w:rsidRPr="00207748" w:rsidRDefault="00264D62" w:rsidP="004454B6">
            <w:pPr>
              <w:rPr>
                <w:rFonts w:ascii="Cambria" w:hAnsi="Cambria" w:cs="Arial"/>
                <w:sz w:val="20"/>
                <w:szCs w:val="20"/>
              </w:rPr>
            </w:pPr>
            <w:r w:rsidRPr="00207748">
              <w:rPr>
                <w:rFonts w:ascii="Cambria" w:hAnsi="Cambria" w:cs="Arial"/>
                <w:sz w:val="20"/>
                <w:szCs w:val="20"/>
              </w:rPr>
              <w:t>World Health Organisation</w:t>
            </w:r>
          </w:p>
        </w:tc>
        <w:tc>
          <w:tcPr>
            <w:tcW w:w="0" w:type="auto"/>
            <w:tcBorders>
              <w:top w:val="single" w:sz="4" w:space="0" w:color="auto"/>
              <w:left w:val="single" w:sz="4" w:space="0" w:color="auto"/>
              <w:bottom w:val="single" w:sz="4" w:space="0" w:color="auto"/>
              <w:right w:val="single" w:sz="4" w:space="0" w:color="auto"/>
            </w:tcBorders>
          </w:tcPr>
          <w:p w14:paraId="4B8542B0" w14:textId="77777777" w:rsidR="00264D62" w:rsidRPr="00207748" w:rsidRDefault="00264D62" w:rsidP="004454B6">
            <w:pPr>
              <w:rPr>
                <w:rFonts w:ascii="Cambria" w:hAnsi="Cambria" w:cs="Arial"/>
                <w:sz w:val="20"/>
                <w:szCs w:val="20"/>
              </w:rPr>
            </w:pPr>
            <w:r w:rsidRPr="00207748">
              <w:rPr>
                <w:rFonts w:ascii="Cambria" w:hAnsi="Cambria" w:cs="Arial"/>
                <w:sz w:val="20"/>
                <w:szCs w:val="20"/>
              </w:rPr>
              <w:t>Weltgesundheitsorganisation</w:t>
            </w:r>
          </w:p>
        </w:tc>
      </w:tr>
    </w:tbl>
    <w:p w14:paraId="380FB5E3" w14:textId="77777777" w:rsidR="00883D7A" w:rsidRPr="00207748" w:rsidRDefault="00883D7A" w:rsidP="004454B6">
      <w:pPr>
        <w:spacing w:after="0"/>
        <w:rPr>
          <w:rFonts w:ascii="Cambria" w:hAnsi="Cambria" w:cs="Arial"/>
          <w:sz w:val="20"/>
          <w:szCs w:val="20"/>
        </w:rPr>
        <w:sectPr w:rsidR="00883D7A" w:rsidRPr="00207748" w:rsidSect="00C6460F">
          <w:endnotePr>
            <w:numFmt w:val="decimal"/>
          </w:endnotePr>
          <w:type w:val="continuous"/>
          <w:pgSz w:w="11900" w:h="16840"/>
          <w:pgMar w:top="1417" w:right="1417" w:bottom="1134" w:left="1417" w:header="708" w:footer="708" w:gutter="0"/>
          <w:cols w:space="720"/>
        </w:sectPr>
      </w:pPr>
      <w:bookmarkStart w:id="15" w:name="_Toc25416264"/>
      <w:bookmarkStart w:id="16" w:name="_Toc25416375"/>
      <w:bookmarkStart w:id="17" w:name="_Toc25416492"/>
      <w:bookmarkStart w:id="18" w:name="_Toc25416603"/>
      <w:bookmarkStart w:id="19" w:name="_Toc25844942"/>
      <w:bookmarkStart w:id="20" w:name="_Toc25845045"/>
      <w:bookmarkStart w:id="21" w:name="_Toc25846927"/>
      <w:bookmarkStart w:id="22" w:name="_Toc25416265"/>
      <w:bookmarkStart w:id="23" w:name="_Toc25416376"/>
      <w:bookmarkStart w:id="24" w:name="_Toc25416493"/>
      <w:bookmarkStart w:id="25" w:name="_Toc25416604"/>
      <w:bookmarkStart w:id="26" w:name="_Toc25844943"/>
      <w:bookmarkStart w:id="27" w:name="_Toc25845046"/>
      <w:bookmarkStart w:id="28" w:name="_Toc25846928"/>
      <w:bookmarkStart w:id="29" w:name="_Toc25416266"/>
      <w:bookmarkStart w:id="30" w:name="_Toc25416377"/>
      <w:bookmarkStart w:id="31" w:name="_Toc25416494"/>
      <w:bookmarkStart w:id="32" w:name="_Toc25416605"/>
      <w:bookmarkStart w:id="33" w:name="_Toc25844944"/>
      <w:bookmarkStart w:id="34" w:name="_Toc25845047"/>
      <w:bookmarkStart w:id="35" w:name="_Toc25846929"/>
      <w:bookmarkStart w:id="36" w:name="_Toc25416267"/>
      <w:bookmarkStart w:id="37" w:name="_Toc25416378"/>
      <w:bookmarkStart w:id="38" w:name="_Toc25416495"/>
      <w:bookmarkStart w:id="39" w:name="_Toc25416606"/>
      <w:bookmarkStart w:id="40" w:name="_Toc25844945"/>
      <w:bookmarkStart w:id="41" w:name="_Toc25845048"/>
      <w:bookmarkStart w:id="42" w:name="_Toc25846930"/>
      <w:bookmarkStart w:id="43" w:name="_Toc25416268"/>
      <w:bookmarkStart w:id="44" w:name="_Toc25416379"/>
      <w:bookmarkStart w:id="45" w:name="_Toc25416496"/>
      <w:bookmarkStart w:id="46" w:name="_Toc25416607"/>
      <w:bookmarkStart w:id="47" w:name="_Toc25844946"/>
      <w:bookmarkStart w:id="48" w:name="_Toc25845049"/>
      <w:bookmarkStart w:id="49" w:name="_Toc25846931"/>
      <w:bookmarkStart w:id="50" w:name="_Toc25416269"/>
      <w:bookmarkStart w:id="51" w:name="_Toc25416380"/>
      <w:bookmarkStart w:id="52" w:name="_Toc25416497"/>
      <w:bookmarkStart w:id="53" w:name="_Toc25416608"/>
      <w:bookmarkStart w:id="54" w:name="_Toc25844947"/>
      <w:bookmarkStart w:id="55" w:name="_Toc25845050"/>
      <w:bookmarkStart w:id="56" w:name="_Toc25846932"/>
      <w:bookmarkStart w:id="57" w:name="_Toc25416270"/>
      <w:bookmarkStart w:id="58" w:name="_Toc25416381"/>
      <w:bookmarkStart w:id="59" w:name="_Toc25416498"/>
      <w:bookmarkStart w:id="60" w:name="_Toc25416609"/>
      <w:bookmarkStart w:id="61" w:name="_Toc25844948"/>
      <w:bookmarkStart w:id="62" w:name="_Toc25845051"/>
      <w:bookmarkStart w:id="63" w:name="_Toc25846933"/>
      <w:bookmarkStart w:id="64" w:name="_Toc25416271"/>
      <w:bookmarkStart w:id="65" w:name="_Toc25416382"/>
      <w:bookmarkStart w:id="66" w:name="_Toc25416499"/>
      <w:bookmarkStart w:id="67" w:name="_Toc25416610"/>
      <w:bookmarkStart w:id="68" w:name="_Toc25844949"/>
      <w:bookmarkStart w:id="69" w:name="_Toc25845052"/>
      <w:bookmarkStart w:id="70" w:name="_Toc25846934"/>
      <w:bookmarkStart w:id="71" w:name="_Toc25416272"/>
      <w:bookmarkStart w:id="72" w:name="_Toc25416383"/>
      <w:bookmarkStart w:id="73" w:name="_Toc25416500"/>
      <w:bookmarkStart w:id="74" w:name="_Toc25416611"/>
      <w:bookmarkStart w:id="75" w:name="_Toc25844950"/>
      <w:bookmarkStart w:id="76" w:name="_Toc25845053"/>
      <w:bookmarkStart w:id="77" w:name="_Toc25846935"/>
      <w:bookmarkStart w:id="78" w:name="_Toc25416273"/>
      <w:bookmarkStart w:id="79" w:name="_Toc25416384"/>
      <w:bookmarkStart w:id="80" w:name="_Toc25416501"/>
      <w:bookmarkStart w:id="81" w:name="_Toc25416612"/>
      <w:bookmarkStart w:id="82" w:name="_Toc25844951"/>
      <w:bookmarkStart w:id="83" w:name="_Toc25845054"/>
      <w:bookmarkStart w:id="84" w:name="_Toc25846936"/>
      <w:bookmarkStart w:id="85" w:name="_Toc25416274"/>
      <w:bookmarkStart w:id="86" w:name="_Toc25416385"/>
      <w:bookmarkStart w:id="87" w:name="_Toc25416502"/>
      <w:bookmarkStart w:id="88" w:name="_Toc25416613"/>
      <w:bookmarkStart w:id="89" w:name="_Toc25844952"/>
      <w:bookmarkStart w:id="90" w:name="_Toc25845055"/>
      <w:bookmarkStart w:id="91" w:name="_Toc25846937"/>
      <w:bookmarkStart w:id="92" w:name="_Toc25416275"/>
      <w:bookmarkStart w:id="93" w:name="_Toc25416386"/>
      <w:bookmarkStart w:id="94" w:name="_Toc25416503"/>
      <w:bookmarkStart w:id="95" w:name="_Toc25416614"/>
      <w:bookmarkStart w:id="96" w:name="_Toc25844953"/>
      <w:bookmarkStart w:id="97" w:name="_Toc25845056"/>
      <w:bookmarkStart w:id="98" w:name="_Toc25846938"/>
      <w:bookmarkStart w:id="99" w:name="_Toc25416276"/>
      <w:bookmarkStart w:id="100" w:name="_Toc25416387"/>
      <w:bookmarkStart w:id="101" w:name="_Toc25416504"/>
      <w:bookmarkStart w:id="102" w:name="_Toc25416615"/>
      <w:bookmarkStart w:id="103" w:name="_Toc25844954"/>
      <w:bookmarkStart w:id="104" w:name="_Toc25845057"/>
      <w:bookmarkStart w:id="105" w:name="_Toc25846939"/>
      <w:bookmarkStart w:id="106" w:name="_Toc25416277"/>
      <w:bookmarkStart w:id="107" w:name="_Toc25416388"/>
      <w:bookmarkStart w:id="108" w:name="_Toc25416505"/>
      <w:bookmarkStart w:id="109" w:name="_Toc25416616"/>
      <w:bookmarkStart w:id="110" w:name="_Toc25844955"/>
      <w:bookmarkStart w:id="111" w:name="_Toc25845058"/>
      <w:bookmarkStart w:id="112" w:name="_Toc25846940"/>
      <w:bookmarkStart w:id="113" w:name="_Toc25416278"/>
      <w:bookmarkStart w:id="114" w:name="_Toc25416389"/>
      <w:bookmarkStart w:id="115" w:name="_Toc25416506"/>
      <w:bookmarkStart w:id="116" w:name="_Toc25416617"/>
      <w:bookmarkStart w:id="117" w:name="_Toc25844956"/>
      <w:bookmarkStart w:id="118" w:name="_Toc25845059"/>
      <w:bookmarkStart w:id="119" w:name="_Toc25846941"/>
      <w:bookmarkStart w:id="120" w:name="_Toc25416279"/>
      <w:bookmarkStart w:id="121" w:name="_Toc25416390"/>
      <w:bookmarkStart w:id="122" w:name="_Toc25416507"/>
      <w:bookmarkStart w:id="123" w:name="_Toc25416618"/>
      <w:bookmarkStart w:id="124" w:name="_Toc25844957"/>
      <w:bookmarkStart w:id="125" w:name="_Toc25845060"/>
      <w:bookmarkStart w:id="126" w:name="_Toc25846942"/>
      <w:bookmarkStart w:id="127" w:name="_Toc25416280"/>
      <w:bookmarkStart w:id="128" w:name="_Toc25416391"/>
      <w:bookmarkStart w:id="129" w:name="_Toc25416508"/>
      <w:bookmarkStart w:id="130" w:name="_Toc25416619"/>
      <w:bookmarkStart w:id="131" w:name="_Toc25844958"/>
      <w:bookmarkStart w:id="132" w:name="_Toc25845061"/>
      <w:bookmarkStart w:id="133" w:name="_Toc25846943"/>
      <w:bookmarkStart w:id="134" w:name="_Toc25416281"/>
      <w:bookmarkStart w:id="135" w:name="_Toc25416392"/>
      <w:bookmarkStart w:id="136" w:name="_Toc25416509"/>
      <w:bookmarkStart w:id="137" w:name="_Toc25416620"/>
      <w:bookmarkStart w:id="138" w:name="_Toc25844959"/>
      <w:bookmarkStart w:id="139" w:name="_Toc25845062"/>
      <w:bookmarkStart w:id="140" w:name="_Toc25846944"/>
      <w:bookmarkStart w:id="141" w:name="_Toc25416282"/>
      <w:bookmarkStart w:id="142" w:name="_Toc25416393"/>
      <w:bookmarkStart w:id="143" w:name="_Toc25416510"/>
      <w:bookmarkStart w:id="144" w:name="_Toc25416621"/>
      <w:bookmarkStart w:id="145" w:name="_Toc25844960"/>
      <w:bookmarkStart w:id="146" w:name="_Toc25845063"/>
      <w:bookmarkStart w:id="147" w:name="_Toc25846945"/>
      <w:bookmarkStart w:id="148" w:name="_Toc25416283"/>
      <w:bookmarkStart w:id="149" w:name="_Toc25416394"/>
      <w:bookmarkStart w:id="150" w:name="_Toc25416511"/>
      <w:bookmarkStart w:id="151" w:name="_Toc25416622"/>
      <w:bookmarkStart w:id="152" w:name="_Toc25844961"/>
      <w:bookmarkStart w:id="153" w:name="_Toc25845064"/>
      <w:bookmarkStart w:id="154" w:name="_Toc25846946"/>
      <w:bookmarkStart w:id="155" w:name="_Toc25416284"/>
      <w:bookmarkStart w:id="156" w:name="_Toc25416395"/>
      <w:bookmarkStart w:id="157" w:name="_Toc25416512"/>
      <w:bookmarkStart w:id="158" w:name="_Toc25416623"/>
      <w:bookmarkStart w:id="159" w:name="_Toc25844962"/>
      <w:bookmarkStart w:id="160" w:name="_Toc25845065"/>
      <w:bookmarkStart w:id="161" w:name="_Toc25846947"/>
      <w:bookmarkStart w:id="162" w:name="_Toc25416285"/>
      <w:bookmarkStart w:id="163" w:name="_Toc25416396"/>
      <w:bookmarkStart w:id="164" w:name="_Toc25416513"/>
      <w:bookmarkStart w:id="165" w:name="_Toc25416624"/>
      <w:bookmarkStart w:id="166" w:name="_Toc25844963"/>
      <w:bookmarkStart w:id="167" w:name="_Toc25845066"/>
      <w:bookmarkStart w:id="168" w:name="_Toc25846948"/>
      <w:bookmarkStart w:id="169" w:name="_Toc25416286"/>
      <w:bookmarkStart w:id="170" w:name="_Toc25416397"/>
      <w:bookmarkStart w:id="171" w:name="_Toc25416514"/>
      <w:bookmarkStart w:id="172" w:name="_Toc25416625"/>
      <w:bookmarkStart w:id="173" w:name="_Toc25844964"/>
      <w:bookmarkStart w:id="174" w:name="_Toc25845067"/>
      <w:bookmarkStart w:id="175" w:name="_Toc25846949"/>
      <w:bookmarkStart w:id="176" w:name="_Toc25416287"/>
      <w:bookmarkStart w:id="177" w:name="_Toc25416398"/>
      <w:bookmarkStart w:id="178" w:name="_Toc25416515"/>
      <w:bookmarkStart w:id="179" w:name="_Toc25416626"/>
      <w:bookmarkStart w:id="180" w:name="_Toc25844965"/>
      <w:bookmarkStart w:id="181" w:name="_Toc25845068"/>
      <w:bookmarkStart w:id="182" w:name="_Toc25846950"/>
      <w:bookmarkStart w:id="183" w:name="_Toc25416288"/>
      <w:bookmarkStart w:id="184" w:name="_Toc25416399"/>
      <w:bookmarkStart w:id="185" w:name="_Toc25416516"/>
      <w:bookmarkStart w:id="186" w:name="_Toc25416627"/>
      <w:bookmarkStart w:id="187" w:name="_Toc25844966"/>
      <w:bookmarkStart w:id="188" w:name="_Toc25845069"/>
      <w:bookmarkStart w:id="189" w:name="_Toc25846951"/>
      <w:bookmarkStart w:id="190" w:name="_Toc25416289"/>
      <w:bookmarkStart w:id="191" w:name="_Toc25416400"/>
      <w:bookmarkStart w:id="192" w:name="_Toc25416517"/>
      <w:bookmarkStart w:id="193" w:name="_Toc25416628"/>
      <w:bookmarkStart w:id="194" w:name="_Toc25844967"/>
      <w:bookmarkStart w:id="195" w:name="_Toc25845070"/>
      <w:bookmarkStart w:id="196" w:name="_Toc25846952"/>
      <w:bookmarkStart w:id="197" w:name="_Toc25416290"/>
      <w:bookmarkStart w:id="198" w:name="_Toc25416401"/>
      <w:bookmarkStart w:id="199" w:name="_Toc25416518"/>
      <w:bookmarkStart w:id="200" w:name="_Toc25416629"/>
      <w:bookmarkStart w:id="201" w:name="_Toc25844968"/>
      <w:bookmarkStart w:id="202" w:name="_Toc25845071"/>
      <w:bookmarkStart w:id="203" w:name="_Toc25846953"/>
      <w:bookmarkStart w:id="204" w:name="_Toc25416291"/>
      <w:bookmarkStart w:id="205" w:name="_Toc25416402"/>
      <w:bookmarkStart w:id="206" w:name="_Toc25416519"/>
      <w:bookmarkStart w:id="207" w:name="_Toc25416630"/>
      <w:bookmarkStart w:id="208" w:name="_Toc25844969"/>
      <w:bookmarkStart w:id="209" w:name="_Toc25845072"/>
      <w:bookmarkStart w:id="210" w:name="_Toc25846954"/>
      <w:bookmarkStart w:id="211" w:name="_Toc25416292"/>
      <w:bookmarkStart w:id="212" w:name="_Toc25416403"/>
      <w:bookmarkStart w:id="213" w:name="_Toc25416520"/>
      <w:bookmarkStart w:id="214" w:name="_Toc25416631"/>
      <w:bookmarkStart w:id="215" w:name="_Toc25844970"/>
      <w:bookmarkStart w:id="216" w:name="_Toc25845073"/>
      <w:bookmarkStart w:id="217" w:name="_Toc25846955"/>
      <w:bookmarkStart w:id="218" w:name="_Toc25416293"/>
      <w:bookmarkStart w:id="219" w:name="_Toc25416404"/>
      <w:bookmarkStart w:id="220" w:name="_Toc25416521"/>
      <w:bookmarkStart w:id="221" w:name="_Toc25416632"/>
      <w:bookmarkStart w:id="222" w:name="_Toc25844971"/>
      <w:bookmarkStart w:id="223" w:name="_Toc25845074"/>
      <w:bookmarkStart w:id="224" w:name="_Toc25846956"/>
      <w:bookmarkStart w:id="225" w:name="_Toc25416294"/>
      <w:bookmarkStart w:id="226" w:name="_Toc25416405"/>
      <w:bookmarkStart w:id="227" w:name="_Toc25416522"/>
      <w:bookmarkStart w:id="228" w:name="_Toc25416633"/>
      <w:bookmarkStart w:id="229" w:name="_Toc25844972"/>
      <w:bookmarkStart w:id="230" w:name="_Toc25845075"/>
      <w:bookmarkStart w:id="231" w:name="_Toc25846957"/>
      <w:bookmarkStart w:id="232" w:name="_Toc25416295"/>
      <w:bookmarkStart w:id="233" w:name="_Toc25416406"/>
      <w:bookmarkStart w:id="234" w:name="_Toc25416523"/>
      <w:bookmarkStart w:id="235" w:name="_Toc25416634"/>
      <w:bookmarkStart w:id="236" w:name="_Toc25844973"/>
      <w:bookmarkStart w:id="237" w:name="_Toc25845076"/>
      <w:bookmarkStart w:id="238" w:name="_Toc25846958"/>
      <w:bookmarkStart w:id="239" w:name="_Toc25416296"/>
      <w:bookmarkStart w:id="240" w:name="_Toc25416407"/>
      <w:bookmarkStart w:id="241" w:name="_Toc25416524"/>
      <w:bookmarkStart w:id="242" w:name="_Toc25416635"/>
      <w:bookmarkStart w:id="243" w:name="_Toc25844974"/>
      <w:bookmarkStart w:id="244" w:name="_Toc25845077"/>
      <w:bookmarkStart w:id="245" w:name="_Toc25846959"/>
      <w:bookmarkStart w:id="246" w:name="_Toc25416297"/>
      <w:bookmarkStart w:id="247" w:name="_Toc25416408"/>
      <w:bookmarkStart w:id="248" w:name="_Toc25416525"/>
      <w:bookmarkStart w:id="249" w:name="_Toc25416636"/>
      <w:bookmarkStart w:id="250" w:name="_Toc25844975"/>
      <w:bookmarkStart w:id="251" w:name="_Toc25845078"/>
      <w:bookmarkStart w:id="252" w:name="_Toc25846960"/>
      <w:bookmarkStart w:id="253" w:name="_Toc25845079"/>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4DC18B4C" w14:textId="77777777" w:rsidR="00883D7A" w:rsidRPr="00207748" w:rsidRDefault="00883D7A" w:rsidP="004454B6">
      <w:pPr>
        <w:spacing w:after="0"/>
        <w:rPr>
          <w:rFonts w:ascii="Cambria" w:eastAsia="Cambria" w:hAnsi="Cambria" w:cs="Arial"/>
          <w:b/>
          <w:bCs/>
          <w:color w:val="365F91"/>
          <w:sz w:val="20"/>
          <w:szCs w:val="20"/>
          <w:u w:color="365F91"/>
          <w14:textOutline w14:w="0" w14:cap="rnd" w14:cmpd="sng" w14:algn="ctr">
            <w14:noFill/>
            <w14:prstDash w14:val="solid"/>
            <w14:bevel/>
          </w14:textOutline>
        </w:rPr>
      </w:pPr>
      <w:r w:rsidRPr="00207748">
        <w:rPr>
          <w:rFonts w:ascii="Cambria" w:hAnsi="Cambria" w:cs="Arial"/>
          <w:sz w:val="20"/>
          <w:szCs w:val="20"/>
        </w:rPr>
        <w:lastRenderedPageBreak/>
        <w:br w:type="page"/>
      </w:r>
    </w:p>
    <w:p w14:paraId="1509C78A" w14:textId="77777777" w:rsidR="00883D7A" w:rsidRPr="00207748" w:rsidRDefault="00883D7A" w:rsidP="004454B6">
      <w:pPr>
        <w:pStyle w:val="berschrift1"/>
        <w:sectPr w:rsidR="00883D7A" w:rsidRPr="00207748" w:rsidSect="00342FB3">
          <w:endnotePr>
            <w:numFmt w:val="decimal"/>
          </w:endnotePr>
          <w:type w:val="continuous"/>
          <w:pgSz w:w="11900" w:h="16840"/>
          <w:pgMar w:top="1417" w:right="1417" w:bottom="1134" w:left="1417" w:header="708" w:footer="708" w:gutter="0"/>
          <w:cols w:num="2" w:space="720"/>
        </w:sectPr>
      </w:pPr>
    </w:p>
    <w:p w14:paraId="3338C64F" w14:textId="77777777" w:rsidR="00E11869" w:rsidRPr="00207748" w:rsidRDefault="007722E3" w:rsidP="004454B6">
      <w:pPr>
        <w:pStyle w:val="berschrift1"/>
        <w:numPr>
          <w:ilvl w:val="0"/>
          <w:numId w:val="155"/>
        </w:numPr>
      </w:pPr>
      <w:bookmarkStart w:id="254" w:name="_Toc437861451"/>
      <w:bookmarkStart w:id="255" w:name="_Toc31278489"/>
      <w:r w:rsidRPr="00207748">
        <w:lastRenderedPageBreak/>
        <w:t>Ein</w:t>
      </w:r>
      <w:r w:rsidR="00156F8E" w:rsidRPr="00207748">
        <w:t>leitung</w:t>
      </w:r>
      <w:bookmarkEnd w:id="253"/>
      <w:bookmarkEnd w:id="254"/>
      <w:bookmarkEnd w:id="255"/>
    </w:p>
    <w:p w14:paraId="797F1FDA" w14:textId="77777777" w:rsidR="00524587" w:rsidRPr="00207748" w:rsidRDefault="00524587" w:rsidP="004454B6">
      <w:pPr>
        <w:rPr>
          <w:rFonts w:ascii="Cambria" w:hAnsi="Cambria" w:cs="Arial"/>
          <w:sz w:val="20"/>
          <w:szCs w:val="20"/>
        </w:rPr>
      </w:pPr>
      <w:r w:rsidRPr="00207748">
        <w:rPr>
          <w:rFonts w:ascii="Cambria" w:hAnsi="Cambria" w:cs="Arial"/>
          <w:sz w:val="20"/>
          <w:szCs w:val="20"/>
        </w:rPr>
        <w:t>Bei einer Sepsis handelt es sich um eine lebensbedrohliche Organdysfunktion ausgelöst durch eine Infektion, welche mit einer Regulationsstörung beim Wirt einhergeht. Ähnlich wie bei einem Polytrauma, akutem Herzinfarkt oder Schlaganfall können das frühzeitige Erkennen einer Sepsis und deren Behandlung in den ersten Stunden nach ihrem Auftreten die schwerwiegenden Folgen einer Infektion verhindern oder abschwächen.</w:t>
      </w:r>
    </w:p>
    <w:p w14:paraId="1CF5F033" w14:textId="77777777" w:rsidR="00524587" w:rsidRPr="00207748" w:rsidRDefault="00E873A9" w:rsidP="004454B6">
      <w:pPr>
        <w:rPr>
          <w:rFonts w:ascii="Cambria" w:hAnsi="Cambria" w:cs="Arial"/>
          <w:sz w:val="20"/>
          <w:szCs w:val="20"/>
        </w:rPr>
      </w:pPr>
      <w:r w:rsidRPr="00207748">
        <w:rPr>
          <w:rFonts w:ascii="Cambria" w:hAnsi="Cambria" w:cs="Arial"/>
          <w:sz w:val="20"/>
          <w:szCs w:val="20"/>
        </w:rPr>
        <w:t xml:space="preserve">Die Leitlinie fasst angemessene, wissenschaftlich begründete und aktuelle Verfahren für Diagnostik, Therapie und Nachsorge zusammen und ergänzt diese um Maßnahmen der Sepsis-Prävention. </w:t>
      </w:r>
      <w:r w:rsidR="00524587" w:rsidRPr="00207748">
        <w:rPr>
          <w:rFonts w:ascii="Cambria" w:hAnsi="Cambria" w:cs="Arial"/>
          <w:sz w:val="20"/>
          <w:szCs w:val="20"/>
        </w:rPr>
        <w:t xml:space="preserve">Die Empfehlungen der Leitlinie sollen als </w:t>
      </w:r>
      <w:r w:rsidRPr="00207748">
        <w:rPr>
          <w:rFonts w:ascii="Cambria" w:hAnsi="Cambria" w:cs="Arial"/>
          <w:sz w:val="20"/>
          <w:szCs w:val="20"/>
        </w:rPr>
        <w:t xml:space="preserve">unterstützende </w:t>
      </w:r>
      <w:r w:rsidR="00524587" w:rsidRPr="00207748">
        <w:rPr>
          <w:rFonts w:ascii="Cambria" w:hAnsi="Cambria" w:cs="Arial"/>
          <w:sz w:val="20"/>
          <w:szCs w:val="20"/>
        </w:rPr>
        <w:t>Informations</w:t>
      </w:r>
      <w:r w:rsidRPr="00207748">
        <w:rPr>
          <w:rFonts w:ascii="Cambria" w:hAnsi="Cambria" w:cs="Arial"/>
          <w:sz w:val="20"/>
          <w:szCs w:val="20"/>
        </w:rPr>
        <w:t>- und Entscheidungs</w:t>
      </w:r>
      <w:r w:rsidR="00524587" w:rsidRPr="00207748">
        <w:rPr>
          <w:rFonts w:ascii="Cambria" w:hAnsi="Cambria" w:cs="Arial"/>
          <w:sz w:val="20"/>
          <w:szCs w:val="20"/>
        </w:rPr>
        <w:t xml:space="preserve">grundlage für den Kliniker zur Behandlung von erwachsenen Patienten mit Sepsis oder septischem Schock dienen. Sie ersetzen nicht die Fähigkeiten des Arztes, eine angemessene Entscheidung bei der individuellen Behandlung eines Patienten nach Maßgabe der </w:t>
      </w:r>
      <w:r w:rsidR="003B1537" w:rsidRPr="00207748">
        <w:rPr>
          <w:rFonts w:ascii="Cambria" w:hAnsi="Cambria" w:cs="Arial"/>
          <w:sz w:val="20"/>
          <w:szCs w:val="20"/>
        </w:rPr>
        <w:t>verfügbaren</w:t>
      </w:r>
      <w:r w:rsidR="00524587" w:rsidRPr="00207748">
        <w:rPr>
          <w:rFonts w:ascii="Cambria" w:hAnsi="Cambria" w:cs="Arial"/>
          <w:sz w:val="20"/>
          <w:szCs w:val="20"/>
        </w:rPr>
        <w:t xml:space="preserve"> klinischen Parameter zu treffen.</w:t>
      </w:r>
    </w:p>
    <w:p w14:paraId="220C8DB3" w14:textId="77777777" w:rsidR="00264D62" w:rsidRPr="00207748" w:rsidRDefault="00447357" w:rsidP="004454B6">
      <w:pPr>
        <w:rPr>
          <w:rFonts w:ascii="Cambria" w:hAnsi="Cambria" w:cs="Arial"/>
          <w:sz w:val="20"/>
          <w:szCs w:val="20"/>
        </w:rPr>
      </w:pPr>
      <w:r w:rsidRPr="00207748">
        <w:rPr>
          <w:rFonts w:ascii="Cambria" w:hAnsi="Cambria" w:cs="Arial"/>
          <w:sz w:val="20"/>
          <w:szCs w:val="20"/>
        </w:rPr>
        <w:t>Die</w:t>
      </w:r>
      <w:r w:rsidR="00E873A9" w:rsidRPr="00207748">
        <w:rPr>
          <w:rFonts w:ascii="Cambria" w:hAnsi="Cambria" w:cs="Arial"/>
          <w:sz w:val="20"/>
          <w:szCs w:val="20"/>
        </w:rPr>
        <w:t xml:space="preserve"> vorliegende</w:t>
      </w:r>
      <w:r w:rsidRPr="00207748">
        <w:rPr>
          <w:rFonts w:ascii="Cambria" w:hAnsi="Cambria" w:cs="Arial"/>
          <w:sz w:val="20"/>
          <w:szCs w:val="20"/>
        </w:rPr>
        <w:t xml:space="preserve"> interdisziplinäre Leitlinie der Klassifikation S3 ist ein evidenz- und konsensbasiertes Instrument zur Verbesserung und Qualitätssicherung von Prävention, Diagnostik, Therapie und Nachsorge der Sepsis. Sie richtet sich an alle </w:t>
      </w:r>
      <w:r w:rsidR="00E873A9" w:rsidRPr="00207748">
        <w:rPr>
          <w:rFonts w:ascii="Cambria" w:hAnsi="Cambria" w:cs="Arial"/>
          <w:sz w:val="20"/>
          <w:szCs w:val="20"/>
        </w:rPr>
        <w:t>damit betrauten</w:t>
      </w:r>
      <w:r w:rsidRPr="00207748">
        <w:rPr>
          <w:rFonts w:ascii="Cambria" w:hAnsi="Cambria" w:cs="Arial"/>
          <w:sz w:val="20"/>
          <w:szCs w:val="20"/>
        </w:rPr>
        <w:t xml:space="preserve"> Berufsgruppen</w:t>
      </w:r>
      <w:r w:rsidR="00E873A9" w:rsidRPr="00207748">
        <w:rPr>
          <w:rFonts w:ascii="Cambria" w:hAnsi="Cambria" w:cs="Arial"/>
          <w:sz w:val="20"/>
          <w:szCs w:val="20"/>
        </w:rPr>
        <w:t xml:space="preserve">, sowie an Betroffene, </w:t>
      </w:r>
      <w:r w:rsidRPr="00207748">
        <w:rPr>
          <w:rFonts w:ascii="Cambria" w:hAnsi="Cambria" w:cs="Arial"/>
          <w:sz w:val="20"/>
          <w:szCs w:val="20"/>
        </w:rPr>
        <w:t>übergeordnete Organisationen (z. B. Krankenkassen und Einrichtungen der ärztlichen Selbstverwaltung) und die interessierte Fachöffentlichkeit.</w:t>
      </w:r>
      <w:bookmarkStart w:id="256" w:name="_Toc25414773"/>
      <w:bookmarkStart w:id="257" w:name="_Toc25416302"/>
      <w:bookmarkStart w:id="258" w:name="_Toc25416413"/>
      <w:bookmarkStart w:id="259" w:name="_Toc25416530"/>
      <w:bookmarkStart w:id="260" w:name="_Toc25416641"/>
      <w:bookmarkStart w:id="261" w:name="_Toc25414774"/>
      <w:bookmarkStart w:id="262" w:name="_Toc25416303"/>
      <w:bookmarkStart w:id="263" w:name="_Toc25416414"/>
      <w:bookmarkStart w:id="264" w:name="_Toc25416531"/>
      <w:bookmarkStart w:id="265" w:name="_Toc25416642"/>
      <w:bookmarkStart w:id="266" w:name="_Toc25846962"/>
      <w:bookmarkStart w:id="267" w:name="_Toc25846963"/>
      <w:bookmarkStart w:id="268" w:name="_Toc25844979"/>
      <w:bookmarkStart w:id="269" w:name="_Toc25845082"/>
      <w:bookmarkStart w:id="270" w:name="_Toc25846966"/>
      <w:bookmarkStart w:id="271" w:name="_Toc25844980"/>
      <w:bookmarkStart w:id="272" w:name="_Toc25845083"/>
      <w:bookmarkStart w:id="273" w:name="_Toc25846967"/>
      <w:bookmarkStart w:id="274" w:name="_Toc25844981"/>
      <w:bookmarkStart w:id="275" w:name="_Toc25845084"/>
      <w:bookmarkStart w:id="276" w:name="_Toc25846968"/>
      <w:bookmarkStart w:id="277" w:name="_Toc25844982"/>
      <w:bookmarkStart w:id="278" w:name="_Toc25845085"/>
      <w:bookmarkStart w:id="279" w:name="_Toc25846969"/>
      <w:bookmarkStart w:id="280" w:name="_Toc25844983"/>
      <w:bookmarkStart w:id="281" w:name="_Toc25845086"/>
      <w:bookmarkStart w:id="282" w:name="_Toc25846970"/>
      <w:bookmarkStart w:id="283" w:name="_Toc25844984"/>
      <w:bookmarkStart w:id="284" w:name="_Toc25845087"/>
      <w:bookmarkStart w:id="285" w:name="_Toc25846971"/>
      <w:bookmarkStart w:id="286" w:name="_Toc25414781"/>
      <w:bookmarkStart w:id="287" w:name="_Toc25416310"/>
      <w:bookmarkStart w:id="288" w:name="_Toc25416421"/>
      <w:bookmarkStart w:id="289" w:name="_Toc25416538"/>
      <w:bookmarkStart w:id="290" w:name="_Toc25416649"/>
      <w:bookmarkStart w:id="291" w:name="_Toc25844986"/>
      <w:bookmarkStart w:id="292" w:name="_Toc25845089"/>
      <w:bookmarkStart w:id="293" w:name="_Toc25846973"/>
      <w:bookmarkStart w:id="294" w:name="_Toc25414782"/>
      <w:bookmarkStart w:id="295" w:name="_Toc25416311"/>
      <w:bookmarkStart w:id="296" w:name="_Toc25416422"/>
      <w:bookmarkStart w:id="297" w:name="_Toc25416539"/>
      <w:bookmarkStart w:id="298" w:name="_Toc25416650"/>
      <w:bookmarkStart w:id="299" w:name="_Toc25844987"/>
      <w:bookmarkStart w:id="300" w:name="_Toc25845090"/>
      <w:bookmarkStart w:id="301" w:name="_Toc25846974"/>
      <w:bookmarkStart w:id="302" w:name="_Toc25414783"/>
      <w:bookmarkStart w:id="303" w:name="_Toc25416312"/>
      <w:bookmarkStart w:id="304" w:name="_Toc25416423"/>
      <w:bookmarkStart w:id="305" w:name="_Toc25416540"/>
      <w:bookmarkStart w:id="306" w:name="_Toc25416651"/>
      <w:bookmarkStart w:id="307" w:name="_Toc25844988"/>
      <w:bookmarkStart w:id="308" w:name="_Toc25845091"/>
      <w:bookmarkStart w:id="309" w:name="_Toc25846975"/>
      <w:bookmarkStart w:id="310" w:name="_Toc25845093"/>
      <w:bookmarkStart w:id="311" w:name="_Toc25845095"/>
      <w:bookmarkStart w:id="312" w:name="_Toc25845103"/>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56A4D635" w14:textId="77777777" w:rsidR="00264D62" w:rsidRPr="00207748" w:rsidRDefault="00264D62" w:rsidP="004454B6">
      <w:pPr>
        <w:pStyle w:val="berschrift1"/>
        <w:numPr>
          <w:ilvl w:val="0"/>
          <w:numId w:val="155"/>
        </w:numPr>
        <w:rPr>
          <w:u w:color="4F81BD"/>
        </w:rPr>
      </w:pPr>
      <w:bookmarkStart w:id="313" w:name="_Toc25845081"/>
      <w:bookmarkStart w:id="314" w:name="_Toc26624462"/>
      <w:bookmarkStart w:id="315" w:name="_Toc437861452"/>
      <w:bookmarkStart w:id="316" w:name="_Toc31278490"/>
      <w:r w:rsidRPr="00207748">
        <w:rPr>
          <w:u w:color="4F81BD"/>
        </w:rPr>
        <w:t>Definition</w:t>
      </w:r>
      <w:bookmarkEnd w:id="313"/>
      <w:bookmarkEnd w:id="314"/>
      <w:r w:rsidR="008962B5" w:rsidRPr="00207748">
        <w:rPr>
          <w:u w:color="4F81BD"/>
        </w:rPr>
        <w:t xml:space="preserve"> der Sepsis</w:t>
      </w:r>
      <w:bookmarkEnd w:id="315"/>
      <w:bookmarkEnd w:id="316"/>
    </w:p>
    <w:p w14:paraId="0CBA825A" w14:textId="742FB862" w:rsidR="00264D62" w:rsidRPr="00207748" w:rsidRDefault="00264D62" w:rsidP="004454B6">
      <w:pPr>
        <w:rPr>
          <w:rFonts w:ascii="Cambria" w:hAnsi="Cambria" w:cs="Arial"/>
          <w:sz w:val="20"/>
          <w:szCs w:val="20"/>
        </w:rPr>
      </w:pPr>
      <w:r w:rsidRPr="00207748">
        <w:rPr>
          <w:rFonts w:ascii="Cambria" w:hAnsi="Cambria" w:cs="Arial"/>
          <w:sz w:val="20"/>
          <w:szCs w:val="20"/>
        </w:rPr>
        <w:t>Die dieser Leitlinie zugrundeliegende Definition der Sepsis basiert auf d</w:t>
      </w:r>
      <w:r w:rsidR="00AE0618">
        <w:rPr>
          <w:rFonts w:ascii="Cambria" w:hAnsi="Cambria" w:cs="Arial"/>
          <w:sz w:val="20"/>
          <w:szCs w:val="20"/>
        </w:rPr>
        <w:t>en</w:t>
      </w:r>
      <w:r w:rsidRPr="00207748">
        <w:rPr>
          <w:rFonts w:ascii="Cambria" w:hAnsi="Cambria" w:cs="Arial"/>
          <w:sz w:val="20"/>
          <w:szCs w:val="20"/>
        </w:rPr>
        <w:t xml:space="preserve"> </w:t>
      </w:r>
      <w:r w:rsidR="00AE0618">
        <w:rPr>
          <w:rFonts w:ascii="Cambria" w:hAnsi="Cambria" w:cs="Arial"/>
          <w:sz w:val="20"/>
          <w:szCs w:val="20"/>
        </w:rPr>
        <w:t>von der</w:t>
      </w:r>
      <w:r w:rsidRPr="00207748">
        <w:rPr>
          <w:rFonts w:ascii="Cambria" w:hAnsi="Cambria" w:cs="Arial"/>
          <w:sz w:val="20"/>
          <w:szCs w:val="20"/>
        </w:rPr>
        <w:t xml:space="preserve"> Sepsis-3 </w:t>
      </w:r>
      <w:r w:rsidR="00AE0618">
        <w:rPr>
          <w:rFonts w:ascii="Cambria" w:hAnsi="Cambria" w:cs="Arial"/>
          <w:sz w:val="20"/>
          <w:szCs w:val="20"/>
        </w:rPr>
        <w:t>taskforce</w:t>
      </w:r>
      <w:r w:rsidRPr="00207748">
        <w:rPr>
          <w:rFonts w:ascii="Cambria" w:hAnsi="Cambria" w:cs="Arial"/>
          <w:sz w:val="20"/>
          <w:szCs w:val="20"/>
        </w:rPr>
        <w:t xml:space="preserve"> und der Surviving Sepsis Campaign (SSC) veröffentlichten </w:t>
      </w:r>
      <w:r w:rsidR="00AE0618">
        <w:rPr>
          <w:rFonts w:ascii="Cambria" w:hAnsi="Cambria" w:cs="Arial"/>
          <w:sz w:val="20"/>
          <w:szCs w:val="20"/>
        </w:rPr>
        <w:t>Definitionen</w:t>
      </w:r>
      <w:r w:rsidRPr="00D60A69">
        <w:rPr>
          <w:rStyle w:val="EndnoteZchn"/>
        </w:rPr>
        <w:t>.</w:t>
      </w:r>
      <w:bookmarkStart w:id="317" w:name="_Ref30423872"/>
      <w:r w:rsidRPr="00D60A69">
        <w:rPr>
          <w:rStyle w:val="EndnoteZchn"/>
        </w:rPr>
        <w:endnoteReference w:id="2"/>
      </w:r>
      <w:bookmarkEnd w:id="317"/>
      <w:r w:rsidRPr="00D60A69">
        <w:rPr>
          <w:rStyle w:val="EndnoteZchn"/>
        </w:rPr>
        <w:t xml:space="preserve"> </w:t>
      </w:r>
      <w:bookmarkStart w:id="318" w:name="_Ref30424572"/>
      <w:r w:rsidRPr="00D60A69">
        <w:rPr>
          <w:rStyle w:val="EndnoteZchn"/>
        </w:rPr>
        <w:endnoteReference w:id="3"/>
      </w:r>
      <w:bookmarkEnd w:id="318"/>
      <w:r w:rsidRPr="00207748">
        <w:rPr>
          <w:rFonts w:ascii="Cambria" w:hAnsi="Cambria" w:cs="Arial"/>
          <w:sz w:val="20"/>
          <w:szCs w:val="20"/>
        </w:rPr>
        <w:t xml:space="preserve"> Sie wird in der vorliegenden Leitlinie nicht als Empfehlung, sondern als Statement</w:t>
      </w:r>
      <w:r w:rsidR="002C4D04" w:rsidRPr="00207748">
        <w:rPr>
          <w:rFonts w:ascii="Cambria" w:hAnsi="Cambria" w:cs="Arial"/>
          <w:sz w:val="20"/>
          <w:szCs w:val="20"/>
        </w:rPr>
        <w:t xml:space="preserve"> (Stellungnahme)</w:t>
      </w:r>
      <w:r w:rsidRPr="00207748">
        <w:rPr>
          <w:rFonts w:ascii="Cambria" w:hAnsi="Cambria" w:cs="Arial"/>
          <w:sz w:val="20"/>
          <w:szCs w:val="20"/>
        </w:rPr>
        <w:t xml:space="preserve"> beschrieben. Zudem wird mit Hilfe eines Algorithmus (Sequential Organ Failure Assessment, SOFA-Score) die Möglichkeit der</w:t>
      </w:r>
      <w:r w:rsidRPr="00207748">
        <w:rPr>
          <w:rFonts w:ascii="Cambria" w:hAnsi="Cambria" w:cs="Arial"/>
          <w:sz w:val="20"/>
          <w:szCs w:val="20"/>
          <w:shd w:val="clear" w:color="auto" w:fill="C0C0C0"/>
        </w:rPr>
        <w:t xml:space="preserve"> </w:t>
      </w:r>
      <w:r w:rsidRPr="00207748">
        <w:rPr>
          <w:rFonts w:ascii="Cambria" w:hAnsi="Cambria" w:cs="Arial"/>
          <w:sz w:val="20"/>
          <w:szCs w:val="20"/>
        </w:rPr>
        <w:lastRenderedPageBreak/>
        <w:t>Diagnostik einer Sepsis-assoziierten Organdysfunktion aufgezeigt. Der Begründungstext wurde von der DSG-Leitlinienkommission neu hinzugefügt.</w:t>
      </w:r>
    </w:p>
    <w:p w14:paraId="6A277B07" w14:textId="77777777" w:rsidR="00264D62" w:rsidRPr="00207748" w:rsidRDefault="00264D62" w:rsidP="004454B6">
      <w:pPr>
        <w:rPr>
          <w:rFonts w:ascii="Cambria" w:hAnsi="Cambria" w:cs="Arial"/>
          <w:sz w:val="20"/>
          <w:szCs w:val="20"/>
        </w:rPr>
      </w:pPr>
      <w:r w:rsidRPr="00207748">
        <w:rPr>
          <w:rFonts w:ascii="Cambria" w:hAnsi="Cambria" w:cs="Arial"/>
          <w:sz w:val="20"/>
          <w:szCs w:val="20"/>
        </w:rPr>
        <w:t>Studien, die als Evidenz für die SSC-Leitlinie und die vorliegende Leitlinie herangezogen wurden, beziehen sich zu einem großen Teil auf Patientenpopulationen, die anhand überholter Definitionen der Sepsis, schweren Sepsis und des septischen Schocks identifiziert wurden.</w:t>
      </w:r>
      <w:r w:rsidRPr="00207748">
        <w:rPr>
          <w:rFonts w:ascii="Cambria" w:eastAsia="Arial" w:hAnsi="Cambria" w:cs="Arial"/>
          <w:sz w:val="20"/>
          <w:szCs w:val="20"/>
          <w:vertAlign w:val="superscript"/>
          <w:lang w:val="en-US"/>
        </w:rPr>
        <w:endnoteReference w:id="4"/>
      </w:r>
    </w:p>
    <w:tbl>
      <w:tblPr>
        <w:tblStyle w:val="TableNormal2"/>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38"/>
        <w:gridCol w:w="1418"/>
        <w:gridCol w:w="907"/>
      </w:tblGrid>
      <w:tr w:rsidR="00264D62" w:rsidRPr="00207748" w14:paraId="7516FAA4" w14:textId="77777777" w:rsidTr="002B1061">
        <w:trPr>
          <w:trHeight w:val="282"/>
        </w:trPr>
        <w:tc>
          <w:tcPr>
            <w:tcW w:w="1838" w:type="dxa"/>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07A7AE90" w14:textId="77777777" w:rsidR="00264D62" w:rsidRPr="00207748" w:rsidRDefault="00264D62" w:rsidP="004454B6">
            <w:pPr>
              <w:spacing w:after="0"/>
              <w:rPr>
                <w:rFonts w:ascii="Cambria" w:hAnsi="Cambria" w:cs="Arial"/>
                <w:sz w:val="20"/>
                <w:szCs w:val="20"/>
              </w:rPr>
            </w:pPr>
            <w:r w:rsidRPr="00207748">
              <w:rPr>
                <w:rFonts w:ascii="Cambria" w:hAnsi="Cambria" w:cs="Arial"/>
                <w:b/>
                <w:bCs/>
                <w:sz w:val="20"/>
                <w:szCs w:val="20"/>
              </w:rPr>
              <w:t>Definition 1</w:t>
            </w:r>
          </w:p>
        </w:tc>
        <w:tc>
          <w:tcPr>
            <w:tcW w:w="1418" w:type="dxa"/>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46E076D2" w14:textId="77777777" w:rsidR="00264D62" w:rsidRPr="00207748" w:rsidRDefault="00264D62" w:rsidP="004454B6">
            <w:pPr>
              <w:spacing w:after="0"/>
              <w:rPr>
                <w:rFonts w:ascii="Cambria" w:hAnsi="Cambria" w:cs="Arial"/>
                <w:sz w:val="20"/>
                <w:szCs w:val="20"/>
              </w:rPr>
            </w:pPr>
            <w:r w:rsidRPr="00207748">
              <w:rPr>
                <w:rFonts w:ascii="Cambria" w:hAnsi="Cambria" w:cs="Arial"/>
                <w:b/>
                <w:bCs/>
                <w:sz w:val="20"/>
                <w:szCs w:val="20"/>
              </w:rPr>
              <w:t>Statement</w:t>
            </w:r>
          </w:p>
        </w:tc>
        <w:tc>
          <w:tcPr>
            <w:tcW w:w="907" w:type="dxa"/>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2C3B2C15" w14:textId="77777777" w:rsidR="00264D62" w:rsidRPr="00207748" w:rsidRDefault="00264D62" w:rsidP="004454B6">
            <w:pPr>
              <w:spacing w:after="0"/>
              <w:rPr>
                <w:rFonts w:ascii="Cambria" w:hAnsi="Cambria" w:cs="Arial"/>
                <w:sz w:val="20"/>
                <w:szCs w:val="20"/>
              </w:rPr>
            </w:pPr>
            <w:r w:rsidRPr="00207748">
              <w:rPr>
                <w:rFonts w:ascii="Cambria" w:hAnsi="Cambria" w:cs="Arial"/>
                <w:b/>
                <w:bCs/>
                <w:sz w:val="20"/>
                <w:szCs w:val="20"/>
              </w:rPr>
              <w:t>2018</w:t>
            </w:r>
          </w:p>
        </w:tc>
      </w:tr>
      <w:tr w:rsidR="00264D62" w:rsidRPr="00207748" w14:paraId="53B95295" w14:textId="77777777" w:rsidTr="002B1061">
        <w:trPr>
          <w:trHeight w:val="4151"/>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9A5DB1" w14:textId="77777777" w:rsidR="00264D62" w:rsidRPr="00207748" w:rsidRDefault="00264D62" w:rsidP="004454B6">
            <w:pPr>
              <w:spacing w:after="0"/>
              <w:rPr>
                <w:rFonts w:ascii="Cambria" w:hAnsi="Cambria" w:cs="Arial"/>
                <w:sz w:val="20"/>
                <w:szCs w:val="20"/>
              </w:rPr>
            </w:pPr>
            <w:r w:rsidRPr="00207748">
              <w:rPr>
                <w:rFonts w:ascii="Cambria" w:hAnsi="Cambria" w:cs="Arial"/>
                <w:b/>
                <w:bCs/>
                <w:sz w:val="20"/>
                <w:szCs w:val="20"/>
              </w:rPr>
              <w:t>Expertenkonsens</w:t>
            </w:r>
          </w:p>
        </w:tc>
        <w:tc>
          <w:tcPr>
            <w:tcW w:w="232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9095E" w14:textId="19BD725C" w:rsidR="00264D62" w:rsidRPr="00207748" w:rsidRDefault="00264D62" w:rsidP="004454B6">
            <w:pPr>
              <w:spacing w:after="0"/>
              <w:rPr>
                <w:rFonts w:ascii="Cambria" w:hAnsi="Cambria" w:cs="Arial"/>
                <w:b/>
                <w:bCs/>
                <w:sz w:val="20"/>
                <w:szCs w:val="20"/>
              </w:rPr>
            </w:pPr>
            <w:r w:rsidRPr="00207748">
              <w:rPr>
                <w:rFonts w:ascii="Cambria" w:hAnsi="Cambria" w:cs="Arial"/>
                <w:b/>
                <w:bCs/>
                <w:sz w:val="20"/>
                <w:szCs w:val="20"/>
              </w:rPr>
              <w:t>Eine Sepsis ist eine akut lebensbedrohliche Organdysfunktion, hervorgerufen durch eine inadäquate Wirtsantwort auf eine Infektion. Für die Diagnose einer Sepsis-assoziierten Organdysfunktion ist eine Veränderung des Sequential Organ Failure Assessment (SOFA) Score um ≥ 2 Punkte zu verwenden</w:t>
            </w:r>
            <w:r w:rsidR="004454B6" w:rsidRPr="00207748">
              <w:rPr>
                <w:rFonts w:ascii="Cambria" w:hAnsi="Cambria" w:cs="Arial"/>
                <w:b/>
                <w:bCs/>
                <w:sz w:val="20"/>
                <w:szCs w:val="20"/>
              </w:rPr>
              <w:t>.</w:t>
            </w:r>
            <w:r w:rsidRPr="00207748">
              <w:rPr>
                <w:rFonts w:ascii="Cambria" w:hAnsi="Cambria" w:cs="Arial"/>
                <w:b/>
                <w:bCs/>
                <w:sz w:val="20"/>
                <w:szCs w:val="20"/>
              </w:rPr>
              <w:t xml:space="preserve"> (Abbildung 1</w:t>
            </w:r>
            <w:r w:rsidR="002F33B3" w:rsidRPr="00207748">
              <w:rPr>
                <w:rFonts w:ascii="Cambria" w:hAnsi="Cambria" w:cs="Arial"/>
                <w:b/>
                <w:bCs/>
                <w:sz w:val="20"/>
                <w:szCs w:val="20"/>
              </w:rPr>
              <w:t xml:space="preserve">, </w:t>
            </w:r>
            <w:r w:rsidR="002F45C9" w:rsidRPr="00207748">
              <w:rPr>
                <w:rFonts w:ascii="Cambria" w:hAnsi="Cambria" w:cs="Arial"/>
                <w:b/>
                <w:bCs/>
                <w:sz w:val="20"/>
                <w:szCs w:val="20"/>
              </w:rPr>
              <w:t>Anhang</w:t>
            </w:r>
            <w:r w:rsidRPr="00207748">
              <w:rPr>
                <w:rFonts w:ascii="Cambria" w:hAnsi="Cambria" w:cs="Arial"/>
                <w:b/>
                <w:bCs/>
                <w:sz w:val="20"/>
                <w:szCs w:val="20"/>
              </w:rPr>
              <w:t>)</w:t>
            </w:r>
          </w:p>
        </w:tc>
      </w:tr>
      <w:tr w:rsidR="00264D62" w:rsidRPr="00207748" w14:paraId="2604806B" w14:textId="77777777" w:rsidTr="002B1061">
        <w:trPr>
          <w:trHeight w:val="683"/>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Pr>
          <w:p w14:paraId="07A20CA7" w14:textId="77777777" w:rsidR="00264D62" w:rsidRPr="00207748" w:rsidRDefault="00264D62" w:rsidP="004454B6">
            <w:pPr>
              <w:spacing w:after="0"/>
              <w:rPr>
                <w:rFonts w:ascii="Cambria" w:hAnsi="Cambria" w:cs="Arial"/>
                <w:sz w:val="20"/>
                <w:szCs w:val="20"/>
              </w:rPr>
            </w:pPr>
          </w:p>
        </w:tc>
        <w:tc>
          <w:tcPr>
            <w:tcW w:w="232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C1312" w14:textId="74BBF74D" w:rsidR="00264D62" w:rsidRPr="00207748" w:rsidRDefault="00264D62" w:rsidP="004454B6">
            <w:pPr>
              <w:spacing w:after="0"/>
              <w:rPr>
                <w:rFonts w:ascii="Cambria" w:hAnsi="Cambria" w:cs="Arial"/>
                <w:sz w:val="20"/>
                <w:szCs w:val="20"/>
              </w:rPr>
            </w:pPr>
            <w:r w:rsidRPr="00207748">
              <w:rPr>
                <w:rFonts w:ascii="Cambria" w:hAnsi="Cambria" w:cs="Arial"/>
                <w:b/>
                <w:bCs/>
                <w:sz w:val="20"/>
                <w:szCs w:val="20"/>
              </w:rPr>
              <w:t>Zusätzliche DSG-Leitlinienstellung</w:t>
            </w:r>
            <w:r w:rsidR="00B26F79">
              <w:rPr>
                <w:rFonts w:ascii="Cambria" w:hAnsi="Cambria" w:cs="Arial"/>
                <w:b/>
                <w:bCs/>
                <w:sz w:val="20"/>
                <w:szCs w:val="20"/>
              </w:rPr>
              <w:t>-</w:t>
            </w:r>
            <w:r w:rsidRPr="00207748">
              <w:rPr>
                <w:rFonts w:ascii="Cambria" w:hAnsi="Cambria" w:cs="Arial"/>
                <w:b/>
                <w:bCs/>
                <w:sz w:val="20"/>
                <w:szCs w:val="20"/>
              </w:rPr>
              <w:t xml:space="preserve">nahme </w:t>
            </w:r>
          </w:p>
        </w:tc>
      </w:tr>
      <w:tr w:rsidR="00264D62" w:rsidRPr="00207748" w14:paraId="5F7F31AA" w14:textId="77777777" w:rsidTr="002B1061">
        <w:trPr>
          <w:trHeight w:val="282"/>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F4B7C" w14:textId="77777777" w:rsidR="00264D62" w:rsidRPr="00207748" w:rsidRDefault="00264D62" w:rsidP="004454B6">
            <w:pPr>
              <w:spacing w:after="0"/>
              <w:rPr>
                <w:rFonts w:ascii="Cambria" w:hAnsi="Cambria" w:cs="Arial"/>
                <w:sz w:val="20"/>
                <w:szCs w:val="20"/>
              </w:rPr>
            </w:pPr>
          </w:p>
        </w:tc>
        <w:tc>
          <w:tcPr>
            <w:tcW w:w="232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F99E1" w14:textId="77777777" w:rsidR="00264D62" w:rsidRPr="00207748" w:rsidRDefault="00264D62" w:rsidP="004454B6">
            <w:pPr>
              <w:spacing w:after="0"/>
              <w:rPr>
                <w:rFonts w:ascii="Cambria" w:hAnsi="Cambria" w:cs="Arial"/>
                <w:sz w:val="20"/>
                <w:szCs w:val="20"/>
              </w:rPr>
            </w:pPr>
            <w:r w:rsidRPr="00207748">
              <w:rPr>
                <w:rFonts w:ascii="Cambria" w:hAnsi="Cambria" w:cs="Arial"/>
                <w:sz w:val="20"/>
                <w:szCs w:val="20"/>
              </w:rPr>
              <w:t>Konsensstärke: 100 %</w:t>
            </w:r>
          </w:p>
        </w:tc>
      </w:tr>
    </w:tbl>
    <w:p w14:paraId="2DA13A4C" w14:textId="66B0B624" w:rsidR="00264D62" w:rsidRPr="00207748" w:rsidRDefault="00264D62" w:rsidP="004454B6">
      <w:pPr>
        <w:spacing w:before="240"/>
        <w:rPr>
          <w:rFonts w:ascii="Cambria" w:hAnsi="Cambria" w:cs="Arial"/>
          <w:sz w:val="20"/>
          <w:szCs w:val="20"/>
        </w:rPr>
      </w:pPr>
      <w:r w:rsidRPr="00207748">
        <w:rPr>
          <w:rFonts w:ascii="Cambria" w:hAnsi="Cambria" w:cs="Arial"/>
          <w:b/>
          <w:bCs/>
          <w:sz w:val="20"/>
          <w:szCs w:val="20"/>
        </w:rPr>
        <w:t xml:space="preserve">Begründung: </w:t>
      </w:r>
      <w:r w:rsidRPr="00207748">
        <w:rPr>
          <w:rFonts w:ascii="Cambria" w:hAnsi="Cambria" w:cs="Arial"/>
          <w:sz w:val="20"/>
          <w:szCs w:val="20"/>
        </w:rPr>
        <w:t>Die überholten Sepsis-Definitionen (Sepsis-1 von 1992 und Sepsis-2 von 2001) beruhten auf dem SIRS-Konzept (Systemisches-Inflammatorisches-Response-Syndrom).</w:t>
      </w:r>
      <w:r w:rsidR="00587AE4" w:rsidRPr="00D60A69">
        <w:rPr>
          <w:rStyle w:val="EndnoteRealZchn"/>
        </w:rPr>
        <w:fldChar w:fldCharType="begin"/>
      </w:r>
      <w:r w:rsidR="00587AE4" w:rsidRPr="00D60A69">
        <w:rPr>
          <w:rStyle w:val="EndnoteRealZchn"/>
        </w:rPr>
        <w:instrText xml:space="preserve"> NOTEREF _Ref30423872 \h </w:instrText>
      </w:r>
      <w:r w:rsidR="00D60A69">
        <w:rPr>
          <w:rStyle w:val="EndnoteRealZchn"/>
        </w:rPr>
        <w:instrText xml:space="preserve"> \* MERGEFORMAT </w:instrText>
      </w:r>
      <w:r w:rsidR="00587AE4" w:rsidRPr="00D60A69">
        <w:rPr>
          <w:rStyle w:val="EndnoteRealZchn"/>
        </w:rPr>
      </w:r>
      <w:r w:rsidR="00587AE4" w:rsidRPr="00D60A69">
        <w:rPr>
          <w:rStyle w:val="EndnoteRealZchn"/>
        </w:rPr>
        <w:fldChar w:fldCharType="separate"/>
      </w:r>
      <w:r w:rsidR="001A283B">
        <w:rPr>
          <w:rStyle w:val="EndnoteRealZchn"/>
        </w:rPr>
        <w:t>1</w:t>
      </w:r>
      <w:r w:rsidR="00587AE4" w:rsidRPr="00D60A69">
        <w:rPr>
          <w:rStyle w:val="EndnoteRealZchn"/>
        </w:rPr>
        <w:fldChar w:fldCharType="end"/>
      </w:r>
      <w:bookmarkStart w:id="319" w:name="_Ref30425334"/>
      <w:r w:rsidR="00D60A69" w:rsidRPr="00D60A69">
        <w:rPr>
          <w:rStyle w:val="EndnoteRealZchn"/>
        </w:rPr>
        <w:t xml:space="preserve"> </w:t>
      </w:r>
      <w:r w:rsidRPr="00D60A69">
        <w:rPr>
          <w:rStyle w:val="EndnoteRealZchn"/>
        </w:rPr>
        <w:endnoteReference w:id="5"/>
      </w:r>
      <w:bookmarkEnd w:id="319"/>
      <w:r w:rsidRPr="00D60A69">
        <w:rPr>
          <w:rStyle w:val="EndnoteRealZchn"/>
        </w:rPr>
        <w:t xml:space="preserve"> </w:t>
      </w:r>
      <w:r w:rsidRPr="00D60A69">
        <w:rPr>
          <w:rStyle w:val="EndnoteRealZchn"/>
        </w:rPr>
        <w:endnoteReference w:id="6"/>
      </w:r>
      <w:r w:rsidRPr="00D60A69">
        <w:rPr>
          <w:rStyle w:val="EndnoteRealZchn"/>
        </w:rPr>
        <w:t xml:space="preserve"> </w:t>
      </w:r>
      <w:r w:rsidRPr="00207748">
        <w:rPr>
          <w:rFonts w:ascii="Cambria" w:hAnsi="Cambria" w:cs="Arial"/>
          <w:sz w:val="20"/>
          <w:szCs w:val="20"/>
        </w:rPr>
        <w:t>Die SIRS-Kriterien, die eine Hypo- (&lt; 36°C) oder Hyperthermie (&gt; 38°C), Tachykardie (&gt;90/min), Tachypnoe (&gt; 20/min) sowie eine Leukozytose &gt; 12.000/µl oder Leukopenie &lt; 4.000/µl und/oder Linksverschiebung &gt; 10% umfassen, sind weder spezifisch noch besonders sensitiv für Infektionen. So berichteten Churpek et al, dass</w:t>
      </w:r>
      <w:r w:rsidRPr="00207748">
        <w:rPr>
          <w:rFonts w:ascii="Cambria" w:hAnsi="Cambria" w:cs="Arial"/>
          <w:sz w:val="20"/>
          <w:szCs w:val="20"/>
          <w:highlight w:val="lightGray"/>
        </w:rPr>
        <w:t xml:space="preserve"> </w:t>
      </w:r>
      <w:r w:rsidRPr="00207748">
        <w:rPr>
          <w:rFonts w:ascii="Cambria" w:hAnsi="Cambria" w:cs="Arial"/>
          <w:sz w:val="20"/>
          <w:szCs w:val="20"/>
        </w:rPr>
        <w:t xml:space="preserve">50 % der Krankenhauspatienten SIRS </w:t>
      </w:r>
      <w:r w:rsidRPr="00207748">
        <w:rPr>
          <w:rFonts w:ascii="Cambria" w:hAnsi="Cambria" w:cs="Arial"/>
          <w:sz w:val="20"/>
          <w:szCs w:val="20"/>
        </w:rPr>
        <w:lastRenderedPageBreak/>
        <w:t>mindestens einmal während ihres Krankenhausaufenthalt aufwiesen, auch wenn viele dieser Patienten keine Infektion hatten und keine antiinfektive Therapie benötigten.</w:t>
      </w:r>
      <w:bookmarkStart w:id="320" w:name="_Ref30425143"/>
      <w:r w:rsidRPr="00D60A69">
        <w:rPr>
          <w:rStyle w:val="EndnoteZchn"/>
        </w:rPr>
        <w:endnoteReference w:id="7"/>
      </w:r>
      <w:bookmarkEnd w:id="320"/>
      <w:r w:rsidRPr="00D60A69">
        <w:rPr>
          <w:rStyle w:val="EndnoteZchn"/>
        </w:rPr>
        <w:t xml:space="preserve"> </w:t>
      </w:r>
      <w:r w:rsidRPr="00207748">
        <w:rPr>
          <w:rFonts w:ascii="Cambria" w:hAnsi="Cambria" w:cs="Arial"/>
          <w:sz w:val="20"/>
          <w:szCs w:val="20"/>
        </w:rPr>
        <w:t>Kaukonen et al haben gezeigt, dass einer von acht Intensivpatienten mit Infektionsverdacht und neu aufgetretenem Organversagen weniger als zwei SIRS-Kriterien erfüllt.</w:t>
      </w:r>
      <w:r w:rsidRPr="00D60A69">
        <w:rPr>
          <w:rStyle w:val="EndnoteRealZchn"/>
        </w:rPr>
        <w:endnoteReference w:id="8"/>
      </w:r>
      <w:r w:rsidRPr="00D60A69">
        <w:rPr>
          <w:rStyle w:val="EndnoteRealZchn"/>
        </w:rPr>
        <w:t xml:space="preserve"> </w:t>
      </w:r>
      <w:r w:rsidRPr="00207748">
        <w:rPr>
          <w:rFonts w:ascii="Cambria" w:hAnsi="Cambria" w:cs="Arial"/>
          <w:sz w:val="20"/>
          <w:szCs w:val="20"/>
        </w:rPr>
        <w:t>Diese Patientengruppe wurde gleichwohl als „septisch“ eingestuft und entsprechend behandelt. Epidemiologische Analysen von Krankenhausdaten, welche bei der Erfüllung von nur zwei SIRS-Kriterien bereits eine Kodierung als Sepsis gestatteten, haben somit zu einer „Verwässerung“ der realen Häufigkeit von und der Sterblichkeit durch Sepsis geführt. So konnten Gaieski et al für die USA zeigen, dass die relative Krankenhaussterblichkeit in den Jahren 2004-2009 zwar zurückging, die absolute Sterblichkeit aber kontinuierlich stieg.</w:t>
      </w:r>
      <w:r w:rsidRPr="00D60A69">
        <w:rPr>
          <w:rStyle w:val="EndnoteRealZchn"/>
        </w:rPr>
        <w:endnoteReference w:id="9"/>
      </w:r>
      <w:r w:rsidRPr="00D60A69">
        <w:rPr>
          <w:rStyle w:val="EndnoteRealZchn"/>
        </w:rPr>
        <w:t xml:space="preserve"> </w:t>
      </w:r>
    </w:p>
    <w:p w14:paraId="1D4652E6" w14:textId="26C21687" w:rsidR="00264D62" w:rsidRPr="00207748" w:rsidRDefault="00264D62" w:rsidP="004454B6">
      <w:pPr>
        <w:rPr>
          <w:rFonts w:ascii="Cambria" w:hAnsi="Cambria" w:cs="Arial"/>
          <w:sz w:val="20"/>
          <w:szCs w:val="20"/>
        </w:rPr>
      </w:pPr>
      <w:r w:rsidRPr="00207748">
        <w:rPr>
          <w:rFonts w:ascii="Cambria" w:hAnsi="Cambria" w:cs="Arial"/>
          <w:sz w:val="20"/>
          <w:szCs w:val="20"/>
        </w:rPr>
        <w:t>Als Reaktion auf diese Inkonsistenzen erarbeitete die Sepsis-3-Task-Force, eine internationale Arbeitsgruppe der European Society of Intensive Care Medicine (ESICM) und der Society of Critical Care Medicine (SCCM), im Februar 2016 die Neudefinition der Sepsis</w:t>
      </w:r>
      <w:r w:rsidR="00587AE4" w:rsidRPr="00D60A69">
        <w:rPr>
          <w:rStyle w:val="EndnoteRealZchn"/>
        </w:rPr>
        <w:fldChar w:fldCharType="begin"/>
      </w:r>
      <w:r w:rsidR="00587AE4" w:rsidRPr="00D60A69">
        <w:rPr>
          <w:rStyle w:val="EndnoteRealZchn"/>
        </w:rPr>
        <w:instrText xml:space="preserve"> NOTEREF _Ref30423872 \h </w:instrText>
      </w:r>
      <w:r w:rsidR="00D60A69">
        <w:rPr>
          <w:rStyle w:val="EndnoteRealZchn"/>
        </w:rPr>
        <w:instrText xml:space="preserve"> \* MERGEFORMAT </w:instrText>
      </w:r>
      <w:r w:rsidR="00587AE4" w:rsidRPr="00D60A69">
        <w:rPr>
          <w:rStyle w:val="EndnoteRealZchn"/>
        </w:rPr>
      </w:r>
      <w:r w:rsidR="00587AE4" w:rsidRPr="00D60A69">
        <w:rPr>
          <w:rStyle w:val="EndnoteRealZchn"/>
        </w:rPr>
        <w:fldChar w:fldCharType="separate"/>
      </w:r>
      <w:r w:rsidR="001A283B">
        <w:rPr>
          <w:rStyle w:val="EndnoteRealZchn"/>
        </w:rPr>
        <w:t>1</w:t>
      </w:r>
      <w:r w:rsidR="00587AE4" w:rsidRPr="00D60A69">
        <w:rPr>
          <w:rStyle w:val="EndnoteRealZchn"/>
        </w:rPr>
        <w:fldChar w:fldCharType="end"/>
      </w:r>
      <w:r w:rsidR="00587AE4" w:rsidRPr="00D60A69">
        <w:rPr>
          <w:rStyle w:val="EndnoteRealZchn"/>
        </w:rPr>
        <w:t xml:space="preserve"> </w:t>
      </w:r>
      <w:r w:rsidR="00D60A69" w:rsidRPr="00D60A69">
        <w:rPr>
          <w:rStyle w:val="EndnoteRealZchn"/>
        </w:rPr>
        <w:fldChar w:fldCharType="begin"/>
      </w:r>
      <w:r w:rsidR="00D60A69" w:rsidRPr="00D60A69">
        <w:rPr>
          <w:rStyle w:val="EndnoteRealZchn"/>
        </w:rPr>
        <w:instrText xml:space="preserve"> NOTEREF _Ref30425334 \h </w:instrText>
      </w:r>
      <w:r w:rsidR="00D60A69">
        <w:rPr>
          <w:rStyle w:val="EndnoteRealZchn"/>
        </w:rPr>
        <w:instrText xml:space="preserve"> \* MERGEFORMAT </w:instrText>
      </w:r>
      <w:r w:rsidR="00D60A69" w:rsidRPr="00D60A69">
        <w:rPr>
          <w:rStyle w:val="EndnoteRealZchn"/>
        </w:rPr>
      </w:r>
      <w:r w:rsidR="00D60A69" w:rsidRPr="00D60A69">
        <w:rPr>
          <w:rStyle w:val="EndnoteRealZchn"/>
        </w:rPr>
        <w:fldChar w:fldCharType="separate"/>
      </w:r>
      <w:r w:rsidR="001A283B">
        <w:rPr>
          <w:rStyle w:val="EndnoteRealZchn"/>
        </w:rPr>
        <w:t>4</w:t>
      </w:r>
      <w:r w:rsidR="00D60A69" w:rsidRPr="00D60A69">
        <w:rPr>
          <w:rStyle w:val="EndnoteRealZchn"/>
        </w:rPr>
        <w:fldChar w:fldCharType="end"/>
      </w:r>
      <w:r w:rsidR="00D60A69" w:rsidRPr="00D60A69">
        <w:rPr>
          <w:rStyle w:val="EndnoteRealZchn"/>
        </w:rPr>
        <w:t xml:space="preserve"> </w:t>
      </w:r>
      <w:r w:rsidR="00D60A69" w:rsidRPr="00D60A69">
        <w:rPr>
          <w:rStyle w:val="EndnoteRealZchn"/>
        </w:rPr>
        <w:fldChar w:fldCharType="begin"/>
      </w:r>
      <w:r w:rsidR="00D60A69" w:rsidRPr="00D60A69">
        <w:rPr>
          <w:rStyle w:val="EndnoteRealZchn"/>
        </w:rPr>
        <w:instrText xml:space="preserve"> NOTEREF _Ref30425143 \h </w:instrText>
      </w:r>
      <w:r w:rsidR="00D60A69">
        <w:rPr>
          <w:rStyle w:val="EndnoteRealZchn"/>
        </w:rPr>
        <w:instrText xml:space="preserve"> \* MERGEFORMAT </w:instrText>
      </w:r>
      <w:r w:rsidR="00D60A69" w:rsidRPr="00D60A69">
        <w:rPr>
          <w:rStyle w:val="EndnoteRealZchn"/>
        </w:rPr>
      </w:r>
      <w:r w:rsidR="00D60A69" w:rsidRPr="00D60A69">
        <w:rPr>
          <w:rStyle w:val="EndnoteRealZchn"/>
        </w:rPr>
        <w:fldChar w:fldCharType="separate"/>
      </w:r>
      <w:r w:rsidR="001A283B">
        <w:rPr>
          <w:rStyle w:val="EndnoteRealZchn"/>
        </w:rPr>
        <w:t>6</w:t>
      </w:r>
      <w:r w:rsidR="00D60A69" w:rsidRPr="00D60A69">
        <w:rPr>
          <w:rStyle w:val="EndnoteRealZchn"/>
        </w:rPr>
        <w:fldChar w:fldCharType="end"/>
      </w:r>
      <w:r w:rsidR="00D60A69" w:rsidRPr="00D60A69">
        <w:rPr>
          <w:rStyle w:val="EndnoteRealZchn"/>
        </w:rPr>
        <w:t xml:space="preserve"> </w:t>
      </w:r>
      <w:r w:rsidR="00D60A69" w:rsidRPr="00D60A69">
        <w:rPr>
          <w:rStyle w:val="EndnoteRealZchn"/>
        </w:rPr>
        <w:endnoteReference w:id="10"/>
      </w:r>
      <w:r w:rsidR="00D60A69">
        <w:rPr>
          <w:rStyle w:val="EndnoteRealZchn"/>
        </w:rPr>
        <w:t xml:space="preserve"> </w:t>
      </w:r>
      <w:r w:rsidR="00D60A69" w:rsidRPr="00D60A69">
        <w:rPr>
          <w:rStyle w:val="EndnoteRealZchn"/>
        </w:rPr>
        <w:endnoteReference w:id="11"/>
      </w:r>
      <w:r w:rsidR="00D60A69" w:rsidRPr="00D60A69">
        <w:rPr>
          <w:rStyle w:val="EndnoteRealZchn"/>
        </w:rPr>
        <w:t xml:space="preserve"> .</w:t>
      </w:r>
      <w:r w:rsidR="00D60A69" w:rsidRPr="00D60A69">
        <w:rPr>
          <w:rStyle w:val="EndnoteRealZchn"/>
        </w:rPr>
        <w:endnoteReference w:id="12"/>
      </w:r>
      <w:r w:rsidR="00D60A69" w:rsidRPr="00D60A69">
        <w:rPr>
          <w:rStyle w:val="EndnoteRealZchn"/>
        </w:rPr>
        <w:t xml:space="preserve"> </w:t>
      </w:r>
      <w:r w:rsidRPr="00207748">
        <w:rPr>
          <w:rFonts w:ascii="Cambria" w:hAnsi="Cambria" w:cs="Arial"/>
          <w:sz w:val="20"/>
          <w:szCs w:val="20"/>
        </w:rPr>
        <w:t xml:space="preserve">Erstmals wurde die Sepsis im gesamten Krankenhaus, also auch auf Normalstationen und in Notaufnahmen, berücksichtigt. Sepsis wird demnach immer durch eine akut lebensbedrohliche weil dysregulierte Wirtsreaktion (Organdysfunktion) auf eine Infektion verursacht. Der Begriff der „schweren“ Sepsis entfällt, weil es eine „leichte“ Sepsis in dem neuen Konzept nicht gibt. Die Autoren schlugen vor, stattdessen folgerichtig von einer „Infektion“ zu sprechen. Basierend auf routinemäßig erhobenen klinischen Daten identifizierten die Autoren robuste Risikofaktoren, welche über das Risiko zur Baseline hinaus den Übergang von einer lokal begrenzten Infektion mit geringem Sterberisiko zu einer Sepsis mit hohem Sterberisiko anzeigen. Hierzu waren geeignete statistische Verfahren erforderlich, da es gegenwärtig keinen Goldstandard für die Diagnose einer Sepsis gibt. Nur wenn ein Goldstandard existiert, ist die Berechnung von Sensitivität und Spezifität auf Grundlage folgender Zuordnungen </w:t>
      </w:r>
      <w:r w:rsidRPr="00207748">
        <w:rPr>
          <w:rFonts w:ascii="Cambria" w:hAnsi="Cambria" w:cs="Arial"/>
          <w:sz w:val="20"/>
          <w:szCs w:val="20"/>
        </w:rPr>
        <w:lastRenderedPageBreak/>
        <w:t xml:space="preserve">möglich: richtig positive (Fälle mit Sepsis), richtig negative (Kontrollen ohne Sepsis) bzw. falsch positive und falsch negative. Stattdessen musste die Aussagekraft eines Tests unter verschiedenen Aspekten der Validität, Reliabilität und Nützlichkeit beurteilt werden. Aus den ermittelten Risikofaktoren wurde der qSOFA (Quick Sequential Organ Failure Assessment) -Score abgeleitet, dessen Stärke vor allem in der prädiktiven Validität liegt. Wichtigster Outcome-Parameter ist die Krankenhaussterblichkeit, weil die Sepsis im Gegensatz zu einer lokal begrenzten Infektion ohne Organdysfunktion immer lebensbedrohlich ist. Da allerdings die Sterblichkeit nicht immer durch eine Sepsis verursacht sein muss, wurden neben der Area Under the Receiver Operating Characteristic Curve (AUROC) auch die Änderungen innerhalb jedes Dezils, am baseline Risiko zu versterben, erfasst. </w:t>
      </w:r>
    </w:p>
    <w:p w14:paraId="2DE6FA80" w14:textId="4A857DFC" w:rsidR="002B1061" w:rsidRDefault="00264D62" w:rsidP="004454B6">
      <w:pPr>
        <w:rPr>
          <w:rFonts w:ascii="Cambria" w:hAnsi="Cambria" w:cs="Arial"/>
          <w:sz w:val="20"/>
          <w:szCs w:val="20"/>
        </w:rPr>
      </w:pPr>
      <w:r w:rsidRPr="00207748">
        <w:rPr>
          <w:rFonts w:ascii="Cambria" w:hAnsi="Cambria" w:cs="Arial"/>
          <w:sz w:val="20"/>
          <w:szCs w:val="20"/>
        </w:rPr>
        <w:t>Für die Feststellung der Sepsis-assoziierten Organdysfunktion wird eine Veränderung des SOFA-Scores um ≥ 2 Punkte vorgeschlagen. Ein SOFA-Score von ≥ 2 entspricht einem Letalitätsrisiko von über 10 % bei stationären Patienten außerhalb der Intensivstation (ITS), die eine Infektion haben. Der SOFA-Score, der sechs Organsysteme nach vier Schweregraden der Organdysfunktion einstuft und 0 bis 24 Punkte umfasst, ist jedoch aufwändig zu ermitteln und daher in der klinischen Routine außerhalb der ITS zum bettseitigen Screening ungeeignet. Daher hat die Sepsis-3-Arbeitsgruppe den qSOFA entwickelt, um Patienten mit hohem Sepsis-Risiko schneller zu identifizieren.</w:t>
      </w:r>
    </w:p>
    <w:p w14:paraId="7E3F0E8D" w14:textId="77777777" w:rsidR="002B1061" w:rsidRDefault="002B1061">
      <w:pPr>
        <w:spacing w:after="0" w:line="240" w:lineRule="auto"/>
        <w:rPr>
          <w:rFonts w:ascii="Cambria" w:hAnsi="Cambria" w:cs="Arial"/>
          <w:sz w:val="20"/>
          <w:szCs w:val="20"/>
        </w:rPr>
      </w:pPr>
      <w:r>
        <w:rPr>
          <w:rFonts w:ascii="Cambria" w:hAnsi="Cambria" w:cs="Arial"/>
          <w:sz w:val="20"/>
          <w:szCs w:val="20"/>
        </w:rPr>
        <w:br w:type="page"/>
      </w:r>
    </w:p>
    <w:tbl>
      <w:tblPr>
        <w:tblStyle w:val="TableNormal2"/>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38"/>
        <w:gridCol w:w="1418"/>
        <w:gridCol w:w="907"/>
      </w:tblGrid>
      <w:tr w:rsidR="00264D62" w:rsidRPr="00207748" w14:paraId="4F55FC2A" w14:textId="77777777" w:rsidTr="002B1061">
        <w:trPr>
          <w:trHeight w:val="282"/>
        </w:trPr>
        <w:tc>
          <w:tcPr>
            <w:tcW w:w="1838" w:type="dxa"/>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1124DC24" w14:textId="77777777" w:rsidR="00264D62" w:rsidRPr="00207748" w:rsidRDefault="00264D62" w:rsidP="004454B6">
            <w:pPr>
              <w:spacing w:after="0"/>
              <w:rPr>
                <w:rFonts w:ascii="Cambria" w:hAnsi="Cambria" w:cs="Arial"/>
                <w:sz w:val="20"/>
                <w:szCs w:val="20"/>
              </w:rPr>
            </w:pPr>
            <w:r w:rsidRPr="00207748">
              <w:rPr>
                <w:rFonts w:ascii="Cambria" w:hAnsi="Cambria" w:cs="Arial"/>
                <w:b/>
                <w:bCs/>
                <w:sz w:val="20"/>
                <w:szCs w:val="20"/>
              </w:rPr>
              <w:lastRenderedPageBreak/>
              <w:t>Definition 2</w:t>
            </w:r>
          </w:p>
        </w:tc>
        <w:tc>
          <w:tcPr>
            <w:tcW w:w="1418" w:type="dxa"/>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4E1E0A2C" w14:textId="77777777" w:rsidR="00264D62" w:rsidRPr="00207748" w:rsidRDefault="00264D62" w:rsidP="004454B6">
            <w:pPr>
              <w:spacing w:after="0"/>
              <w:rPr>
                <w:rFonts w:ascii="Cambria" w:hAnsi="Cambria" w:cs="Arial"/>
                <w:sz w:val="20"/>
                <w:szCs w:val="20"/>
              </w:rPr>
            </w:pPr>
            <w:r w:rsidRPr="00207748">
              <w:rPr>
                <w:rFonts w:ascii="Cambria" w:hAnsi="Cambria" w:cs="Arial"/>
                <w:b/>
                <w:bCs/>
                <w:sz w:val="20"/>
                <w:szCs w:val="20"/>
              </w:rPr>
              <w:t>Statement</w:t>
            </w:r>
          </w:p>
        </w:tc>
        <w:tc>
          <w:tcPr>
            <w:tcW w:w="907" w:type="dxa"/>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7179238E" w14:textId="77777777" w:rsidR="00264D62" w:rsidRPr="00207748" w:rsidRDefault="00264D62" w:rsidP="004454B6">
            <w:pPr>
              <w:spacing w:after="0"/>
              <w:rPr>
                <w:rFonts w:ascii="Cambria" w:hAnsi="Cambria" w:cs="Arial"/>
                <w:sz w:val="20"/>
                <w:szCs w:val="20"/>
              </w:rPr>
            </w:pPr>
            <w:r w:rsidRPr="00207748">
              <w:rPr>
                <w:rFonts w:ascii="Cambria" w:hAnsi="Cambria" w:cs="Arial"/>
                <w:b/>
                <w:bCs/>
                <w:sz w:val="20"/>
                <w:szCs w:val="20"/>
              </w:rPr>
              <w:t>2018</w:t>
            </w:r>
          </w:p>
        </w:tc>
      </w:tr>
      <w:tr w:rsidR="00264D62" w:rsidRPr="00207748" w14:paraId="16F80E74" w14:textId="77777777" w:rsidTr="002B1061">
        <w:trPr>
          <w:trHeight w:val="4482"/>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7C195" w14:textId="77777777" w:rsidR="00264D62" w:rsidRPr="00207748" w:rsidRDefault="00264D62" w:rsidP="004454B6">
            <w:pPr>
              <w:spacing w:after="0"/>
              <w:rPr>
                <w:rFonts w:ascii="Cambria" w:hAnsi="Cambria" w:cs="Arial"/>
                <w:sz w:val="20"/>
                <w:szCs w:val="20"/>
              </w:rPr>
            </w:pPr>
            <w:r w:rsidRPr="00207748">
              <w:rPr>
                <w:rFonts w:ascii="Cambria" w:hAnsi="Cambria" w:cs="Arial"/>
                <w:b/>
                <w:bCs/>
                <w:sz w:val="20"/>
                <w:szCs w:val="20"/>
              </w:rPr>
              <w:t>Expertenkonsens</w:t>
            </w:r>
          </w:p>
        </w:tc>
        <w:tc>
          <w:tcPr>
            <w:tcW w:w="232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A414E" w14:textId="204C8B4B" w:rsidR="00264D62" w:rsidRPr="00207748" w:rsidRDefault="00264D62" w:rsidP="004454B6">
            <w:pPr>
              <w:spacing w:after="0"/>
              <w:rPr>
                <w:rFonts w:ascii="Cambria" w:hAnsi="Cambria" w:cs="Arial"/>
                <w:sz w:val="20"/>
                <w:szCs w:val="20"/>
              </w:rPr>
            </w:pPr>
            <w:r w:rsidRPr="00207748">
              <w:rPr>
                <w:rFonts w:ascii="Cambria" w:hAnsi="Cambria" w:cs="Arial"/>
                <w:b/>
                <w:bCs/>
                <w:sz w:val="20"/>
                <w:szCs w:val="20"/>
              </w:rPr>
              <w:t>Ein septischer Schock ist definiert als eine trotz adäquater Volumentherapie persistierende arterielle Hypotension mit der Notwendigkeit einer Therapie mit Vasopressoren, um einen mittleren arteriellen Blutdruck von ≥ 65 mmHg zu erreichen. Gleichzeitig muss der Laktatwert im Serum &gt; 2 mmol/l betragen</w:t>
            </w:r>
            <w:r w:rsidR="004454B6" w:rsidRPr="00207748">
              <w:rPr>
                <w:rFonts w:ascii="Cambria" w:hAnsi="Cambria" w:cs="Arial"/>
                <w:b/>
                <w:bCs/>
                <w:sz w:val="20"/>
                <w:szCs w:val="20"/>
              </w:rPr>
              <w:t>.</w:t>
            </w:r>
            <w:r w:rsidRPr="00207748">
              <w:rPr>
                <w:rFonts w:ascii="Cambria" w:hAnsi="Cambria" w:cs="Arial"/>
                <w:b/>
                <w:bCs/>
                <w:sz w:val="20"/>
                <w:szCs w:val="20"/>
              </w:rPr>
              <w:t xml:space="preserve"> (Abbildung 1</w:t>
            </w:r>
            <w:r w:rsidR="002F33B3" w:rsidRPr="00207748">
              <w:rPr>
                <w:rFonts w:ascii="Cambria" w:hAnsi="Cambria" w:cs="Arial"/>
                <w:b/>
                <w:bCs/>
                <w:sz w:val="20"/>
                <w:szCs w:val="20"/>
              </w:rPr>
              <w:t>, Anhang</w:t>
            </w:r>
            <w:r w:rsidR="004454B6" w:rsidRPr="00207748">
              <w:rPr>
                <w:rFonts w:ascii="Cambria" w:hAnsi="Cambria" w:cs="Arial"/>
                <w:b/>
                <w:bCs/>
                <w:sz w:val="20"/>
                <w:szCs w:val="20"/>
              </w:rPr>
              <w:t>)</w:t>
            </w:r>
          </w:p>
        </w:tc>
      </w:tr>
      <w:tr w:rsidR="00264D62" w:rsidRPr="00207748" w14:paraId="4D58C491" w14:textId="77777777" w:rsidTr="002B1061">
        <w:trPr>
          <w:trHeight w:val="651"/>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Pr>
          <w:p w14:paraId="454F25B2" w14:textId="77777777" w:rsidR="00264D62" w:rsidRPr="00207748" w:rsidRDefault="00264D62" w:rsidP="004454B6">
            <w:pPr>
              <w:spacing w:after="0"/>
              <w:rPr>
                <w:rFonts w:ascii="Cambria" w:hAnsi="Cambria" w:cs="Arial"/>
                <w:sz w:val="20"/>
                <w:szCs w:val="20"/>
              </w:rPr>
            </w:pPr>
          </w:p>
        </w:tc>
        <w:tc>
          <w:tcPr>
            <w:tcW w:w="232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6084A" w14:textId="67337AD6" w:rsidR="00264D62" w:rsidRPr="00207748" w:rsidRDefault="00264D62" w:rsidP="004454B6">
            <w:pPr>
              <w:spacing w:after="0"/>
              <w:rPr>
                <w:rFonts w:ascii="Cambria" w:hAnsi="Cambria" w:cs="Arial"/>
                <w:sz w:val="20"/>
                <w:szCs w:val="20"/>
              </w:rPr>
            </w:pPr>
            <w:r w:rsidRPr="00207748">
              <w:rPr>
                <w:rFonts w:ascii="Cambria" w:hAnsi="Cambria" w:cs="Arial"/>
                <w:b/>
                <w:bCs/>
                <w:sz w:val="20"/>
                <w:szCs w:val="20"/>
              </w:rPr>
              <w:t>Zusätzliche DSG-Leitlinienstellung</w:t>
            </w:r>
            <w:r w:rsidR="00B26F79">
              <w:rPr>
                <w:rFonts w:ascii="Cambria" w:hAnsi="Cambria" w:cs="Arial"/>
                <w:b/>
                <w:bCs/>
                <w:sz w:val="20"/>
                <w:szCs w:val="20"/>
              </w:rPr>
              <w:t>-</w:t>
            </w:r>
            <w:r w:rsidRPr="00207748">
              <w:rPr>
                <w:rFonts w:ascii="Cambria" w:hAnsi="Cambria" w:cs="Arial"/>
                <w:b/>
                <w:bCs/>
                <w:sz w:val="20"/>
                <w:szCs w:val="20"/>
              </w:rPr>
              <w:t>nahme</w:t>
            </w:r>
          </w:p>
        </w:tc>
      </w:tr>
      <w:tr w:rsidR="00264D62" w:rsidRPr="00207748" w14:paraId="1784B8AC" w14:textId="77777777" w:rsidTr="002B1061">
        <w:trPr>
          <w:trHeight w:val="282"/>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9C5AA" w14:textId="77777777" w:rsidR="00264D62" w:rsidRPr="00207748" w:rsidRDefault="00264D62" w:rsidP="004454B6">
            <w:pPr>
              <w:spacing w:after="0"/>
              <w:rPr>
                <w:rFonts w:ascii="Cambria" w:hAnsi="Cambria" w:cs="Arial"/>
                <w:sz w:val="20"/>
                <w:szCs w:val="20"/>
              </w:rPr>
            </w:pPr>
          </w:p>
        </w:tc>
        <w:tc>
          <w:tcPr>
            <w:tcW w:w="232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1068B" w14:textId="77777777" w:rsidR="00264D62" w:rsidRPr="00207748" w:rsidRDefault="00264D62" w:rsidP="004454B6">
            <w:pPr>
              <w:spacing w:after="0"/>
              <w:rPr>
                <w:rFonts w:ascii="Cambria" w:hAnsi="Cambria" w:cs="Arial"/>
                <w:sz w:val="20"/>
                <w:szCs w:val="20"/>
              </w:rPr>
            </w:pPr>
            <w:r w:rsidRPr="00207748">
              <w:rPr>
                <w:rFonts w:ascii="Cambria" w:hAnsi="Cambria" w:cs="Arial"/>
                <w:sz w:val="20"/>
                <w:szCs w:val="20"/>
              </w:rPr>
              <w:t>Konsensstärke: 100 %</w:t>
            </w:r>
          </w:p>
        </w:tc>
      </w:tr>
    </w:tbl>
    <w:p w14:paraId="59AD5E79" w14:textId="77777777" w:rsidR="00264D62" w:rsidRPr="00207748" w:rsidRDefault="00264D62" w:rsidP="004454B6">
      <w:pPr>
        <w:widowControl w:val="0"/>
        <w:rPr>
          <w:rFonts w:ascii="Cambria" w:eastAsia="Arial" w:hAnsi="Cambria" w:cs="Arial"/>
          <w:iCs/>
          <w:sz w:val="20"/>
          <w:szCs w:val="20"/>
        </w:rPr>
      </w:pPr>
    </w:p>
    <w:p w14:paraId="6B0E2670" w14:textId="6BA83A10" w:rsidR="003B1537" w:rsidRDefault="008027E6" w:rsidP="004454B6">
      <w:pPr>
        <w:rPr>
          <w:rFonts w:ascii="Cambria" w:hAnsi="Cambria" w:cs="Arial"/>
          <w:sz w:val="20"/>
          <w:szCs w:val="20"/>
        </w:rPr>
      </w:pPr>
      <w:r w:rsidRPr="00E15D93">
        <w:rPr>
          <w:rFonts w:ascii="Cambria" w:hAnsi="Cambria" w:cs="Arial"/>
          <w:b/>
          <w:sz w:val="20"/>
          <w:szCs w:val="20"/>
        </w:rPr>
        <w:t>Begründun</w:t>
      </w:r>
      <w:r w:rsidR="003B1537" w:rsidRPr="00E15D93">
        <w:rPr>
          <w:rFonts w:ascii="Cambria" w:hAnsi="Cambria" w:cs="Arial"/>
          <w:b/>
          <w:sz w:val="20"/>
          <w:szCs w:val="20"/>
        </w:rPr>
        <w:t>g</w:t>
      </w:r>
      <w:r w:rsidR="003B1537" w:rsidRPr="00207748">
        <w:rPr>
          <w:rFonts w:ascii="Cambria" w:hAnsi="Cambria" w:cs="Arial"/>
          <w:sz w:val="20"/>
          <w:szCs w:val="20"/>
        </w:rPr>
        <w:t>: Ein systematisches Review, das die Operationalisierung von gegenwärtigen Definitionen des septischen Schocks untersuchte, zeigte eine erhebliche Heterogenität der berichteten Sterblichkeitsraten auf. Diese Heterogenität resultierte u.a. aus Unterschieden in den ausgewählten klinischen Variablen (unterschiedliche Cutoffs für den systolischen oder mittleren Blutdruck, unterschiedliche Level von Hyperlaktatämie und Vasopressor-Dosis). Unter Verwendung der o.g. Definition (mittlerer arterieller Blutdruck von ≥ 65 mmHg UND Laktatwert im Serum &gt; 2 mmol/l) wurden in grossen klinischen Kohorten, Notaufnahmen und Normalstationen Krankenhaussterblichkeitsraten von mehr als 40% festgestellt.</w:t>
      </w:r>
    </w:p>
    <w:p w14:paraId="3702D1B6" w14:textId="441DF828" w:rsidR="00B26F79" w:rsidRPr="00207748" w:rsidRDefault="00B26F79" w:rsidP="004454B6">
      <w:pPr>
        <w:rPr>
          <w:rFonts w:ascii="Cambria" w:hAnsi="Cambria" w:cs="Arial"/>
          <w:sz w:val="20"/>
          <w:szCs w:val="20"/>
        </w:rPr>
      </w:pPr>
    </w:p>
    <w:p w14:paraId="18E598C4" w14:textId="77777777" w:rsidR="00E11869" w:rsidRPr="00207748" w:rsidRDefault="00447357" w:rsidP="004454B6">
      <w:pPr>
        <w:pStyle w:val="berschrift1"/>
        <w:numPr>
          <w:ilvl w:val="0"/>
          <w:numId w:val="155"/>
        </w:numPr>
      </w:pPr>
      <w:bookmarkStart w:id="321" w:name="_Toc25845104"/>
      <w:bookmarkStart w:id="322" w:name="_Toc437861453"/>
      <w:bookmarkStart w:id="323" w:name="_Toc31278491"/>
      <w:r w:rsidRPr="00207748">
        <w:lastRenderedPageBreak/>
        <w:t>Empfehlungen</w:t>
      </w:r>
      <w:bookmarkEnd w:id="321"/>
      <w:bookmarkEnd w:id="322"/>
      <w:bookmarkEnd w:id="323"/>
    </w:p>
    <w:p w14:paraId="1AAC8F22" w14:textId="7936652C" w:rsidR="004454B6" w:rsidRPr="00182D07" w:rsidRDefault="00447357" w:rsidP="00207748">
      <w:pPr>
        <w:pStyle w:val="berschrift2"/>
        <w:rPr>
          <w:b w:val="0"/>
        </w:rPr>
      </w:pPr>
      <w:bookmarkStart w:id="324" w:name="_Toc25845106"/>
      <w:bookmarkStart w:id="325" w:name="_Toc437861454"/>
      <w:bookmarkStart w:id="326" w:name="_Toc31278492"/>
      <w:r w:rsidRPr="00182D07">
        <w:t>Prävention</w:t>
      </w:r>
      <w:bookmarkEnd w:id="324"/>
      <w:r w:rsidR="008962B5" w:rsidRPr="00182D07">
        <w:t xml:space="preserve"> der Sepsis</w:t>
      </w:r>
      <w:bookmarkEnd w:id="325"/>
      <w:bookmarkEnd w:id="326"/>
    </w:p>
    <w:p w14:paraId="36D4442B" w14:textId="77777777" w:rsidR="00207748" w:rsidRPr="00207748" w:rsidRDefault="00207748" w:rsidP="00207748">
      <w:pPr>
        <w:pStyle w:val="KeinLeerraum"/>
      </w:pPr>
    </w:p>
    <w:p w14:paraId="10EB2320" w14:textId="77777777" w:rsidR="00E11869" w:rsidRPr="00207748" w:rsidRDefault="00447357" w:rsidP="004454B6">
      <w:pPr>
        <w:rPr>
          <w:rFonts w:ascii="Cambria" w:eastAsia="Arial" w:hAnsi="Cambria" w:cs="Arial"/>
          <w:sz w:val="20"/>
          <w:szCs w:val="20"/>
        </w:rPr>
      </w:pPr>
      <w:r w:rsidRPr="00207748">
        <w:rPr>
          <w:rFonts w:ascii="Cambria" w:hAnsi="Cambria" w:cs="Arial"/>
          <w:sz w:val="20"/>
          <w:szCs w:val="20"/>
        </w:rPr>
        <w:t>D</w:t>
      </w:r>
      <w:r w:rsidR="00524587" w:rsidRPr="00207748">
        <w:rPr>
          <w:rFonts w:ascii="Cambria" w:hAnsi="Cambria" w:cs="Arial"/>
          <w:sz w:val="20"/>
          <w:szCs w:val="20"/>
        </w:rPr>
        <w:t>ie</w:t>
      </w:r>
      <w:r w:rsidRPr="00207748">
        <w:rPr>
          <w:rFonts w:ascii="Cambria" w:hAnsi="Cambria" w:cs="Arial"/>
          <w:sz w:val="20"/>
          <w:szCs w:val="20"/>
        </w:rPr>
        <w:t xml:space="preserve"> Leitlinien</w:t>
      </w:r>
      <w:r w:rsidR="00524587" w:rsidRPr="00207748">
        <w:rPr>
          <w:rFonts w:ascii="Cambria" w:hAnsi="Cambria" w:cs="Arial"/>
          <w:sz w:val="20"/>
          <w:szCs w:val="20"/>
        </w:rPr>
        <w:t>kommission</w:t>
      </w:r>
      <w:r w:rsidRPr="00207748">
        <w:rPr>
          <w:rFonts w:ascii="Cambria" w:hAnsi="Cambria" w:cs="Arial"/>
          <w:sz w:val="20"/>
          <w:szCs w:val="20"/>
        </w:rPr>
        <w:t xml:space="preserve"> hat einvernehmlich entschieden, der Prävention nosokomialer Infektionen wegen ihrer großen Bedeutung ein eigenes Kapitel zu widmen. In den Empfehlung</w:t>
      </w:r>
      <w:r w:rsidR="00CB3020" w:rsidRPr="00207748">
        <w:rPr>
          <w:rFonts w:ascii="Cambria" w:hAnsi="Cambria" w:cs="Arial"/>
          <w:sz w:val="20"/>
          <w:szCs w:val="20"/>
        </w:rPr>
        <w:t>en der SSC</w:t>
      </w:r>
      <w:r w:rsidRPr="00207748">
        <w:rPr>
          <w:rFonts w:ascii="Cambria" w:hAnsi="Cambria" w:cs="Arial"/>
          <w:sz w:val="20"/>
          <w:szCs w:val="20"/>
        </w:rPr>
        <w:t xml:space="preserve"> werden Maßnahmen zur Prävention von nosokomialen Infektionen nicht separat aufgegriffen.</w:t>
      </w:r>
    </w:p>
    <w:p w14:paraId="27AF4311" w14:textId="77777777" w:rsidR="00E11869" w:rsidRPr="00207748" w:rsidRDefault="00447357" w:rsidP="004454B6">
      <w:pPr>
        <w:rPr>
          <w:rFonts w:ascii="Cambria" w:eastAsia="Arial" w:hAnsi="Cambria" w:cs="Arial"/>
          <w:sz w:val="20"/>
          <w:szCs w:val="20"/>
        </w:rPr>
      </w:pPr>
      <w:r w:rsidRPr="00207748">
        <w:rPr>
          <w:rFonts w:ascii="Cambria" w:hAnsi="Cambria" w:cs="Arial"/>
          <w:sz w:val="20"/>
          <w:szCs w:val="20"/>
        </w:rPr>
        <w:t>Zur Prävention von nosokomialen Infektionen, die zu einer Sepsis führen können, gibt es diverse spezifische Leitlinien und Empfehlungen. Für Deutschland sind hier insbesondere die Empfehlungen der Kommission für Krankenhaushygiene und Infektionsprävention (KRINKO) zu erwähnen. Es wurde beschlossen, an dieser Stelle nur zu den wichtigsten Kernkomponenten der Infektionsprävention Stellung zu beziehen.</w:t>
      </w:r>
    </w:p>
    <w:p w14:paraId="09AC9EBF" w14:textId="77777777" w:rsidR="00E11869" w:rsidRPr="00207748" w:rsidRDefault="00447357" w:rsidP="004454B6">
      <w:pPr>
        <w:rPr>
          <w:rFonts w:ascii="Cambria" w:eastAsia="Arial" w:hAnsi="Cambria" w:cs="Arial"/>
          <w:sz w:val="20"/>
          <w:szCs w:val="20"/>
        </w:rPr>
      </w:pPr>
      <w:r w:rsidRPr="00207748">
        <w:rPr>
          <w:rFonts w:ascii="Cambria" w:hAnsi="Cambria" w:cs="Arial"/>
          <w:sz w:val="20"/>
          <w:szCs w:val="20"/>
        </w:rPr>
        <w:t>Die Weltgesundheitsorganisation (World Health Organisation, WHO) veröffentlichte 2017 Leitlinien zu den Kernkomponenten der Infektionsprävention</w:t>
      </w:r>
      <w:r w:rsidR="00E04BCC" w:rsidRPr="00207748">
        <w:rPr>
          <w:rFonts w:ascii="Cambria" w:hAnsi="Cambria" w:cs="Arial"/>
          <w:sz w:val="20"/>
          <w:szCs w:val="20"/>
        </w:rPr>
        <w:t>.</w:t>
      </w:r>
      <w:bookmarkStart w:id="327" w:name="_Ref30425767"/>
      <w:r w:rsidRPr="00207748">
        <w:rPr>
          <w:rFonts w:ascii="Cambria" w:eastAsia="Arial" w:hAnsi="Cambria" w:cs="Arial"/>
          <w:sz w:val="20"/>
          <w:szCs w:val="20"/>
          <w:vertAlign w:val="superscript"/>
        </w:rPr>
        <w:endnoteReference w:id="13"/>
      </w:r>
      <w:bookmarkEnd w:id="327"/>
      <w:r w:rsidRPr="00207748">
        <w:rPr>
          <w:rFonts w:ascii="Cambria" w:hAnsi="Cambria" w:cs="Arial"/>
          <w:sz w:val="20"/>
          <w:szCs w:val="20"/>
        </w:rPr>
        <w:t xml:space="preserve"> Diese Leitlinien wurden nach den Anforderungen des WHO-Handbuches für die Leitlinien</w:t>
      </w:r>
      <w:r w:rsidR="00EC3DBA" w:rsidRPr="00207748">
        <w:rPr>
          <w:rFonts w:ascii="Cambria" w:hAnsi="Cambria" w:cs="Arial"/>
          <w:sz w:val="20"/>
          <w:szCs w:val="20"/>
        </w:rPr>
        <w:t>e</w:t>
      </w:r>
      <w:r w:rsidRPr="00207748">
        <w:rPr>
          <w:rFonts w:ascii="Cambria" w:hAnsi="Cambria" w:cs="Arial"/>
          <w:sz w:val="20"/>
          <w:szCs w:val="20"/>
        </w:rPr>
        <w:t xml:space="preserve">ntwicklung erarbeitet </w:t>
      </w:r>
      <w:r w:rsidRPr="00207748">
        <w:rPr>
          <w:rFonts w:ascii="Cambria" w:eastAsia="Arial" w:hAnsi="Cambria" w:cs="Arial"/>
          <w:sz w:val="20"/>
          <w:szCs w:val="20"/>
          <w:vertAlign w:val="superscript"/>
        </w:rPr>
        <w:endnoteReference w:id="14"/>
      </w:r>
      <w:r w:rsidRPr="00207748">
        <w:rPr>
          <w:rFonts w:ascii="Cambria" w:hAnsi="Cambria" w:cs="Arial"/>
          <w:sz w:val="20"/>
          <w:szCs w:val="20"/>
        </w:rPr>
        <w:t xml:space="preserve"> und waren eine Weiterentwicklung der </w:t>
      </w:r>
      <w:r w:rsidR="00EC3DBA" w:rsidRPr="00207748">
        <w:rPr>
          <w:rFonts w:ascii="Cambria" w:hAnsi="Cambria" w:cs="Arial"/>
          <w:sz w:val="20"/>
          <w:szCs w:val="20"/>
        </w:rPr>
        <w:t>e</w:t>
      </w:r>
      <w:r w:rsidRPr="00207748">
        <w:rPr>
          <w:rFonts w:ascii="Cambria" w:hAnsi="Cambria" w:cs="Arial"/>
          <w:sz w:val="20"/>
          <w:szCs w:val="20"/>
        </w:rPr>
        <w:t>videnzbasierten Leitlinien der SIGHT-Gruppe, die Fachliteratur mit Publikationsdatum von 1</w:t>
      </w:r>
      <w:r w:rsidR="002F45C9" w:rsidRPr="00207748">
        <w:rPr>
          <w:rFonts w:ascii="Cambria" w:hAnsi="Cambria" w:cs="Arial"/>
          <w:sz w:val="20"/>
          <w:szCs w:val="20"/>
        </w:rPr>
        <w:t>996 bis 2012 berücksichtigt</w:t>
      </w:r>
      <w:r w:rsidRPr="00207748">
        <w:rPr>
          <w:rFonts w:ascii="Cambria" w:hAnsi="Cambria" w:cs="Arial"/>
          <w:sz w:val="20"/>
          <w:szCs w:val="20"/>
        </w:rPr>
        <w:t>e.</w:t>
      </w:r>
      <w:r w:rsidRPr="00207748">
        <w:rPr>
          <w:rFonts w:ascii="Cambria" w:eastAsia="Arial" w:hAnsi="Cambria" w:cs="Arial"/>
          <w:sz w:val="20"/>
          <w:szCs w:val="20"/>
          <w:vertAlign w:val="superscript"/>
        </w:rPr>
        <w:endnoteReference w:id="15"/>
      </w:r>
      <w:r w:rsidRPr="00207748">
        <w:rPr>
          <w:rFonts w:ascii="Cambria" w:hAnsi="Cambria" w:cs="Arial"/>
          <w:sz w:val="20"/>
          <w:szCs w:val="20"/>
        </w:rPr>
        <w:t xml:space="preserve"> Durch die WHO-Arbeitsgruppe wurden entsprechende PICO-Fragen formuliert, und es wurde ein weiteres systematisches Review durchgeführt, das Studien bis 2015 hinzuzog.</w:t>
      </w:r>
      <w:r w:rsidRPr="00207748">
        <w:rPr>
          <w:rFonts w:ascii="Cambria" w:eastAsia="Arial" w:hAnsi="Cambria" w:cs="Arial"/>
          <w:sz w:val="20"/>
          <w:szCs w:val="20"/>
          <w:vertAlign w:val="superscript"/>
        </w:rPr>
        <w:endnoteReference w:id="16"/>
      </w:r>
      <w:r w:rsidRPr="00207748">
        <w:rPr>
          <w:rFonts w:ascii="Cambria" w:hAnsi="Cambria" w:cs="Arial"/>
          <w:sz w:val="20"/>
          <w:szCs w:val="20"/>
        </w:rPr>
        <w:t xml:space="preserve"> Zur Bewertung der Studien wurden die für die Cochrane</w:t>
      </w:r>
      <w:r w:rsidR="00CB3020" w:rsidRPr="00207748">
        <w:rPr>
          <w:rFonts w:ascii="Cambria" w:hAnsi="Cambria" w:cs="Arial"/>
          <w:sz w:val="20"/>
          <w:szCs w:val="20"/>
        </w:rPr>
        <w:t>-</w:t>
      </w:r>
      <w:r w:rsidRPr="00207748">
        <w:rPr>
          <w:rFonts w:ascii="Cambria" w:hAnsi="Cambria" w:cs="Arial"/>
          <w:sz w:val="20"/>
          <w:szCs w:val="20"/>
        </w:rPr>
        <w:t>EPOC-Reviews entwickelten Kriterien angewendet.</w:t>
      </w:r>
      <w:r w:rsidRPr="00207748">
        <w:rPr>
          <w:rFonts w:ascii="Cambria" w:eastAsia="Arial" w:hAnsi="Cambria" w:cs="Arial"/>
          <w:sz w:val="20"/>
          <w:szCs w:val="20"/>
          <w:vertAlign w:val="superscript"/>
        </w:rPr>
        <w:endnoteReference w:id="17"/>
      </w:r>
      <w:r w:rsidRPr="00207748">
        <w:rPr>
          <w:rFonts w:ascii="Cambria" w:hAnsi="Cambria" w:cs="Arial"/>
          <w:sz w:val="20"/>
          <w:szCs w:val="20"/>
        </w:rPr>
        <w:t xml:space="preserve"> </w:t>
      </w:r>
    </w:p>
    <w:p w14:paraId="3E52C85F" w14:textId="77777777" w:rsidR="00E11869" w:rsidRPr="00207748" w:rsidRDefault="00447357" w:rsidP="004454B6">
      <w:pPr>
        <w:rPr>
          <w:rFonts w:ascii="Cambria" w:hAnsi="Cambria" w:cs="Arial"/>
          <w:sz w:val="20"/>
          <w:szCs w:val="20"/>
        </w:rPr>
      </w:pPr>
      <w:r w:rsidRPr="00207748">
        <w:rPr>
          <w:rFonts w:ascii="Cambria" w:hAnsi="Cambria" w:cs="Arial"/>
          <w:sz w:val="20"/>
          <w:szCs w:val="20"/>
        </w:rPr>
        <w:t>D</w:t>
      </w:r>
      <w:r w:rsidR="00524587" w:rsidRPr="00207748">
        <w:rPr>
          <w:rFonts w:ascii="Cambria" w:hAnsi="Cambria" w:cs="Arial"/>
          <w:sz w:val="20"/>
          <w:szCs w:val="20"/>
        </w:rPr>
        <w:t>ie</w:t>
      </w:r>
      <w:r w:rsidRPr="00207748">
        <w:rPr>
          <w:rFonts w:ascii="Cambria" w:hAnsi="Cambria" w:cs="Arial"/>
          <w:sz w:val="20"/>
          <w:szCs w:val="20"/>
        </w:rPr>
        <w:t xml:space="preserve"> deutsche Sepsis-Leitlinien</w:t>
      </w:r>
      <w:r w:rsidR="00524587" w:rsidRPr="00207748">
        <w:rPr>
          <w:rFonts w:ascii="Cambria" w:hAnsi="Cambria" w:cs="Arial"/>
          <w:sz w:val="20"/>
          <w:szCs w:val="20"/>
        </w:rPr>
        <w:t>kommission</w:t>
      </w:r>
      <w:r w:rsidRPr="00207748">
        <w:rPr>
          <w:rFonts w:ascii="Cambria" w:hAnsi="Cambria" w:cs="Arial"/>
          <w:sz w:val="20"/>
          <w:szCs w:val="20"/>
        </w:rPr>
        <w:t xml:space="preserve"> bewertete die WHO-Kernkomponenten</w:t>
      </w:r>
      <w:r w:rsidRPr="00207748">
        <w:rPr>
          <w:rFonts w:ascii="Cambria" w:hAnsi="Cambria" w:cs="Arial"/>
          <w:b/>
          <w:bCs/>
          <w:sz w:val="20"/>
          <w:szCs w:val="20"/>
        </w:rPr>
        <w:t xml:space="preserve"> </w:t>
      </w:r>
      <w:r w:rsidRPr="00207748">
        <w:rPr>
          <w:rFonts w:ascii="Cambria" w:hAnsi="Cambria" w:cs="Arial"/>
          <w:sz w:val="20"/>
          <w:szCs w:val="20"/>
        </w:rPr>
        <w:t xml:space="preserve">erneut in Bezug auf deren Adaptation. Dabei wurden sechs der acht Komponenten als Expertenkonsens eingestuft. Für die übrigen zwei Empfehlungen wurde die entsprechende Literatur angeführt. Zusätzlich wurde unter Anwendung der Suchkriterien des WHO-Reviews eine Literatursuche und Bewertung für den Zeitraum 2016/2017 für diese beiden Empfehlungen durchgeführt. Danach sind </w:t>
      </w:r>
      <w:r w:rsidRPr="00207748">
        <w:rPr>
          <w:rFonts w:ascii="Cambria" w:hAnsi="Cambria" w:cs="Arial"/>
          <w:sz w:val="20"/>
          <w:szCs w:val="20"/>
        </w:rPr>
        <w:lastRenderedPageBreak/>
        <w:t>unserer Kenntnis nach keine neuen Studien zu diesem Thema erschienen, die zu einer Veränderung der Formulierung der beiden WHO-Kernkomponenten führen würden. Eine weitere Empfehlung zur Implementierung eines Antibiotic Stewardship (ABS)-Programms wurde in die Sepsis-Leitlinie integriert.</w:t>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72"/>
        <w:gridCol w:w="1417"/>
        <w:gridCol w:w="766"/>
      </w:tblGrid>
      <w:tr w:rsidR="00E11869" w:rsidRPr="00207748" w14:paraId="686C4B81" w14:textId="77777777" w:rsidTr="00B26F79">
        <w:trPr>
          <w:trHeight w:val="282"/>
        </w:trPr>
        <w:tc>
          <w:tcPr>
            <w:tcW w:w="1872" w:type="dxa"/>
            <w:tcBorders>
              <w:top w:val="single" w:sz="4" w:space="0" w:color="000000"/>
              <w:left w:val="single" w:sz="4" w:space="0" w:color="000000"/>
              <w:bottom w:val="single" w:sz="4" w:space="0" w:color="000000"/>
              <w:right w:val="single" w:sz="4" w:space="0" w:color="000000"/>
            </w:tcBorders>
            <w:shd w:val="clear" w:color="auto" w:fill="4F81BD" w:themeFill="accent1"/>
            <w:tcMar>
              <w:top w:w="80" w:type="dxa"/>
              <w:left w:w="80" w:type="dxa"/>
              <w:bottom w:w="80" w:type="dxa"/>
              <w:right w:w="80" w:type="dxa"/>
            </w:tcMar>
            <w:vAlign w:val="center"/>
          </w:tcPr>
          <w:p w14:paraId="08DDCD31"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4F81BD" w:themeFill="accent1"/>
            <w:tcMar>
              <w:top w:w="80" w:type="dxa"/>
              <w:left w:w="80" w:type="dxa"/>
              <w:bottom w:w="80" w:type="dxa"/>
              <w:right w:w="80" w:type="dxa"/>
            </w:tcMar>
            <w:vAlign w:val="center"/>
          </w:tcPr>
          <w:p w14:paraId="40157AC3"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 xml:space="preserve">Empfehlung </w:t>
            </w:r>
          </w:p>
        </w:tc>
        <w:tc>
          <w:tcPr>
            <w:tcW w:w="766" w:type="dxa"/>
            <w:tcBorders>
              <w:top w:val="single" w:sz="4" w:space="0" w:color="000000"/>
              <w:left w:val="single" w:sz="4" w:space="0" w:color="000000"/>
              <w:bottom w:val="single" w:sz="4" w:space="0" w:color="000000"/>
              <w:right w:val="single" w:sz="4" w:space="0" w:color="000000"/>
            </w:tcBorders>
            <w:shd w:val="clear" w:color="auto" w:fill="4F81BD" w:themeFill="accent1"/>
            <w:tcMar>
              <w:top w:w="80" w:type="dxa"/>
              <w:left w:w="80" w:type="dxa"/>
              <w:bottom w:w="80" w:type="dxa"/>
              <w:right w:w="80" w:type="dxa"/>
            </w:tcMar>
            <w:vAlign w:val="center"/>
          </w:tcPr>
          <w:p w14:paraId="131359E4"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2018</w:t>
            </w:r>
          </w:p>
        </w:tc>
      </w:tr>
      <w:tr w:rsidR="00E11869" w:rsidRPr="00207748" w14:paraId="02F25D9F" w14:textId="77777777" w:rsidTr="00B26F79">
        <w:trPr>
          <w:trHeight w:val="158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997F3D"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Expertenkonsens</w:t>
            </w:r>
          </w:p>
        </w:tc>
        <w:tc>
          <w:tcPr>
            <w:tcW w:w="21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305CD"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 xml:space="preserve">Wir empfehlen, dass ein Infektionspräventionsprogramm mit einem speziell dafür ausgebildeten Team in der Einrichtung </w:t>
            </w:r>
            <w:r w:rsidR="00EC3DBA" w:rsidRPr="00207748">
              <w:rPr>
                <w:rFonts w:ascii="Cambria" w:hAnsi="Cambria" w:cs="Arial"/>
                <w:b/>
                <w:bCs/>
                <w:sz w:val="20"/>
                <w:szCs w:val="20"/>
              </w:rPr>
              <w:t xml:space="preserve">implementiert </w:t>
            </w:r>
            <w:r w:rsidRPr="00207748">
              <w:rPr>
                <w:rFonts w:ascii="Cambria" w:hAnsi="Cambria" w:cs="Arial"/>
                <w:b/>
                <w:bCs/>
                <w:sz w:val="20"/>
                <w:szCs w:val="20"/>
              </w:rPr>
              <w:t>ist.</w:t>
            </w:r>
          </w:p>
        </w:tc>
      </w:tr>
      <w:tr w:rsidR="00E11869" w:rsidRPr="00207748" w14:paraId="2BDF1B44" w14:textId="77777777" w:rsidTr="00B26F79">
        <w:trPr>
          <w:trHeight w:val="929"/>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14:paraId="26FE4F91" w14:textId="77777777" w:rsidR="00E11869" w:rsidRPr="00207748" w:rsidRDefault="00E11869" w:rsidP="004454B6">
            <w:pPr>
              <w:rPr>
                <w:rFonts w:ascii="Cambria" w:hAnsi="Cambria" w:cs="Arial"/>
                <w:sz w:val="20"/>
                <w:szCs w:val="20"/>
              </w:rPr>
            </w:pPr>
          </w:p>
        </w:tc>
        <w:tc>
          <w:tcPr>
            <w:tcW w:w="21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F2701" w14:textId="77777777" w:rsidR="00E11869" w:rsidRPr="00207748" w:rsidRDefault="00447357" w:rsidP="004454B6">
            <w:pPr>
              <w:spacing w:after="0"/>
              <w:rPr>
                <w:rFonts w:ascii="Cambria" w:eastAsia="Arial" w:hAnsi="Cambria" w:cs="Arial"/>
                <w:b/>
                <w:bCs/>
                <w:sz w:val="20"/>
                <w:szCs w:val="20"/>
              </w:rPr>
            </w:pPr>
            <w:r w:rsidRPr="00207748">
              <w:rPr>
                <w:rFonts w:ascii="Cambria" w:hAnsi="Cambria" w:cs="Arial"/>
                <w:b/>
                <w:bCs/>
                <w:sz w:val="20"/>
                <w:szCs w:val="20"/>
              </w:rPr>
              <w:t>WHO</w:t>
            </w:r>
            <w:r w:rsidR="00EC3DBA" w:rsidRPr="00207748">
              <w:rPr>
                <w:rFonts w:ascii="Cambria" w:hAnsi="Cambria" w:cs="Arial"/>
                <w:b/>
                <w:bCs/>
                <w:sz w:val="20"/>
                <w:szCs w:val="20"/>
              </w:rPr>
              <w:t>-</w:t>
            </w:r>
            <w:r w:rsidRPr="00207748">
              <w:rPr>
                <w:rFonts w:ascii="Cambria" w:hAnsi="Cambria" w:cs="Arial"/>
                <w:b/>
                <w:bCs/>
                <w:sz w:val="20"/>
                <w:szCs w:val="20"/>
              </w:rPr>
              <w:t xml:space="preserve">Leitlinienadaptation; </w:t>
            </w:r>
          </w:p>
          <w:p w14:paraId="62C7F3C1"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Abweichung des Empfehlungsgrades</w:t>
            </w:r>
          </w:p>
        </w:tc>
      </w:tr>
      <w:tr w:rsidR="00E11869" w:rsidRPr="00207748" w14:paraId="06B2F319" w14:textId="77777777" w:rsidTr="00B26F79">
        <w:trPr>
          <w:trHeight w:val="282"/>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5C59D" w14:textId="77777777" w:rsidR="00E11869" w:rsidRPr="00207748" w:rsidRDefault="00E11869" w:rsidP="004454B6">
            <w:pPr>
              <w:rPr>
                <w:rFonts w:ascii="Cambria" w:hAnsi="Cambria" w:cs="Arial"/>
                <w:sz w:val="20"/>
                <w:szCs w:val="20"/>
              </w:rPr>
            </w:pPr>
          </w:p>
        </w:tc>
        <w:tc>
          <w:tcPr>
            <w:tcW w:w="21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ADD92" w14:textId="77777777" w:rsidR="00E11869" w:rsidRPr="00207748" w:rsidRDefault="00447357" w:rsidP="004454B6">
            <w:pPr>
              <w:spacing w:after="0"/>
              <w:rPr>
                <w:rFonts w:ascii="Cambria" w:hAnsi="Cambria" w:cs="Arial"/>
                <w:sz w:val="20"/>
                <w:szCs w:val="20"/>
              </w:rPr>
            </w:pPr>
            <w:r w:rsidRPr="00207748">
              <w:rPr>
                <w:rFonts w:ascii="Cambria" w:hAnsi="Cambria" w:cs="Arial"/>
                <w:sz w:val="20"/>
                <w:szCs w:val="20"/>
              </w:rPr>
              <w:t>Konsensstärke: 100 %</w:t>
            </w:r>
          </w:p>
        </w:tc>
      </w:tr>
    </w:tbl>
    <w:p w14:paraId="2F64BFD9" w14:textId="77777777" w:rsidR="00963061" w:rsidRPr="00207748" w:rsidRDefault="00963061" w:rsidP="004454B6">
      <w:pPr>
        <w:rPr>
          <w:rFonts w:ascii="Cambria" w:eastAsia="Arial" w:hAnsi="Cambria" w:cs="Arial"/>
          <w:sz w:val="20"/>
          <w:szCs w:val="20"/>
        </w:rPr>
      </w:pPr>
    </w:p>
    <w:p w14:paraId="0E820E07" w14:textId="5B5575E7" w:rsidR="00E11869" w:rsidRPr="00207748" w:rsidRDefault="00420A45" w:rsidP="004454B6">
      <w:pPr>
        <w:rPr>
          <w:rFonts w:ascii="Cambria" w:hAnsi="Cambria" w:cs="Arial"/>
          <w:sz w:val="20"/>
          <w:szCs w:val="20"/>
        </w:rPr>
      </w:pPr>
      <w:r w:rsidRPr="00207748">
        <w:rPr>
          <w:rFonts w:ascii="Cambria" w:hAnsi="Cambria" w:cs="Arial"/>
          <w:b/>
          <w:bCs/>
          <w:sz w:val="20"/>
          <w:szCs w:val="20"/>
        </w:rPr>
        <w:t>Begründung:</w:t>
      </w:r>
      <w:r w:rsidR="00264D62" w:rsidRPr="00207748">
        <w:rPr>
          <w:rFonts w:ascii="Cambria" w:hAnsi="Cambria" w:cs="Arial"/>
          <w:b/>
          <w:bCs/>
          <w:sz w:val="20"/>
          <w:szCs w:val="20"/>
        </w:rPr>
        <w:t xml:space="preserve"> </w:t>
      </w:r>
      <w:r w:rsidR="00447357" w:rsidRPr="00207748">
        <w:rPr>
          <w:rFonts w:ascii="Cambria" w:hAnsi="Cambria" w:cs="Arial"/>
          <w:sz w:val="20"/>
          <w:szCs w:val="20"/>
        </w:rPr>
        <w:t>Ein Infektionspräventions</w:t>
      </w:r>
      <w:r w:rsidR="00D60A69">
        <w:rPr>
          <w:rFonts w:ascii="Cambria" w:hAnsi="Cambria" w:cs="Arial"/>
          <w:sz w:val="20"/>
          <w:szCs w:val="20"/>
        </w:rPr>
        <w:t>-</w:t>
      </w:r>
      <w:r w:rsidR="00447357" w:rsidRPr="00207748">
        <w:rPr>
          <w:rFonts w:ascii="Cambria" w:hAnsi="Cambria" w:cs="Arial"/>
          <w:sz w:val="20"/>
          <w:szCs w:val="20"/>
        </w:rPr>
        <w:t xml:space="preserve">programm formuliert klare Präventionsziele auf der Basis der lokalen Epidemiologie, setzt Prioritäten entsprechend der lokalen Risikobeurteilung und ergreift Maßnahmen zur Prävention von nosokomialen Infektionen und zur Verhinderung der Ausbreitung von Antibiotikaresistenzen. In Deutschland wird die Existenz eines solchen Programmes und die Beschäftigung von speziellem Fachpersonal zu dessen Umsetzung </w:t>
      </w:r>
      <w:r w:rsidR="006F3A00" w:rsidRPr="00207748">
        <w:rPr>
          <w:rFonts w:ascii="Cambria" w:hAnsi="Cambria" w:cs="Arial"/>
          <w:sz w:val="20"/>
          <w:szCs w:val="20"/>
        </w:rPr>
        <w:t xml:space="preserve">durch das Infektionsschutzgesetz und die Landeshygieneverordnungen </w:t>
      </w:r>
      <w:r w:rsidR="00447357" w:rsidRPr="00207748">
        <w:rPr>
          <w:rFonts w:ascii="Cambria" w:hAnsi="Cambria" w:cs="Arial"/>
          <w:sz w:val="20"/>
          <w:szCs w:val="20"/>
        </w:rPr>
        <w:t>gefordert.</w:t>
      </w:r>
    </w:p>
    <w:p w14:paraId="2E60E994" w14:textId="382D0DC9" w:rsidR="00E11869" w:rsidRDefault="00447357" w:rsidP="004454B6">
      <w:pPr>
        <w:rPr>
          <w:rFonts w:ascii="Cambria" w:hAnsi="Cambria" w:cs="Arial"/>
          <w:sz w:val="20"/>
          <w:szCs w:val="20"/>
        </w:rPr>
      </w:pPr>
      <w:r w:rsidRPr="00207748">
        <w:rPr>
          <w:rFonts w:ascii="Cambria" w:hAnsi="Cambria" w:cs="Arial"/>
          <w:sz w:val="20"/>
          <w:szCs w:val="20"/>
        </w:rPr>
        <w:t>Die WHO leitet die Evidenz für die Effektivität dieser Forderung, die in Deutschland ohnehin gesetzlich vorgegeben ist, von zwei Studien von Haley et al. und Mermel et al. ab.</w:t>
      </w:r>
      <w:r w:rsidRPr="00207748">
        <w:rPr>
          <w:rFonts w:ascii="Cambria" w:eastAsia="Arial" w:hAnsi="Cambria" w:cs="Arial"/>
          <w:sz w:val="20"/>
          <w:szCs w:val="20"/>
          <w:vertAlign w:val="superscript"/>
        </w:rPr>
        <w:endnoteReference w:id="18"/>
      </w:r>
      <w:r w:rsidRPr="00207748">
        <w:rPr>
          <w:rFonts w:ascii="Cambria" w:hAnsi="Cambria" w:cs="Arial"/>
          <w:sz w:val="20"/>
          <w:szCs w:val="20"/>
        </w:rPr>
        <w:t xml:space="preserve"> </w:t>
      </w:r>
      <w:r w:rsidRPr="00207748">
        <w:rPr>
          <w:rFonts w:ascii="Cambria" w:eastAsia="Arial" w:hAnsi="Cambria" w:cs="Arial"/>
          <w:sz w:val="20"/>
          <w:szCs w:val="20"/>
          <w:vertAlign w:val="superscript"/>
        </w:rPr>
        <w:endnoteReference w:id="19"/>
      </w:r>
    </w:p>
    <w:p w14:paraId="5EFCB7B4" w14:textId="5E710C19" w:rsidR="002B1061" w:rsidRDefault="002B1061" w:rsidP="004454B6">
      <w:pPr>
        <w:rPr>
          <w:rFonts w:ascii="Cambria" w:eastAsia="Arial" w:hAnsi="Cambria" w:cs="Arial"/>
          <w:b/>
          <w:bCs/>
          <w:sz w:val="20"/>
          <w:szCs w:val="20"/>
        </w:rPr>
      </w:pPr>
    </w:p>
    <w:p w14:paraId="31E9F512" w14:textId="77777777" w:rsidR="00B26F79" w:rsidRDefault="00B26F79" w:rsidP="004454B6">
      <w:pPr>
        <w:rPr>
          <w:rFonts w:ascii="Cambria" w:eastAsia="Arial" w:hAnsi="Cambria" w:cs="Arial"/>
          <w:b/>
          <w:bCs/>
          <w:sz w:val="20"/>
          <w:szCs w:val="20"/>
        </w:rPr>
      </w:pPr>
    </w:p>
    <w:p w14:paraId="4816D70A" w14:textId="77777777" w:rsidR="00B26F79" w:rsidRPr="00207748" w:rsidRDefault="00B26F79" w:rsidP="004454B6">
      <w:pPr>
        <w:rPr>
          <w:rFonts w:ascii="Cambria" w:eastAsia="Arial" w:hAnsi="Cambria" w:cs="Arial"/>
          <w:b/>
          <w:bCs/>
          <w:sz w:val="20"/>
          <w:szCs w:val="20"/>
        </w:rPr>
      </w:pP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762"/>
        <w:gridCol w:w="1669"/>
        <w:gridCol w:w="794"/>
      </w:tblGrid>
      <w:tr w:rsidR="00E11869" w:rsidRPr="00207748" w14:paraId="709A9F29"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6ED8DBC"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lastRenderedPageBreak/>
              <w:t>2.</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72633D43"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432169E"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2018</w:t>
            </w:r>
          </w:p>
        </w:tc>
      </w:tr>
      <w:tr w:rsidR="00E11869" w:rsidRPr="00207748" w14:paraId="63B4E406" w14:textId="77777777" w:rsidTr="00207748">
        <w:trPr>
          <w:trHeight w:val="207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D8DA15"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Expertenkonsens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350EF"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Wir empfehlen die Implementierung eines Antibiotic Stewardship</w:t>
            </w:r>
            <w:r w:rsidR="002F45C9" w:rsidRPr="00207748">
              <w:rPr>
                <w:rFonts w:ascii="Cambria" w:hAnsi="Cambria" w:cs="Arial"/>
                <w:b/>
                <w:bCs/>
                <w:sz w:val="20"/>
                <w:szCs w:val="20"/>
              </w:rPr>
              <w:t xml:space="preserve"> (ABS)</w:t>
            </w:r>
            <w:r w:rsidRPr="00207748">
              <w:rPr>
                <w:rFonts w:ascii="Cambria" w:hAnsi="Cambria" w:cs="Arial"/>
                <w:b/>
                <w:bCs/>
                <w:sz w:val="20"/>
                <w:szCs w:val="20"/>
              </w:rPr>
              <w:t>-Programms zur Sicherung rationaler Antibiotika-Anwendung im Krankenhaus</w:t>
            </w:r>
            <w:r w:rsidR="00E873A9" w:rsidRPr="00207748">
              <w:rPr>
                <w:rFonts w:ascii="Cambria" w:hAnsi="Cambria" w:cs="Arial"/>
                <w:b/>
                <w:bCs/>
                <w:sz w:val="20"/>
                <w:szCs w:val="20"/>
              </w:rPr>
              <w:t>.</w:t>
            </w:r>
          </w:p>
        </w:tc>
      </w:tr>
      <w:tr w:rsidR="00E11869" w:rsidRPr="00207748" w14:paraId="577B0ABD" w14:textId="77777777" w:rsidTr="00207748">
        <w:trPr>
          <w:trHeight w:val="56"/>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2D9C961E"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7D1DD"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Zusätzliche DSG-Leitlinienempfehlung</w:t>
            </w:r>
          </w:p>
        </w:tc>
      </w:tr>
      <w:tr w:rsidR="00E11869" w:rsidRPr="00207748" w14:paraId="4DE064E7"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7CD74"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197FC" w14:textId="77777777" w:rsidR="00E11869" w:rsidRPr="00207748" w:rsidRDefault="00447357" w:rsidP="004454B6">
            <w:pPr>
              <w:spacing w:after="0"/>
              <w:rPr>
                <w:rFonts w:ascii="Cambria" w:hAnsi="Cambria" w:cs="Arial"/>
                <w:sz w:val="20"/>
                <w:szCs w:val="20"/>
              </w:rPr>
            </w:pPr>
            <w:r w:rsidRPr="00207748">
              <w:rPr>
                <w:rFonts w:ascii="Cambria" w:hAnsi="Cambria" w:cs="Arial"/>
                <w:sz w:val="20"/>
                <w:szCs w:val="20"/>
              </w:rPr>
              <w:t>Konsensstärke: 100 %</w:t>
            </w:r>
          </w:p>
        </w:tc>
      </w:tr>
    </w:tbl>
    <w:p w14:paraId="754D9E07" w14:textId="3FC7B18D" w:rsidR="00E11869" w:rsidRDefault="00420A45" w:rsidP="004454B6">
      <w:pPr>
        <w:spacing w:before="240"/>
        <w:rPr>
          <w:rFonts w:ascii="Cambria" w:hAnsi="Cambria" w:cs="Arial"/>
          <w:sz w:val="20"/>
          <w:szCs w:val="20"/>
        </w:rPr>
      </w:pPr>
      <w:r w:rsidRPr="00207748">
        <w:rPr>
          <w:rFonts w:ascii="Cambria" w:hAnsi="Cambria" w:cs="Arial"/>
          <w:b/>
          <w:bCs/>
          <w:sz w:val="20"/>
          <w:szCs w:val="20"/>
        </w:rPr>
        <w:t>Begründung</w:t>
      </w:r>
      <w:r w:rsidR="00447357" w:rsidRPr="00207748">
        <w:rPr>
          <w:rFonts w:ascii="Cambria" w:hAnsi="Cambria" w:cs="Arial"/>
          <w:b/>
          <w:bCs/>
          <w:color w:val="auto"/>
          <w:sz w:val="20"/>
          <w:szCs w:val="20"/>
        </w:rPr>
        <w:t xml:space="preserve">: </w:t>
      </w:r>
      <w:r w:rsidR="00447357" w:rsidRPr="00207748">
        <w:rPr>
          <w:rFonts w:ascii="Cambria" w:hAnsi="Cambria" w:cs="Arial"/>
          <w:color w:val="auto"/>
          <w:sz w:val="20"/>
          <w:szCs w:val="20"/>
          <w:u w:color="4F81BD"/>
        </w:rPr>
        <w:t xml:space="preserve">In der </w:t>
      </w:r>
      <w:r w:rsidR="00447357" w:rsidRPr="00207748">
        <w:rPr>
          <w:rFonts w:ascii="Cambria" w:hAnsi="Cambria" w:cs="Arial"/>
          <w:sz w:val="20"/>
          <w:szCs w:val="20"/>
        </w:rPr>
        <w:t xml:space="preserve">aktuellen S3-Leitlinie „Strategien zur Sicherung rationaler Antibiotika-Anwendung im Krankenhaus“ wird ein </w:t>
      </w:r>
      <w:r w:rsidR="00EC3DBA" w:rsidRPr="00207748">
        <w:rPr>
          <w:rFonts w:ascii="Cambria" w:hAnsi="Cambria" w:cs="Arial"/>
          <w:sz w:val="20"/>
          <w:szCs w:val="20"/>
        </w:rPr>
        <w:t>ABS</w:t>
      </w:r>
      <w:r w:rsidR="00447357" w:rsidRPr="00207748">
        <w:rPr>
          <w:rFonts w:ascii="Cambria" w:hAnsi="Cambria" w:cs="Arial"/>
          <w:sz w:val="20"/>
          <w:szCs w:val="20"/>
        </w:rPr>
        <w:t>-Programm gefordert.</w:t>
      </w:r>
      <w:r w:rsidR="00E04BCC" w:rsidRPr="00207748">
        <w:rPr>
          <w:rStyle w:val="Endnotenzeichen"/>
          <w:rFonts w:ascii="Cambria" w:hAnsi="Cambria" w:cs="Arial"/>
          <w:sz w:val="20"/>
          <w:szCs w:val="20"/>
        </w:rPr>
        <w:endnoteReference w:id="20"/>
      </w:r>
      <w:r w:rsidR="00447357" w:rsidRPr="00207748">
        <w:rPr>
          <w:rFonts w:ascii="Cambria" w:hAnsi="Cambria" w:cs="Arial"/>
          <w:sz w:val="20"/>
          <w:szCs w:val="20"/>
        </w:rPr>
        <w:t xml:space="preserve"> Auch wird dieses in den meisten Hygieneverordnungen der Bundesländer gesetzlich vorgegeben.</w:t>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02"/>
        <w:gridCol w:w="850"/>
      </w:tblGrid>
      <w:tr w:rsidR="00E11869" w:rsidRPr="00207748" w14:paraId="16EB11C2"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3DB478D1"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t>3</w:t>
            </w:r>
            <w:r w:rsidR="00CB3020" w:rsidRPr="00207748">
              <w:rPr>
                <w:rFonts w:ascii="Cambria" w:hAnsi="Cambria" w:cs="Arial"/>
                <w:b/>
                <w:bCs/>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4F8BB095"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3D0228FC"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2018</w:t>
            </w:r>
          </w:p>
        </w:tc>
      </w:tr>
      <w:tr w:rsidR="00E11869" w:rsidRPr="00207748" w14:paraId="7AB01974" w14:textId="77777777" w:rsidTr="00207748">
        <w:trPr>
          <w:trHeight w:val="3027"/>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4FA85" w14:textId="77777777" w:rsidR="00E11869" w:rsidRPr="00207748" w:rsidRDefault="00342FB3" w:rsidP="004454B6">
            <w:pPr>
              <w:spacing w:after="0"/>
              <w:rPr>
                <w:rFonts w:ascii="Cambria" w:eastAsia="Arial" w:hAnsi="Cambria" w:cs="Arial"/>
                <w:sz w:val="20"/>
                <w:szCs w:val="20"/>
              </w:rPr>
            </w:pPr>
            <w:r w:rsidRPr="00207748">
              <w:rPr>
                <w:rFonts w:ascii="Cambria" w:hAnsi="Cambria" w:cs="Arial"/>
                <w:sz w:val="20"/>
                <w:szCs w:val="20"/>
              </w:rPr>
              <w:t>Empfehlungsgra</w:t>
            </w:r>
            <w:r w:rsidR="00447357" w:rsidRPr="00207748">
              <w:rPr>
                <w:rFonts w:ascii="Cambria" w:hAnsi="Cambria" w:cs="Arial"/>
                <w:sz w:val="20"/>
                <w:szCs w:val="20"/>
              </w:rPr>
              <w:t>d</w:t>
            </w:r>
          </w:p>
          <w:p w14:paraId="66DB9F40" w14:textId="77777777" w:rsidR="00E11869" w:rsidRPr="00207748" w:rsidRDefault="00E11869" w:rsidP="004454B6">
            <w:pPr>
              <w:spacing w:after="0"/>
              <w:rPr>
                <w:rFonts w:ascii="Cambria" w:eastAsia="Arial" w:hAnsi="Cambria" w:cs="Arial"/>
                <w:sz w:val="20"/>
                <w:szCs w:val="20"/>
              </w:rPr>
            </w:pPr>
          </w:p>
          <w:p w14:paraId="12793969" w14:textId="77777777" w:rsidR="00E11869" w:rsidRPr="00207748" w:rsidRDefault="00447357" w:rsidP="004454B6">
            <w:pPr>
              <w:spacing w:after="0"/>
              <w:rPr>
                <w:rFonts w:ascii="Cambria" w:eastAsia="Arial" w:hAnsi="Cambria" w:cs="Arial"/>
                <w:b/>
                <w:bCs/>
                <w:sz w:val="20"/>
                <w:szCs w:val="20"/>
              </w:rPr>
            </w:pPr>
            <w:r w:rsidRPr="00207748">
              <w:rPr>
                <w:rFonts w:ascii="Cambria" w:hAnsi="Cambria" w:cs="Arial"/>
                <w:b/>
                <w:bCs/>
                <w:sz w:val="20"/>
                <w:szCs w:val="20"/>
              </w:rPr>
              <w:t>stark</w:t>
            </w:r>
          </w:p>
          <w:p w14:paraId="4F9C3ED8" w14:textId="77777777" w:rsidR="00E11869" w:rsidRPr="00207748" w:rsidRDefault="00E11869" w:rsidP="004454B6">
            <w:pPr>
              <w:spacing w:after="0"/>
              <w:rPr>
                <w:rFonts w:ascii="Cambria" w:eastAsia="Arial" w:hAnsi="Cambria" w:cs="Arial"/>
                <w:sz w:val="20"/>
                <w:szCs w:val="20"/>
              </w:rPr>
            </w:pPr>
          </w:p>
          <w:p w14:paraId="3823CC2C"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t>Evidenzgrad</w:t>
            </w:r>
          </w:p>
          <w:p w14:paraId="505C7672" w14:textId="77777777" w:rsidR="00E11869" w:rsidRPr="00207748" w:rsidRDefault="00E11869" w:rsidP="004454B6">
            <w:pPr>
              <w:spacing w:after="0"/>
              <w:rPr>
                <w:rFonts w:ascii="Cambria" w:eastAsia="Arial" w:hAnsi="Cambria" w:cs="Arial"/>
                <w:sz w:val="20"/>
                <w:szCs w:val="20"/>
              </w:rPr>
            </w:pPr>
          </w:p>
          <w:p w14:paraId="0638D1AD"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moderat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0A0A8"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Wir empfehlen, Fortbildungen auf dem Gebiet der Infektionsprävention für alle Mitarbeiter in allen Krankenhäusern zu etablieren. Diese Fortbildungen sollten Training am Krankenbett bzw. Simulationstraining einschließen.</w:t>
            </w:r>
            <w:r w:rsidRPr="00207748">
              <w:rPr>
                <w:rFonts w:ascii="Cambria" w:hAnsi="Cambria" w:cs="Arial"/>
                <w:sz w:val="20"/>
                <w:szCs w:val="20"/>
              </w:rPr>
              <w:t xml:space="preserve"> </w:t>
            </w:r>
          </w:p>
        </w:tc>
      </w:tr>
      <w:tr w:rsidR="00E11869" w:rsidRPr="00207748" w14:paraId="09700189" w14:textId="77777777" w:rsidTr="00342FB3">
        <w:trPr>
          <w:trHeight w:val="56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50CD81D5"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AAA9B"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WHO</w:t>
            </w:r>
            <w:r w:rsidR="00EC3DBA" w:rsidRPr="00207748">
              <w:rPr>
                <w:rFonts w:ascii="Cambria" w:hAnsi="Cambria" w:cs="Arial"/>
                <w:b/>
                <w:bCs/>
                <w:sz w:val="20"/>
                <w:szCs w:val="20"/>
              </w:rPr>
              <w:t>-</w:t>
            </w:r>
            <w:r w:rsidRPr="00207748">
              <w:rPr>
                <w:rFonts w:ascii="Cambria" w:hAnsi="Cambria" w:cs="Arial"/>
                <w:b/>
                <w:bCs/>
                <w:sz w:val="20"/>
                <w:szCs w:val="20"/>
              </w:rPr>
              <w:t>Leitlinienadaptation</w:t>
            </w:r>
          </w:p>
        </w:tc>
      </w:tr>
      <w:tr w:rsidR="00E11869" w:rsidRPr="00207748" w14:paraId="00225388"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796C0"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EFD25" w14:textId="77777777" w:rsidR="00E11869" w:rsidRPr="00207748" w:rsidRDefault="00447357" w:rsidP="004454B6">
            <w:pPr>
              <w:spacing w:after="0"/>
              <w:rPr>
                <w:rFonts w:ascii="Cambria" w:hAnsi="Cambria" w:cs="Arial"/>
                <w:sz w:val="20"/>
                <w:szCs w:val="20"/>
              </w:rPr>
            </w:pPr>
            <w:r w:rsidRPr="00207748">
              <w:rPr>
                <w:rFonts w:ascii="Cambria" w:hAnsi="Cambria" w:cs="Arial"/>
                <w:sz w:val="20"/>
                <w:szCs w:val="20"/>
              </w:rPr>
              <w:t>Konsensstärke: 93 %</w:t>
            </w:r>
          </w:p>
        </w:tc>
      </w:tr>
    </w:tbl>
    <w:p w14:paraId="3FEB28C7" w14:textId="7DC16854" w:rsidR="00E11869" w:rsidRPr="00207748" w:rsidRDefault="00420A45" w:rsidP="004454B6">
      <w:pPr>
        <w:spacing w:before="240"/>
        <w:rPr>
          <w:rFonts w:ascii="Cambria" w:eastAsia="Arial" w:hAnsi="Cambria" w:cs="Arial"/>
          <w:sz w:val="20"/>
          <w:szCs w:val="20"/>
        </w:rPr>
      </w:pPr>
      <w:r w:rsidRPr="00207748">
        <w:rPr>
          <w:rFonts w:ascii="Cambria" w:hAnsi="Cambria" w:cs="Arial"/>
          <w:b/>
          <w:bCs/>
          <w:sz w:val="20"/>
          <w:szCs w:val="20"/>
        </w:rPr>
        <w:t>Begründung:</w:t>
      </w:r>
      <w:r w:rsidR="00447357" w:rsidRPr="00207748">
        <w:rPr>
          <w:rFonts w:ascii="Cambria" w:hAnsi="Cambria" w:cs="Arial"/>
          <w:b/>
          <w:bCs/>
          <w:sz w:val="20"/>
          <w:szCs w:val="20"/>
        </w:rPr>
        <w:t xml:space="preserve"> </w:t>
      </w:r>
      <w:r w:rsidR="00447357" w:rsidRPr="00207748">
        <w:rPr>
          <w:rFonts w:ascii="Cambria" w:hAnsi="Cambria" w:cs="Arial"/>
          <w:sz w:val="20"/>
          <w:szCs w:val="20"/>
        </w:rPr>
        <w:t>Die Ergebnisse der in den WHO-Leitlinie zitierten 15 Studien wurden für die Formulierung der Empfehlung berücksichtigt.</w:t>
      </w:r>
      <w:r w:rsidR="000F0DC9">
        <w:rPr>
          <w:rStyle w:val="Endnotenzeichen"/>
          <w:rFonts w:ascii="Cambria" w:hAnsi="Cambria" w:cs="Arial"/>
          <w:sz w:val="20"/>
          <w:szCs w:val="20"/>
        </w:rPr>
        <w:fldChar w:fldCharType="begin"/>
      </w:r>
      <w:r w:rsidR="000F0DC9">
        <w:rPr>
          <w:rFonts w:ascii="Cambria" w:hAnsi="Cambria" w:cs="Arial"/>
          <w:sz w:val="20"/>
          <w:szCs w:val="20"/>
        </w:rPr>
        <w:instrText xml:space="preserve"> NOTEREF _Ref30425767 \h </w:instrText>
      </w:r>
      <w:r w:rsidR="000F0DC9">
        <w:rPr>
          <w:rStyle w:val="Endnotenzeichen"/>
          <w:rFonts w:ascii="Cambria" w:hAnsi="Cambria" w:cs="Arial"/>
          <w:sz w:val="20"/>
          <w:szCs w:val="20"/>
        </w:rPr>
      </w:r>
      <w:r w:rsidR="000F0DC9">
        <w:rPr>
          <w:rStyle w:val="Endnotenzeichen"/>
          <w:rFonts w:ascii="Cambria" w:hAnsi="Cambria" w:cs="Arial"/>
          <w:sz w:val="20"/>
          <w:szCs w:val="20"/>
        </w:rPr>
        <w:fldChar w:fldCharType="separate"/>
      </w:r>
      <w:r w:rsidR="001A283B">
        <w:rPr>
          <w:rFonts w:ascii="Cambria" w:hAnsi="Cambria" w:cs="Arial"/>
          <w:sz w:val="20"/>
          <w:szCs w:val="20"/>
        </w:rPr>
        <w:t>12</w:t>
      </w:r>
      <w:r w:rsidR="000F0DC9">
        <w:rPr>
          <w:rStyle w:val="Endnotenzeichen"/>
          <w:rFonts w:ascii="Cambria" w:hAnsi="Cambria" w:cs="Arial"/>
          <w:sz w:val="20"/>
          <w:szCs w:val="20"/>
        </w:rPr>
        <w:fldChar w:fldCharType="end"/>
      </w:r>
      <w:r w:rsidR="000F0DC9">
        <w:t xml:space="preserve"> </w:t>
      </w:r>
      <w:r w:rsidR="00447357" w:rsidRPr="00207748">
        <w:rPr>
          <w:rFonts w:ascii="Cambria" w:hAnsi="Cambria" w:cs="Arial"/>
          <w:sz w:val="20"/>
          <w:szCs w:val="20"/>
        </w:rPr>
        <w:t xml:space="preserve">Demnach können Fortbildungen mit einem praxisorientierten „Hands-on“-Ansatz“ und unter Berücksichtigung der individuellen Erfahrungen zu einer Reduktion von </w:t>
      </w:r>
      <w:r w:rsidR="00447357" w:rsidRPr="00207748">
        <w:rPr>
          <w:rFonts w:ascii="Cambria" w:hAnsi="Cambria" w:cs="Arial"/>
          <w:sz w:val="20"/>
          <w:szCs w:val="20"/>
        </w:rPr>
        <w:lastRenderedPageBreak/>
        <w:t>nosokomialen Infektionen und einer verbesserten Händehygiene-Compliance führen.</w:t>
      </w:r>
    </w:p>
    <w:p w14:paraId="3B881FC1" w14:textId="77777777" w:rsidR="00E11869" w:rsidRPr="00207748" w:rsidRDefault="00447357" w:rsidP="004454B6">
      <w:pPr>
        <w:rPr>
          <w:rFonts w:ascii="Cambria" w:hAnsi="Cambria" w:cs="Arial"/>
          <w:sz w:val="20"/>
          <w:szCs w:val="20"/>
        </w:rPr>
      </w:pPr>
      <w:r w:rsidRPr="00207748">
        <w:rPr>
          <w:rFonts w:ascii="Cambria" w:hAnsi="Cambria" w:cs="Arial"/>
          <w:sz w:val="20"/>
          <w:szCs w:val="20"/>
        </w:rPr>
        <w:t>In Deutschland wird durch die Hygiene</w:t>
      </w:r>
      <w:r w:rsidR="00EC3DBA" w:rsidRPr="00207748">
        <w:rPr>
          <w:rFonts w:ascii="Cambria" w:hAnsi="Cambria" w:cs="Arial"/>
          <w:sz w:val="20"/>
          <w:szCs w:val="20"/>
        </w:rPr>
        <w:t>v</w:t>
      </w:r>
      <w:r w:rsidRPr="00207748">
        <w:rPr>
          <w:rFonts w:ascii="Cambria" w:hAnsi="Cambria" w:cs="Arial"/>
          <w:sz w:val="20"/>
          <w:szCs w:val="20"/>
        </w:rPr>
        <w:t>erordnungen der Länder gefordert, dass mindestens einmal pro Jahr eine Schulung zur Infektionsprävention durchzuführen ist.</w:t>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762"/>
        <w:gridCol w:w="1643"/>
        <w:gridCol w:w="820"/>
      </w:tblGrid>
      <w:tr w:rsidR="00E11869" w:rsidRPr="00207748" w14:paraId="3B1ABEE4"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7036FF95"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t>4</w:t>
            </w:r>
            <w:r w:rsidR="00CB3020" w:rsidRPr="00207748">
              <w:rPr>
                <w:rFonts w:ascii="Cambria" w:hAnsi="Cambria" w:cs="Arial"/>
                <w:b/>
                <w:bCs/>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08F7FA7B"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2C510432"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2018</w:t>
            </w:r>
          </w:p>
        </w:tc>
      </w:tr>
      <w:tr w:rsidR="00E11869" w:rsidRPr="00207748" w14:paraId="5CBC2C22" w14:textId="77777777" w:rsidTr="00207748">
        <w:trPr>
          <w:trHeight w:val="382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1A0AAC"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Expertenkonsens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813CB"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 xml:space="preserve">Wir empfehlen, eine </w:t>
            </w:r>
            <w:r w:rsidR="00EC3DBA" w:rsidRPr="00207748">
              <w:rPr>
                <w:rFonts w:ascii="Cambria" w:hAnsi="Cambria" w:cs="Arial"/>
                <w:b/>
                <w:bCs/>
                <w:sz w:val="20"/>
                <w:szCs w:val="20"/>
              </w:rPr>
              <w:t>s</w:t>
            </w:r>
            <w:r w:rsidRPr="00207748">
              <w:rPr>
                <w:rFonts w:ascii="Cambria" w:hAnsi="Cambria" w:cs="Arial"/>
                <w:b/>
                <w:bCs/>
                <w:sz w:val="20"/>
                <w:szCs w:val="20"/>
              </w:rPr>
              <w:t xml:space="preserve">tations- bzw. </w:t>
            </w:r>
            <w:r w:rsidR="00EC3DBA" w:rsidRPr="00207748">
              <w:rPr>
                <w:rFonts w:ascii="Cambria" w:hAnsi="Cambria" w:cs="Arial"/>
                <w:b/>
                <w:bCs/>
                <w:sz w:val="20"/>
                <w:szCs w:val="20"/>
              </w:rPr>
              <w:t>e</w:t>
            </w:r>
            <w:r w:rsidR="00E873A9" w:rsidRPr="00207748">
              <w:rPr>
                <w:rFonts w:ascii="Cambria" w:hAnsi="Cambria" w:cs="Arial"/>
                <w:b/>
                <w:bCs/>
                <w:sz w:val="20"/>
                <w:szCs w:val="20"/>
              </w:rPr>
              <w:t>inrichtungs</w:t>
            </w:r>
            <w:r w:rsidRPr="00207748">
              <w:rPr>
                <w:rFonts w:ascii="Cambria" w:hAnsi="Cambria" w:cs="Arial"/>
                <w:b/>
                <w:bCs/>
                <w:sz w:val="20"/>
                <w:szCs w:val="20"/>
              </w:rPr>
              <w:t>bezogene Surveillance von nosokomialen Infektionen (einschließlich multiresistenten Erregern) mit zeitnahem Feedback der Ergebnisse und im Kontext von nationalen Surveillance-Netzwerken durchzuführen.</w:t>
            </w:r>
          </w:p>
        </w:tc>
      </w:tr>
      <w:tr w:rsidR="00E11869" w:rsidRPr="00207748" w14:paraId="51E002F2" w14:textId="77777777" w:rsidTr="00207748">
        <w:trPr>
          <w:trHeight w:val="1166"/>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39F608F1"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1D14E" w14:textId="77777777" w:rsidR="00E11869" w:rsidRPr="00207748" w:rsidRDefault="00447357" w:rsidP="004454B6">
            <w:pPr>
              <w:spacing w:after="0"/>
              <w:rPr>
                <w:rFonts w:ascii="Cambria" w:eastAsia="Arial" w:hAnsi="Cambria" w:cs="Arial"/>
                <w:b/>
                <w:bCs/>
                <w:sz w:val="20"/>
                <w:szCs w:val="20"/>
              </w:rPr>
            </w:pPr>
            <w:r w:rsidRPr="00207748">
              <w:rPr>
                <w:rFonts w:ascii="Cambria" w:hAnsi="Cambria" w:cs="Arial"/>
                <w:b/>
                <w:bCs/>
                <w:sz w:val="20"/>
                <w:szCs w:val="20"/>
              </w:rPr>
              <w:t>WHO</w:t>
            </w:r>
            <w:r w:rsidR="00EC3DBA" w:rsidRPr="00207748">
              <w:rPr>
                <w:rFonts w:ascii="Cambria" w:hAnsi="Cambria" w:cs="Arial"/>
                <w:b/>
                <w:bCs/>
                <w:sz w:val="20"/>
                <w:szCs w:val="20"/>
              </w:rPr>
              <w:t>-</w:t>
            </w:r>
            <w:r w:rsidRPr="00207748">
              <w:rPr>
                <w:rFonts w:ascii="Cambria" w:hAnsi="Cambria" w:cs="Arial"/>
                <w:b/>
                <w:bCs/>
                <w:sz w:val="20"/>
                <w:szCs w:val="20"/>
              </w:rPr>
              <w:t>Leitlinienadaptation;</w:t>
            </w:r>
          </w:p>
          <w:p w14:paraId="5C876950"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Abweichung des Emp</w:t>
            </w:r>
            <w:r w:rsidR="002F45C9" w:rsidRPr="00207748">
              <w:rPr>
                <w:rFonts w:ascii="Cambria" w:hAnsi="Cambria" w:cs="Arial"/>
                <w:b/>
                <w:bCs/>
                <w:sz w:val="20"/>
                <w:szCs w:val="20"/>
              </w:rPr>
              <w:t>fehlungsgrades</w:t>
            </w:r>
          </w:p>
        </w:tc>
      </w:tr>
      <w:tr w:rsidR="00E11869" w:rsidRPr="00207748" w14:paraId="15C4122D" w14:textId="77777777" w:rsidTr="00342FB3">
        <w:trPr>
          <w:trHeight w:val="56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DD270"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EC1F7" w14:textId="77777777" w:rsidR="00E11869" w:rsidRPr="00207748" w:rsidRDefault="00447357" w:rsidP="004454B6">
            <w:pPr>
              <w:spacing w:after="0"/>
              <w:rPr>
                <w:rFonts w:ascii="Cambria" w:hAnsi="Cambria" w:cs="Arial"/>
                <w:sz w:val="20"/>
                <w:szCs w:val="20"/>
              </w:rPr>
            </w:pPr>
            <w:r w:rsidRPr="00207748">
              <w:rPr>
                <w:rFonts w:ascii="Cambria" w:hAnsi="Cambria" w:cs="Arial"/>
                <w:sz w:val="20"/>
                <w:szCs w:val="20"/>
              </w:rPr>
              <w:t>Konsensstärke: 100 %</w:t>
            </w:r>
          </w:p>
        </w:tc>
      </w:tr>
    </w:tbl>
    <w:p w14:paraId="1A4A1ECF" w14:textId="77777777" w:rsidR="00E11869" w:rsidRPr="00207748" w:rsidRDefault="00420A45" w:rsidP="004454B6">
      <w:pPr>
        <w:spacing w:before="240"/>
        <w:rPr>
          <w:rFonts w:ascii="Cambria" w:eastAsia="Arial" w:hAnsi="Cambria" w:cs="Arial"/>
          <w:sz w:val="20"/>
          <w:szCs w:val="20"/>
        </w:rPr>
      </w:pPr>
      <w:r w:rsidRPr="00207748">
        <w:rPr>
          <w:rFonts w:ascii="Cambria" w:hAnsi="Cambria" w:cs="Arial"/>
          <w:b/>
          <w:bCs/>
          <w:sz w:val="20"/>
          <w:szCs w:val="20"/>
        </w:rPr>
        <w:t>Begründung:</w:t>
      </w:r>
      <w:r w:rsidR="00447357" w:rsidRPr="00207748">
        <w:rPr>
          <w:rFonts w:ascii="Cambria" w:hAnsi="Cambria" w:cs="Arial"/>
          <w:b/>
          <w:bCs/>
          <w:sz w:val="20"/>
          <w:szCs w:val="20"/>
        </w:rPr>
        <w:t xml:space="preserve"> </w:t>
      </w:r>
      <w:r w:rsidR="00447357" w:rsidRPr="00207748">
        <w:rPr>
          <w:rFonts w:ascii="Cambria" w:hAnsi="Cambria" w:cs="Arial"/>
          <w:sz w:val="20"/>
          <w:szCs w:val="20"/>
        </w:rPr>
        <w:t xml:space="preserve">Surveillance-Systeme können dabei helfen, Schwachstellen in Hygienekonzepten zu identifizieren und entsprechend zu intervenieren. Deshalb sind sie eine essentielle Komponente der Infektionskontrollprogramme. </w:t>
      </w:r>
    </w:p>
    <w:p w14:paraId="288CB41B" w14:textId="5C6C20D5" w:rsidR="00E11869" w:rsidRPr="00207748" w:rsidRDefault="00447357" w:rsidP="004454B6">
      <w:pPr>
        <w:rPr>
          <w:rFonts w:ascii="Cambria" w:eastAsia="Arial" w:hAnsi="Cambria" w:cs="Arial"/>
          <w:sz w:val="20"/>
          <w:szCs w:val="20"/>
        </w:rPr>
      </w:pPr>
      <w:r w:rsidRPr="00207748">
        <w:rPr>
          <w:rFonts w:ascii="Cambria" w:hAnsi="Cambria" w:cs="Arial"/>
          <w:sz w:val="20"/>
          <w:szCs w:val="20"/>
        </w:rPr>
        <w:t>Die in den WHO-Empfehlungen angeführten 13 Studien zur Infektions-Surveillance (elf nicht-kontrollierte „Before-after“-Studien, eine „Interrupted time series“ und eine qualitative Studie) haben gezeigt, dass ein krankenhausbasiertes Surveillance-System zu einer Reduktion der nosokomialen Infektionen beitragen kann, besonders wenn es mit einem nationalen Surveillance-Netzwerk assoziiert ist.</w:t>
      </w:r>
      <w:r w:rsidR="000F0DC9" w:rsidRPr="00D60A69">
        <w:rPr>
          <w:rStyle w:val="EndnoteRealZchn"/>
        </w:rPr>
        <w:fldChar w:fldCharType="begin"/>
      </w:r>
      <w:r w:rsidR="000F0DC9" w:rsidRPr="00D60A69">
        <w:rPr>
          <w:rStyle w:val="EndnoteRealZchn"/>
        </w:rPr>
        <w:instrText xml:space="preserve"> NOTEREF _Ref30425767 \h </w:instrText>
      </w:r>
      <w:r w:rsidR="00D60A69">
        <w:rPr>
          <w:rStyle w:val="EndnoteRealZchn"/>
        </w:rPr>
        <w:instrText xml:space="preserve"> \* MERGEFORMAT </w:instrText>
      </w:r>
      <w:r w:rsidR="000F0DC9" w:rsidRPr="00D60A69">
        <w:rPr>
          <w:rStyle w:val="EndnoteRealZchn"/>
        </w:rPr>
      </w:r>
      <w:r w:rsidR="000F0DC9" w:rsidRPr="00D60A69">
        <w:rPr>
          <w:rStyle w:val="EndnoteRealZchn"/>
        </w:rPr>
        <w:fldChar w:fldCharType="separate"/>
      </w:r>
      <w:r w:rsidR="001A283B">
        <w:rPr>
          <w:rStyle w:val="EndnoteRealZchn"/>
        </w:rPr>
        <w:t>12</w:t>
      </w:r>
      <w:r w:rsidR="000F0DC9" w:rsidRPr="00D60A69">
        <w:rPr>
          <w:rStyle w:val="EndnoteRealZchn"/>
        </w:rPr>
        <w:fldChar w:fldCharType="end"/>
      </w:r>
    </w:p>
    <w:p w14:paraId="38E63F88" w14:textId="37AB3B9A" w:rsidR="00E11869" w:rsidRPr="00207748" w:rsidRDefault="00447357" w:rsidP="004454B6">
      <w:pPr>
        <w:rPr>
          <w:rFonts w:ascii="Cambria" w:eastAsia="Arial" w:hAnsi="Cambria" w:cs="Arial"/>
          <w:b/>
          <w:bCs/>
          <w:sz w:val="20"/>
          <w:szCs w:val="20"/>
        </w:rPr>
      </w:pPr>
      <w:r w:rsidRPr="00207748">
        <w:rPr>
          <w:rFonts w:ascii="Cambria" w:hAnsi="Cambria" w:cs="Arial"/>
          <w:sz w:val="20"/>
          <w:szCs w:val="20"/>
        </w:rPr>
        <w:lastRenderedPageBreak/>
        <w:t>In Deutschland wird durch das Infektionsschutzgesetz die Surveillance von nosokomial</w:t>
      </w:r>
      <w:r w:rsidR="006F3A00" w:rsidRPr="00207748">
        <w:rPr>
          <w:rFonts w:ascii="Cambria" w:hAnsi="Cambria" w:cs="Arial"/>
          <w:sz w:val="20"/>
          <w:szCs w:val="20"/>
        </w:rPr>
        <w:t>en Infektionen entsprechend den</w:t>
      </w:r>
      <w:r w:rsidRPr="00207748">
        <w:rPr>
          <w:rFonts w:ascii="Cambria" w:hAnsi="Cambria" w:cs="Arial"/>
          <w:sz w:val="20"/>
          <w:szCs w:val="20"/>
        </w:rPr>
        <w:t xml:space="preserve"> Vorgaben des Robert Koch-Institutes gefordert.</w:t>
      </w:r>
      <w:r w:rsidR="00E04BCC" w:rsidRPr="00207748">
        <w:rPr>
          <w:rStyle w:val="Endnotenzeichen"/>
          <w:rFonts w:ascii="Cambria" w:hAnsi="Cambria" w:cs="Arial"/>
          <w:sz w:val="20"/>
          <w:szCs w:val="20"/>
        </w:rPr>
        <w:endnoteReference w:id="21"/>
      </w:r>
    </w:p>
    <w:tbl>
      <w:tblPr>
        <w:tblStyle w:val="TableNormal"/>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96"/>
        <w:gridCol w:w="1560"/>
        <w:gridCol w:w="907"/>
      </w:tblGrid>
      <w:tr w:rsidR="00E11869" w:rsidRPr="00207748" w14:paraId="54EC6626" w14:textId="77777777" w:rsidTr="002B1061">
        <w:trPr>
          <w:trHeight w:val="282"/>
        </w:trPr>
        <w:tc>
          <w:tcPr>
            <w:tcW w:w="1696" w:type="dxa"/>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7420286F"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t>5</w:t>
            </w:r>
            <w:r w:rsidR="00CB3020" w:rsidRPr="00207748">
              <w:rPr>
                <w:rFonts w:ascii="Cambria" w:hAnsi="Cambria" w:cs="Arial"/>
                <w:b/>
                <w:bCs/>
                <w:sz w:val="20"/>
                <w:szCs w:val="2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10BC16F9"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 xml:space="preserve">Empfehlung </w:t>
            </w:r>
          </w:p>
        </w:tc>
        <w:tc>
          <w:tcPr>
            <w:tcW w:w="907" w:type="dxa"/>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1ACA109F"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2018</w:t>
            </w:r>
          </w:p>
        </w:tc>
      </w:tr>
      <w:tr w:rsidR="00E11869" w:rsidRPr="00207748" w14:paraId="6273342A" w14:textId="77777777" w:rsidTr="002B1061">
        <w:trPr>
          <w:trHeight w:val="1337"/>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7971A"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t>Empfehlungsgrad</w:t>
            </w:r>
          </w:p>
          <w:p w14:paraId="000C6504" w14:textId="77777777" w:rsidR="00E11869" w:rsidRPr="00207748" w:rsidRDefault="00E11869" w:rsidP="004454B6">
            <w:pPr>
              <w:spacing w:after="0"/>
              <w:rPr>
                <w:rFonts w:ascii="Cambria" w:eastAsia="Arial" w:hAnsi="Cambria" w:cs="Arial"/>
                <w:sz w:val="20"/>
                <w:szCs w:val="20"/>
              </w:rPr>
            </w:pPr>
          </w:p>
          <w:p w14:paraId="768BF024" w14:textId="77777777" w:rsidR="00E11869" w:rsidRPr="00207748" w:rsidRDefault="00447357" w:rsidP="004454B6">
            <w:pPr>
              <w:spacing w:after="0"/>
              <w:rPr>
                <w:rFonts w:ascii="Cambria" w:eastAsia="Arial" w:hAnsi="Cambria" w:cs="Arial"/>
                <w:b/>
                <w:bCs/>
                <w:sz w:val="20"/>
                <w:szCs w:val="20"/>
              </w:rPr>
            </w:pPr>
            <w:r w:rsidRPr="00207748">
              <w:rPr>
                <w:rFonts w:ascii="Cambria" w:hAnsi="Cambria" w:cs="Arial"/>
                <w:b/>
                <w:bCs/>
                <w:sz w:val="20"/>
                <w:szCs w:val="20"/>
              </w:rPr>
              <w:t>stark</w:t>
            </w:r>
          </w:p>
          <w:p w14:paraId="71887CED" w14:textId="77777777" w:rsidR="00E11869" w:rsidRPr="00207748" w:rsidRDefault="00E11869" w:rsidP="004454B6">
            <w:pPr>
              <w:spacing w:after="0"/>
              <w:rPr>
                <w:rFonts w:ascii="Cambria" w:eastAsia="Arial" w:hAnsi="Cambria" w:cs="Arial"/>
                <w:sz w:val="20"/>
                <w:szCs w:val="20"/>
              </w:rPr>
            </w:pPr>
          </w:p>
          <w:p w14:paraId="1C2D94A6"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t>Evidenzgrad</w:t>
            </w:r>
          </w:p>
          <w:p w14:paraId="1BAC6439" w14:textId="77777777" w:rsidR="00E11869" w:rsidRPr="00207748" w:rsidRDefault="00E11869" w:rsidP="004454B6">
            <w:pPr>
              <w:spacing w:after="0"/>
              <w:rPr>
                <w:rFonts w:ascii="Cambria" w:eastAsia="Arial" w:hAnsi="Cambria" w:cs="Arial"/>
                <w:sz w:val="20"/>
                <w:szCs w:val="20"/>
              </w:rPr>
            </w:pPr>
          </w:p>
          <w:p w14:paraId="3F8D8FDC"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niedrig</w:t>
            </w:r>
          </w:p>
        </w:tc>
        <w:tc>
          <w:tcPr>
            <w:tcW w:w="24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4CAC2"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Wir empfehlen, multimodale Strategien zur Implementierung von Infektionspräventionsmaßnahmen einzusetzen</w:t>
            </w:r>
            <w:r w:rsidR="00E873A9" w:rsidRPr="00207748">
              <w:rPr>
                <w:rFonts w:ascii="Cambria" w:hAnsi="Cambria" w:cs="Arial"/>
                <w:b/>
                <w:bCs/>
                <w:sz w:val="20"/>
                <w:szCs w:val="20"/>
              </w:rPr>
              <w:t>.</w:t>
            </w:r>
          </w:p>
        </w:tc>
      </w:tr>
      <w:tr w:rsidR="00E11869" w:rsidRPr="00207748" w14:paraId="3156B46B" w14:textId="77777777" w:rsidTr="002B1061">
        <w:trPr>
          <w:trHeight w:val="366"/>
        </w:trPr>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14:paraId="78A5183B" w14:textId="77777777" w:rsidR="00E11869" w:rsidRPr="00207748" w:rsidRDefault="00E11869" w:rsidP="004454B6">
            <w:pPr>
              <w:rPr>
                <w:rFonts w:ascii="Cambria" w:hAnsi="Cambria" w:cs="Arial"/>
                <w:sz w:val="20"/>
                <w:szCs w:val="20"/>
              </w:rPr>
            </w:pPr>
          </w:p>
        </w:tc>
        <w:tc>
          <w:tcPr>
            <w:tcW w:w="24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F7BA1"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WHO</w:t>
            </w:r>
            <w:r w:rsidR="00EC3DBA" w:rsidRPr="00207748">
              <w:rPr>
                <w:rFonts w:ascii="Cambria" w:hAnsi="Cambria" w:cs="Arial"/>
                <w:b/>
                <w:bCs/>
                <w:sz w:val="20"/>
                <w:szCs w:val="20"/>
              </w:rPr>
              <w:t>-</w:t>
            </w:r>
            <w:r w:rsidRPr="00207748">
              <w:rPr>
                <w:rFonts w:ascii="Cambria" w:hAnsi="Cambria" w:cs="Arial"/>
                <w:b/>
                <w:bCs/>
                <w:sz w:val="20"/>
                <w:szCs w:val="20"/>
              </w:rPr>
              <w:t>Leitlinienadaptation</w:t>
            </w:r>
          </w:p>
        </w:tc>
      </w:tr>
      <w:tr w:rsidR="00E11869" w:rsidRPr="00207748" w14:paraId="57C8F224" w14:textId="77777777" w:rsidTr="002B1061">
        <w:trPr>
          <w:trHeight w:val="282"/>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43A1F" w14:textId="77777777" w:rsidR="00E11869" w:rsidRPr="00207748" w:rsidRDefault="00E11869" w:rsidP="004454B6">
            <w:pPr>
              <w:rPr>
                <w:rFonts w:ascii="Cambria" w:hAnsi="Cambria" w:cs="Arial"/>
                <w:sz w:val="20"/>
                <w:szCs w:val="20"/>
              </w:rPr>
            </w:pPr>
          </w:p>
        </w:tc>
        <w:tc>
          <w:tcPr>
            <w:tcW w:w="24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69B84" w14:textId="77777777" w:rsidR="00E11869" w:rsidRPr="00207748" w:rsidRDefault="00447357" w:rsidP="004454B6">
            <w:pPr>
              <w:spacing w:after="0"/>
              <w:rPr>
                <w:rFonts w:ascii="Cambria" w:hAnsi="Cambria" w:cs="Arial"/>
                <w:sz w:val="20"/>
                <w:szCs w:val="20"/>
              </w:rPr>
            </w:pPr>
            <w:r w:rsidRPr="00207748">
              <w:rPr>
                <w:rFonts w:ascii="Cambria" w:hAnsi="Cambria" w:cs="Arial"/>
                <w:sz w:val="20"/>
                <w:szCs w:val="20"/>
              </w:rPr>
              <w:t>Konsensstärke: 100 %</w:t>
            </w:r>
          </w:p>
        </w:tc>
      </w:tr>
    </w:tbl>
    <w:p w14:paraId="7BC7ED4A" w14:textId="0C36FBE2" w:rsidR="00E11869" w:rsidRPr="00D60A69" w:rsidRDefault="00420A45" w:rsidP="004454B6">
      <w:pPr>
        <w:spacing w:before="240"/>
        <w:rPr>
          <w:rStyle w:val="EndnoteRealZchn"/>
        </w:rPr>
      </w:pPr>
      <w:r w:rsidRPr="00207748">
        <w:rPr>
          <w:rFonts w:ascii="Cambria" w:hAnsi="Cambria" w:cs="Arial"/>
          <w:b/>
          <w:bCs/>
          <w:sz w:val="20"/>
          <w:szCs w:val="20"/>
        </w:rPr>
        <w:t>Begründung:</w:t>
      </w:r>
      <w:r w:rsidR="00447357" w:rsidRPr="00207748">
        <w:rPr>
          <w:rFonts w:ascii="Cambria" w:hAnsi="Cambria" w:cs="Arial"/>
          <w:b/>
          <w:bCs/>
          <w:sz w:val="20"/>
          <w:szCs w:val="20"/>
        </w:rPr>
        <w:t xml:space="preserve"> </w:t>
      </w:r>
      <w:r w:rsidR="00447357" w:rsidRPr="00207748">
        <w:rPr>
          <w:rFonts w:ascii="Cambria" w:hAnsi="Cambria" w:cs="Arial"/>
          <w:sz w:val="20"/>
          <w:szCs w:val="20"/>
        </w:rPr>
        <w:t>Innerhalb von</w:t>
      </w:r>
      <w:r w:rsidR="00447357" w:rsidRPr="00207748">
        <w:rPr>
          <w:rFonts w:ascii="Cambria" w:hAnsi="Cambria" w:cs="Arial"/>
          <w:b/>
          <w:bCs/>
          <w:sz w:val="20"/>
          <w:szCs w:val="20"/>
        </w:rPr>
        <w:t xml:space="preserve"> </w:t>
      </w:r>
      <w:r w:rsidR="00E15D93">
        <w:rPr>
          <w:rFonts w:ascii="Cambria" w:hAnsi="Cambria" w:cs="Arial"/>
          <w:sz w:val="20"/>
          <w:szCs w:val="20"/>
        </w:rPr>
        <w:t>m</w:t>
      </w:r>
      <w:r w:rsidR="00447357" w:rsidRPr="00207748">
        <w:rPr>
          <w:rFonts w:ascii="Cambria" w:hAnsi="Cambria" w:cs="Arial"/>
          <w:sz w:val="20"/>
          <w:szCs w:val="20"/>
        </w:rPr>
        <w:t>ultimodalen Strategien werden verschiedene Interventionen (drei oder mehr) zu einem Gesamtkonzept verbunden, z.B. in Checklisten, die durch multidisziplinäre Teams entsprechend den lokalen Bedingungen entwickelt werden. Sie sind insbesondere bei der Verbesserung der Händehygiene-Compliance, der Reduktion von Zentraler Venenkatheter (ZVK)-assoziierten Blutstrominfektionen und Beatmungs-assoziierten Pneumonien relevant, aber auch bei der Senkung der Zahl von Infektionen mit Methicillin-resistentem Staphylococcus aureus (MRSA) und Clostridium-difficile (C. difficile</w:t>
      </w:r>
      <w:r w:rsidR="00CB3020" w:rsidRPr="00207748">
        <w:rPr>
          <w:rFonts w:ascii="Cambria" w:hAnsi="Cambria" w:cs="Arial"/>
          <w:sz w:val="20"/>
          <w:szCs w:val="20"/>
        </w:rPr>
        <w:t>)</w:t>
      </w:r>
      <w:r w:rsidR="00447357" w:rsidRPr="00207748">
        <w:rPr>
          <w:rFonts w:ascii="Cambria" w:hAnsi="Cambria" w:cs="Arial"/>
          <w:sz w:val="20"/>
          <w:szCs w:val="20"/>
        </w:rPr>
        <w:t>. Die Evidenz wurde entsprechend der in den evidenzbasierten Empfehlungen der WHO</w:t>
      </w:r>
      <w:r w:rsidR="002B1061">
        <w:rPr>
          <w:rFonts w:ascii="Cambria" w:hAnsi="Cambria" w:cs="Arial"/>
          <w:sz w:val="20"/>
          <w:szCs w:val="20"/>
        </w:rPr>
        <w:t xml:space="preserve"> </w:t>
      </w:r>
      <w:r w:rsidR="00447357" w:rsidRPr="00207748">
        <w:rPr>
          <w:rFonts w:ascii="Cambria" w:hAnsi="Cambria" w:cs="Arial"/>
          <w:sz w:val="20"/>
          <w:szCs w:val="20"/>
        </w:rPr>
        <w:t>angeführten 44 Studien evaluiert.</w:t>
      </w:r>
      <w:r w:rsidR="000F0DC9" w:rsidRPr="00D60A69">
        <w:rPr>
          <w:rStyle w:val="EndnoteRealZchn"/>
        </w:rPr>
        <w:fldChar w:fldCharType="begin"/>
      </w:r>
      <w:r w:rsidR="000F0DC9" w:rsidRPr="00D60A69">
        <w:rPr>
          <w:rStyle w:val="EndnoteRealZchn"/>
        </w:rPr>
        <w:instrText xml:space="preserve"> NOTEREF _Ref30425767 \h </w:instrText>
      </w:r>
      <w:r w:rsidR="00D60A69">
        <w:rPr>
          <w:rStyle w:val="EndnoteRealZchn"/>
        </w:rPr>
        <w:instrText xml:space="preserve"> \* MERGEFORMAT </w:instrText>
      </w:r>
      <w:r w:rsidR="000F0DC9" w:rsidRPr="00D60A69">
        <w:rPr>
          <w:rStyle w:val="EndnoteRealZchn"/>
        </w:rPr>
      </w:r>
      <w:r w:rsidR="000F0DC9" w:rsidRPr="00D60A69">
        <w:rPr>
          <w:rStyle w:val="EndnoteRealZchn"/>
        </w:rPr>
        <w:fldChar w:fldCharType="separate"/>
      </w:r>
      <w:r w:rsidR="001A283B">
        <w:rPr>
          <w:rStyle w:val="EndnoteRealZchn"/>
        </w:rPr>
        <w:t>12</w:t>
      </w:r>
      <w:r w:rsidR="000F0DC9" w:rsidRPr="00D60A69">
        <w:rPr>
          <w:rStyle w:val="EndnoteRealZchn"/>
        </w:rPr>
        <w:fldChar w:fldCharType="end"/>
      </w:r>
    </w:p>
    <w:p w14:paraId="3FE72B37" w14:textId="77777777" w:rsidR="00E11869" w:rsidRPr="00207748" w:rsidRDefault="00447357" w:rsidP="004454B6">
      <w:pPr>
        <w:rPr>
          <w:rFonts w:ascii="Cambria" w:eastAsia="Arial" w:hAnsi="Cambria" w:cs="Arial"/>
          <w:sz w:val="20"/>
          <w:szCs w:val="20"/>
          <w:shd w:val="clear" w:color="auto" w:fill="C0C0C0"/>
        </w:rPr>
      </w:pPr>
      <w:r w:rsidRPr="00207748">
        <w:rPr>
          <w:rFonts w:ascii="Cambria" w:hAnsi="Cambria" w:cs="Arial"/>
          <w:sz w:val="20"/>
          <w:szCs w:val="20"/>
        </w:rPr>
        <w:t>Insgesamt wurde die Evidenz als niedrig beurteilt, da zitierte Studien und Studien-Designs ein mittleres bis hohes Bias-Risiko aufzeigten. Auf Basis dieser Evidenz sprach sich die Leitliniengruppe der WHO für eine starke Empfehlung aus, multimodale Strategien zur Infektionsprävention einzusetzen.</w:t>
      </w:r>
      <w:r w:rsidRPr="00207748">
        <w:rPr>
          <w:rFonts w:ascii="Cambria" w:hAnsi="Cambria" w:cs="Arial"/>
          <w:sz w:val="20"/>
          <w:szCs w:val="20"/>
          <w:shd w:val="clear" w:color="auto" w:fill="C0C0C0"/>
        </w:rPr>
        <w:t xml:space="preserve"> </w:t>
      </w:r>
    </w:p>
    <w:p w14:paraId="2271B639" w14:textId="77777777" w:rsidR="00E11869" w:rsidRPr="00207748" w:rsidRDefault="00447357" w:rsidP="004454B6">
      <w:pPr>
        <w:rPr>
          <w:rFonts w:ascii="Cambria" w:hAnsi="Cambria" w:cs="Arial"/>
          <w:sz w:val="20"/>
          <w:szCs w:val="20"/>
        </w:rPr>
      </w:pPr>
      <w:r w:rsidRPr="00207748">
        <w:rPr>
          <w:rFonts w:ascii="Cambria" w:hAnsi="Cambria" w:cs="Arial"/>
          <w:sz w:val="20"/>
          <w:szCs w:val="20"/>
        </w:rPr>
        <w:t>In Deutschland kann die Evidenz für verschiedene Einzelmaßnahmen der multimodalen Strategien den jeweiligen KRINKO-Empfehlungen entnommen werden.</w:t>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762"/>
        <w:gridCol w:w="1642"/>
        <w:gridCol w:w="821"/>
      </w:tblGrid>
      <w:tr w:rsidR="00E11869" w:rsidRPr="00207748" w14:paraId="3DF53310"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7F6868FE"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lastRenderedPageBreak/>
              <w:t>6</w:t>
            </w:r>
            <w:r w:rsidR="00CB3020" w:rsidRPr="00207748">
              <w:rPr>
                <w:rFonts w:ascii="Cambria" w:hAnsi="Cambria" w:cs="Arial"/>
                <w:b/>
                <w:bCs/>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390D2A1"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45ED5C28"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2018</w:t>
            </w:r>
          </w:p>
        </w:tc>
      </w:tr>
      <w:tr w:rsidR="00E11869" w:rsidRPr="00207748" w14:paraId="7DD26A9E" w14:textId="77777777" w:rsidTr="00342FB3">
        <w:trPr>
          <w:trHeight w:val="252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B4C010"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Expertenkonsens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8D1B8"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Wir empfehlen, regelmäßig die Einhaltung von Standards zur Infektionsprävention zu überprüfen und Feedback an alle beobachteten Einheiten zu geben</w:t>
            </w:r>
            <w:r w:rsidRPr="00207748">
              <w:rPr>
                <w:rFonts w:ascii="Cambria" w:hAnsi="Cambria" w:cs="Arial"/>
                <w:sz w:val="20"/>
                <w:szCs w:val="20"/>
              </w:rPr>
              <w:t>.</w:t>
            </w:r>
          </w:p>
        </w:tc>
      </w:tr>
      <w:tr w:rsidR="00E11869" w:rsidRPr="00207748" w14:paraId="68695E25" w14:textId="77777777" w:rsidTr="00207748">
        <w:trPr>
          <w:trHeight w:val="1191"/>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0C511A06"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01DF1"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WHO</w:t>
            </w:r>
            <w:r w:rsidR="00EC3DBA" w:rsidRPr="00207748">
              <w:rPr>
                <w:rFonts w:ascii="Cambria" w:hAnsi="Cambria" w:cs="Arial"/>
                <w:b/>
                <w:bCs/>
                <w:sz w:val="20"/>
                <w:szCs w:val="20"/>
              </w:rPr>
              <w:t>-</w:t>
            </w:r>
            <w:r w:rsidRPr="00207748">
              <w:rPr>
                <w:rFonts w:ascii="Cambria" w:hAnsi="Cambria" w:cs="Arial"/>
                <w:b/>
                <w:bCs/>
                <w:sz w:val="20"/>
                <w:szCs w:val="20"/>
              </w:rPr>
              <w:t>Leitlinienadaptation; Abweichung des Emp</w:t>
            </w:r>
            <w:r w:rsidR="002F45C9" w:rsidRPr="00207748">
              <w:rPr>
                <w:rFonts w:ascii="Cambria" w:hAnsi="Cambria" w:cs="Arial"/>
                <w:b/>
                <w:bCs/>
                <w:sz w:val="20"/>
                <w:szCs w:val="20"/>
              </w:rPr>
              <w:t>fehlungsgrades</w:t>
            </w:r>
          </w:p>
        </w:tc>
      </w:tr>
      <w:tr w:rsidR="00E11869" w:rsidRPr="00207748" w14:paraId="6BBBB0E3"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DA91A"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D275C" w14:textId="77777777" w:rsidR="00E11869" w:rsidRPr="00207748" w:rsidRDefault="006825F9" w:rsidP="004454B6">
            <w:pPr>
              <w:spacing w:after="0"/>
              <w:rPr>
                <w:rFonts w:ascii="Cambria" w:hAnsi="Cambria" w:cs="Arial"/>
                <w:sz w:val="20"/>
                <w:szCs w:val="20"/>
              </w:rPr>
            </w:pPr>
            <w:r w:rsidRPr="00207748">
              <w:rPr>
                <w:rFonts w:ascii="Cambria" w:hAnsi="Cambria" w:cs="Arial"/>
                <w:sz w:val="20"/>
                <w:szCs w:val="20"/>
              </w:rPr>
              <w:t>Konsensstärke:</w:t>
            </w:r>
            <w:r w:rsidR="00447357" w:rsidRPr="00207748">
              <w:rPr>
                <w:rFonts w:ascii="Cambria" w:hAnsi="Cambria" w:cs="Arial"/>
                <w:sz w:val="20"/>
                <w:szCs w:val="20"/>
              </w:rPr>
              <w:t xml:space="preserve"> 100 %</w:t>
            </w:r>
          </w:p>
        </w:tc>
      </w:tr>
    </w:tbl>
    <w:p w14:paraId="6ABBD17D" w14:textId="4166F903" w:rsidR="00E11869" w:rsidRPr="00207748" w:rsidRDefault="00342FB3" w:rsidP="004454B6">
      <w:pPr>
        <w:spacing w:before="240"/>
        <w:rPr>
          <w:rFonts w:ascii="Cambria" w:eastAsia="Arial" w:hAnsi="Cambria" w:cs="Arial"/>
          <w:b/>
          <w:bCs/>
          <w:sz w:val="20"/>
          <w:szCs w:val="20"/>
        </w:rPr>
      </w:pPr>
      <w:r w:rsidRPr="00207748">
        <w:rPr>
          <w:rFonts w:ascii="Cambria" w:hAnsi="Cambria" w:cs="Arial"/>
          <w:b/>
          <w:bCs/>
          <w:sz w:val="20"/>
          <w:szCs w:val="20"/>
        </w:rPr>
        <w:t>Begründung</w:t>
      </w:r>
      <w:r w:rsidR="00420A45" w:rsidRPr="00207748">
        <w:rPr>
          <w:rFonts w:ascii="Cambria" w:hAnsi="Cambria" w:cs="Arial"/>
          <w:b/>
          <w:bCs/>
          <w:sz w:val="20"/>
          <w:szCs w:val="20"/>
        </w:rPr>
        <w:t>:</w:t>
      </w:r>
      <w:r w:rsidR="00FC5CA1" w:rsidRPr="00207748">
        <w:rPr>
          <w:rFonts w:ascii="Cambria" w:eastAsia="Arial" w:hAnsi="Cambria" w:cs="Arial"/>
          <w:b/>
          <w:bCs/>
          <w:sz w:val="20"/>
          <w:szCs w:val="20"/>
        </w:rPr>
        <w:t xml:space="preserve"> </w:t>
      </w:r>
      <w:r w:rsidR="00447357" w:rsidRPr="00207748">
        <w:rPr>
          <w:rFonts w:ascii="Cambria" w:hAnsi="Cambria" w:cs="Arial"/>
          <w:sz w:val="20"/>
          <w:szCs w:val="20"/>
        </w:rPr>
        <w:t>Die Evaluation der Evidenz aus sechs Studien durch die WHO zeigt, dass reguläres Monitoring inklusive Feedback effektiv ist, um die Compliance mit bestimmten Pflegemaßnahmen (z.B. Händehygiene) zu steigern und die nosokomialen Infektionsraten zu reduzieren.</w:t>
      </w:r>
      <w:r w:rsidR="000F0DC9" w:rsidRPr="00D60A69">
        <w:rPr>
          <w:rStyle w:val="EndnoteRealZchn"/>
        </w:rPr>
        <w:fldChar w:fldCharType="begin"/>
      </w:r>
      <w:r w:rsidR="000F0DC9" w:rsidRPr="00D60A69">
        <w:rPr>
          <w:rStyle w:val="EndnoteRealZchn"/>
        </w:rPr>
        <w:instrText xml:space="preserve"> NOTEREF _Ref30425767 \h </w:instrText>
      </w:r>
      <w:r w:rsidR="00D60A69">
        <w:rPr>
          <w:rStyle w:val="EndnoteRealZchn"/>
        </w:rPr>
        <w:instrText xml:space="preserve"> \* MERGEFORMAT </w:instrText>
      </w:r>
      <w:r w:rsidR="000F0DC9" w:rsidRPr="00D60A69">
        <w:rPr>
          <w:rStyle w:val="EndnoteRealZchn"/>
        </w:rPr>
      </w:r>
      <w:r w:rsidR="000F0DC9" w:rsidRPr="00D60A69">
        <w:rPr>
          <w:rStyle w:val="EndnoteRealZchn"/>
        </w:rPr>
        <w:fldChar w:fldCharType="separate"/>
      </w:r>
      <w:r w:rsidR="001A283B">
        <w:rPr>
          <w:rStyle w:val="EndnoteRealZchn"/>
        </w:rPr>
        <w:t>12</w:t>
      </w:r>
      <w:r w:rsidR="000F0DC9" w:rsidRPr="00D60A69">
        <w:rPr>
          <w:rStyle w:val="EndnoteRealZchn"/>
        </w:rPr>
        <w:fldChar w:fldCharType="end"/>
      </w:r>
    </w:p>
    <w:p w14:paraId="42608B2A" w14:textId="23343DD7" w:rsidR="00E11869" w:rsidRDefault="00447357" w:rsidP="004454B6">
      <w:pPr>
        <w:spacing w:before="240"/>
        <w:rPr>
          <w:rFonts w:ascii="Cambria" w:hAnsi="Cambria" w:cs="Arial"/>
          <w:sz w:val="20"/>
          <w:szCs w:val="20"/>
        </w:rPr>
      </w:pPr>
      <w:r w:rsidRPr="00207748">
        <w:rPr>
          <w:rFonts w:ascii="Cambria" w:hAnsi="Cambria" w:cs="Arial"/>
          <w:sz w:val="20"/>
          <w:szCs w:val="20"/>
        </w:rPr>
        <w:t>In Deutschland gehört es zum Aufgabenspektrum der Hygienefachkräfte solche Überprüfungen (Audits) vorzunehmen.</w:t>
      </w:r>
    </w:p>
    <w:p w14:paraId="263513AF" w14:textId="6B0F6D35" w:rsidR="00B26F79" w:rsidRDefault="00B26F79" w:rsidP="004454B6">
      <w:pPr>
        <w:spacing w:before="240"/>
        <w:rPr>
          <w:rFonts w:ascii="Cambria" w:hAnsi="Cambria" w:cs="Arial"/>
          <w:sz w:val="20"/>
          <w:szCs w:val="20"/>
        </w:rPr>
      </w:pPr>
    </w:p>
    <w:p w14:paraId="49DD7DCB" w14:textId="6D769BE6" w:rsidR="00B26F79" w:rsidRDefault="00B26F79" w:rsidP="004454B6">
      <w:pPr>
        <w:spacing w:before="240"/>
        <w:rPr>
          <w:rFonts w:ascii="Cambria" w:hAnsi="Cambria" w:cs="Arial"/>
          <w:sz w:val="20"/>
          <w:szCs w:val="20"/>
        </w:rPr>
      </w:pPr>
    </w:p>
    <w:p w14:paraId="7A47C448" w14:textId="47997537" w:rsidR="00B26F79" w:rsidRDefault="00B26F79" w:rsidP="004454B6">
      <w:pPr>
        <w:spacing w:before="240"/>
        <w:rPr>
          <w:rFonts w:ascii="Cambria" w:hAnsi="Cambria" w:cs="Arial"/>
          <w:sz w:val="20"/>
          <w:szCs w:val="20"/>
        </w:rPr>
      </w:pPr>
    </w:p>
    <w:p w14:paraId="65329DD6" w14:textId="09E60104" w:rsidR="00B26F79" w:rsidRDefault="00B26F79" w:rsidP="004454B6">
      <w:pPr>
        <w:spacing w:before="240"/>
        <w:rPr>
          <w:rFonts w:ascii="Cambria" w:hAnsi="Cambria" w:cs="Arial"/>
          <w:sz w:val="20"/>
          <w:szCs w:val="20"/>
        </w:rPr>
      </w:pPr>
    </w:p>
    <w:p w14:paraId="57C1AE80" w14:textId="53BFF34B" w:rsidR="00B26F79" w:rsidRDefault="00B26F79" w:rsidP="004454B6">
      <w:pPr>
        <w:spacing w:before="240"/>
        <w:rPr>
          <w:rFonts w:ascii="Cambria" w:hAnsi="Cambria" w:cs="Arial"/>
          <w:sz w:val="20"/>
          <w:szCs w:val="20"/>
        </w:rPr>
      </w:pPr>
    </w:p>
    <w:p w14:paraId="05E57864" w14:textId="08D57BFC" w:rsidR="00B26F79" w:rsidRDefault="00B26F79" w:rsidP="004454B6">
      <w:pPr>
        <w:spacing w:before="240"/>
        <w:rPr>
          <w:rFonts w:ascii="Cambria" w:hAnsi="Cambria" w:cs="Arial"/>
          <w:sz w:val="20"/>
          <w:szCs w:val="20"/>
        </w:rPr>
      </w:pPr>
    </w:p>
    <w:p w14:paraId="01021A43" w14:textId="4A009C88" w:rsidR="00B26F79" w:rsidRDefault="00B26F79" w:rsidP="004454B6">
      <w:pPr>
        <w:spacing w:before="240"/>
        <w:rPr>
          <w:rFonts w:ascii="Cambria" w:hAnsi="Cambria" w:cs="Arial"/>
          <w:sz w:val="20"/>
          <w:szCs w:val="20"/>
        </w:rPr>
      </w:pPr>
    </w:p>
    <w:p w14:paraId="1481DF4E" w14:textId="77777777" w:rsidR="00B26F79" w:rsidRPr="00207748" w:rsidRDefault="00B26F79" w:rsidP="004454B6">
      <w:pPr>
        <w:spacing w:before="240"/>
        <w:rPr>
          <w:rFonts w:ascii="Cambria" w:hAnsi="Cambria" w:cs="Arial"/>
          <w:sz w:val="20"/>
          <w:szCs w:val="20"/>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883"/>
        <w:gridCol w:w="1659"/>
        <w:gridCol w:w="791"/>
      </w:tblGrid>
      <w:tr w:rsidR="00E11869" w:rsidRPr="00207748" w14:paraId="224A81DC" w14:textId="77777777" w:rsidTr="00B26F79">
        <w:trPr>
          <w:trHeight w:val="282"/>
        </w:trPr>
        <w:tc>
          <w:tcPr>
            <w:tcW w:w="2173"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0CC7B389"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t>7</w:t>
            </w:r>
            <w:r w:rsidR="00342FB3" w:rsidRPr="00207748">
              <w:rPr>
                <w:rFonts w:ascii="Cambria" w:hAnsi="Cambria" w:cs="Arial"/>
                <w:b/>
                <w:bCs/>
                <w:sz w:val="20"/>
                <w:szCs w:val="20"/>
              </w:rPr>
              <w:t>.</w:t>
            </w:r>
          </w:p>
        </w:tc>
        <w:tc>
          <w:tcPr>
            <w:tcW w:w="1914"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43F4A1C"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 xml:space="preserve">Empfehlung </w:t>
            </w:r>
          </w:p>
        </w:tc>
        <w:tc>
          <w:tcPr>
            <w:tcW w:w="914"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B0B0EFA"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2018</w:t>
            </w:r>
          </w:p>
        </w:tc>
      </w:tr>
      <w:tr w:rsidR="00E11869" w:rsidRPr="00207748" w14:paraId="34E2D24A" w14:textId="77777777" w:rsidTr="00B26F79">
        <w:trPr>
          <w:trHeight w:val="3775"/>
        </w:trPr>
        <w:tc>
          <w:tcPr>
            <w:tcW w:w="2173"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64A446"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lastRenderedPageBreak/>
              <w:t>Expertenkonsens</w:t>
            </w:r>
          </w:p>
        </w:tc>
        <w:tc>
          <w:tcPr>
            <w:tcW w:w="282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ED29D" w14:textId="48E75D7D"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Wir empfehlen, dass die Bettenbelegung nicht die Standardkapazität der Einrichtung übersteigen sollte und die Personal</w:t>
            </w:r>
            <w:r w:rsidR="00B26F79">
              <w:rPr>
                <w:rFonts w:ascii="Cambria" w:hAnsi="Cambria" w:cs="Arial"/>
                <w:b/>
                <w:bCs/>
                <w:sz w:val="20"/>
                <w:szCs w:val="20"/>
              </w:rPr>
              <w:t>-</w:t>
            </w:r>
            <w:r w:rsidRPr="00207748">
              <w:rPr>
                <w:rFonts w:ascii="Cambria" w:hAnsi="Cambria" w:cs="Arial"/>
                <w:b/>
                <w:bCs/>
                <w:sz w:val="20"/>
                <w:szCs w:val="20"/>
              </w:rPr>
              <w:t>ausstattung adäquat entsprechend der mit den Patienten verbundenen Arbeitsbelastung festgelegt werden sollte</w:t>
            </w:r>
            <w:r w:rsidRPr="00207748">
              <w:rPr>
                <w:rFonts w:ascii="Cambria" w:hAnsi="Cambria" w:cs="Arial"/>
                <w:sz w:val="20"/>
                <w:szCs w:val="20"/>
              </w:rPr>
              <w:t>.</w:t>
            </w:r>
          </w:p>
        </w:tc>
      </w:tr>
      <w:tr w:rsidR="00E11869" w:rsidRPr="00207748" w14:paraId="7FCCC684" w14:textId="77777777" w:rsidTr="00B26F79">
        <w:trPr>
          <w:trHeight w:val="1080"/>
        </w:trPr>
        <w:tc>
          <w:tcPr>
            <w:tcW w:w="2173" w:type="pct"/>
            <w:vMerge/>
            <w:tcBorders>
              <w:top w:val="single" w:sz="4" w:space="0" w:color="000000"/>
              <w:left w:val="single" w:sz="4" w:space="0" w:color="000000"/>
              <w:bottom w:val="single" w:sz="4" w:space="0" w:color="000000"/>
              <w:right w:val="single" w:sz="4" w:space="0" w:color="000000"/>
            </w:tcBorders>
            <w:shd w:val="clear" w:color="auto" w:fill="auto"/>
          </w:tcPr>
          <w:p w14:paraId="7CAA2118" w14:textId="77777777" w:rsidR="00E11869" w:rsidRPr="00207748" w:rsidRDefault="00E11869" w:rsidP="004454B6">
            <w:pPr>
              <w:rPr>
                <w:rFonts w:ascii="Cambria" w:hAnsi="Cambria" w:cs="Arial"/>
                <w:sz w:val="20"/>
                <w:szCs w:val="20"/>
              </w:rPr>
            </w:pPr>
          </w:p>
        </w:tc>
        <w:tc>
          <w:tcPr>
            <w:tcW w:w="282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4891C"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WHO</w:t>
            </w:r>
            <w:r w:rsidR="00EC3DBA" w:rsidRPr="00207748">
              <w:rPr>
                <w:rFonts w:ascii="Cambria" w:hAnsi="Cambria" w:cs="Arial"/>
                <w:b/>
                <w:bCs/>
                <w:sz w:val="20"/>
                <w:szCs w:val="20"/>
              </w:rPr>
              <w:t>-</w:t>
            </w:r>
            <w:r w:rsidRPr="00207748">
              <w:rPr>
                <w:rFonts w:ascii="Cambria" w:hAnsi="Cambria" w:cs="Arial"/>
                <w:b/>
                <w:bCs/>
                <w:sz w:val="20"/>
                <w:szCs w:val="20"/>
              </w:rPr>
              <w:t>Leitlinienadaptation; Abweichung des Empfehlungsgrades</w:t>
            </w:r>
          </w:p>
        </w:tc>
      </w:tr>
      <w:tr w:rsidR="00E11869" w:rsidRPr="00207748" w14:paraId="743A8C16" w14:textId="77777777" w:rsidTr="00B26F79">
        <w:trPr>
          <w:trHeight w:val="282"/>
        </w:trPr>
        <w:tc>
          <w:tcPr>
            <w:tcW w:w="21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8C3DD" w14:textId="77777777" w:rsidR="00E11869" w:rsidRPr="00207748" w:rsidRDefault="00E11869" w:rsidP="004454B6">
            <w:pPr>
              <w:rPr>
                <w:rFonts w:ascii="Cambria" w:hAnsi="Cambria" w:cs="Arial"/>
                <w:sz w:val="20"/>
                <w:szCs w:val="20"/>
              </w:rPr>
            </w:pPr>
          </w:p>
        </w:tc>
        <w:tc>
          <w:tcPr>
            <w:tcW w:w="282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EF6B0" w14:textId="77777777" w:rsidR="00E11869" w:rsidRPr="00207748" w:rsidRDefault="00447357" w:rsidP="004454B6">
            <w:pPr>
              <w:spacing w:after="0"/>
              <w:rPr>
                <w:rFonts w:ascii="Cambria" w:hAnsi="Cambria" w:cs="Arial"/>
                <w:sz w:val="20"/>
                <w:szCs w:val="20"/>
              </w:rPr>
            </w:pPr>
            <w:r w:rsidRPr="00207748">
              <w:rPr>
                <w:rFonts w:ascii="Cambria" w:hAnsi="Cambria" w:cs="Arial"/>
                <w:sz w:val="20"/>
                <w:szCs w:val="20"/>
              </w:rPr>
              <w:t>Konsensstärke: 100 %</w:t>
            </w:r>
          </w:p>
        </w:tc>
      </w:tr>
    </w:tbl>
    <w:p w14:paraId="47741C54" w14:textId="0375DFA7" w:rsidR="00E11869" w:rsidRPr="00207748" w:rsidRDefault="00342FB3" w:rsidP="004454B6">
      <w:pPr>
        <w:spacing w:before="240"/>
        <w:rPr>
          <w:rFonts w:ascii="Cambria" w:eastAsia="Arial" w:hAnsi="Cambria" w:cs="Arial"/>
          <w:iCs/>
          <w:sz w:val="20"/>
          <w:szCs w:val="20"/>
        </w:rPr>
      </w:pPr>
      <w:r w:rsidRPr="00207748">
        <w:rPr>
          <w:rFonts w:ascii="Cambria" w:hAnsi="Cambria" w:cs="Arial"/>
          <w:b/>
          <w:bCs/>
          <w:sz w:val="20"/>
          <w:szCs w:val="20"/>
        </w:rPr>
        <w:t>Begründung</w:t>
      </w:r>
      <w:r w:rsidR="00420A45" w:rsidRPr="00207748">
        <w:rPr>
          <w:rFonts w:ascii="Cambria" w:hAnsi="Cambria" w:cs="Arial"/>
          <w:b/>
          <w:bCs/>
          <w:sz w:val="20"/>
          <w:szCs w:val="20"/>
        </w:rPr>
        <w:t>:</w:t>
      </w:r>
      <w:r w:rsidR="00447357" w:rsidRPr="00207748">
        <w:rPr>
          <w:rFonts w:ascii="Cambria" w:hAnsi="Cambria" w:cs="Arial"/>
          <w:b/>
          <w:bCs/>
          <w:sz w:val="20"/>
          <w:szCs w:val="20"/>
        </w:rPr>
        <w:t xml:space="preserve"> </w:t>
      </w:r>
      <w:r w:rsidR="00447357" w:rsidRPr="00207748">
        <w:rPr>
          <w:rFonts w:ascii="Cambria" w:hAnsi="Cambria" w:cs="Arial"/>
          <w:sz w:val="20"/>
          <w:szCs w:val="20"/>
        </w:rPr>
        <w:t>Es gibt hinreichend Studien, die eine Assoziation zwischen (niedrigem) Personalschlüssel und (hohen) nosokomialen Infektionsraten gezeigt haben. Für Deutschland wurde dies u.a. in der</w:t>
      </w:r>
      <w:r w:rsidR="002B1061">
        <w:rPr>
          <w:rFonts w:ascii="Cambria" w:hAnsi="Cambria" w:cs="Arial"/>
          <w:sz w:val="20"/>
          <w:szCs w:val="20"/>
        </w:rPr>
        <w:t xml:space="preserve"> </w:t>
      </w:r>
      <w:r w:rsidR="00447357" w:rsidRPr="00207748">
        <w:rPr>
          <w:rFonts w:ascii="Cambria" w:hAnsi="Cambria" w:cs="Arial"/>
          <w:sz w:val="20"/>
          <w:szCs w:val="20"/>
        </w:rPr>
        <w:t>Studie von Schwab et al.</w:t>
      </w:r>
      <w:r w:rsidR="00447357" w:rsidRPr="00207748">
        <w:rPr>
          <w:rFonts w:ascii="Cambria" w:eastAsia="Arial" w:hAnsi="Cambria" w:cs="Arial"/>
          <w:sz w:val="20"/>
          <w:szCs w:val="20"/>
          <w:vertAlign w:val="superscript"/>
        </w:rPr>
        <w:endnoteReference w:id="22"/>
      </w:r>
      <w:r w:rsidR="00447357" w:rsidRPr="00207748">
        <w:rPr>
          <w:rFonts w:ascii="Cambria" w:hAnsi="Cambria" w:cs="Arial"/>
          <w:sz w:val="20"/>
          <w:szCs w:val="20"/>
        </w:rPr>
        <w:t xml:space="preserve"> untersucht und dargelegt.</w:t>
      </w:r>
    </w:p>
    <w:p w14:paraId="4C6F8A99" w14:textId="77777777" w:rsidR="00E11869" w:rsidRPr="00207748" w:rsidRDefault="00447357" w:rsidP="004454B6">
      <w:pPr>
        <w:rPr>
          <w:rFonts w:ascii="Cambria" w:eastAsia="Arial" w:hAnsi="Cambria" w:cs="Arial"/>
          <w:sz w:val="20"/>
          <w:szCs w:val="20"/>
        </w:rPr>
      </w:pPr>
      <w:r w:rsidRPr="00207748">
        <w:rPr>
          <w:rFonts w:ascii="Cambria" w:hAnsi="Cambria" w:cs="Arial"/>
          <w:sz w:val="20"/>
          <w:szCs w:val="20"/>
        </w:rPr>
        <w:t>Es ist allerdings nicht möglich, auf Basis der Studien einen Schwellenwert für eine Mindest-Personalausstattung anzugeben. Hintergrund dafür sind die unterschiedliche Risikostruktur der Patienten in den verschiedenen Studien und die unterschiedlichen Methoden zur Bestimmung der Personalausstattung. Dadurch sind die Daten der Studien nicht im Sinne einer Meta-Analyse verwendbar.</w:t>
      </w:r>
    </w:p>
    <w:p w14:paraId="179A773D" w14:textId="5AF56EC1" w:rsidR="002B1061" w:rsidRDefault="00447357" w:rsidP="004454B6">
      <w:pPr>
        <w:rPr>
          <w:rFonts w:ascii="Cambria" w:hAnsi="Cambria" w:cs="Arial"/>
          <w:sz w:val="20"/>
          <w:szCs w:val="20"/>
        </w:rPr>
      </w:pPr>
      <w:r w:rsidRPr="00207748">
        <w:rPr>
          <w:rFonts w:ascii="Cambria" w:hAnsi="Cambria" w:cs="Arial"/>
          <w:sz w:val="20"/>
          <w:szCs w:val="20"/>
        </w:rPr>
        <w:t xml:space="preserve">Die WHO-Leitlinie sprach anhand von 19 Studien eine starke Zustimmung bei sehr geringer Beweisqualität aus, dass eine über die Standardkapazität der Einrichtung hinausgehende Bettenbelegung sowie ein unzureichender Personalbestand im Gesundheitswesen mit dem erhöhten Risiko nosokomialer Infektion verbunden </w:t>
      </w:r>
      <w:r w:rsidR="004454B6" w:rsidRPr="00207748">
        <w:rPr>
          <w:rFonts w:ascii="Cambria" w:hAnsi="Cambria" w:cs="Arial"/>
          <w:sz w:val="20"/>
          <w:szCs w:val="20"/>
        </w:rPr>
        <w:t>sind</w:t>
      </w:r>
      <w:r w:rsidRPr="00207748">
        <w:rPr>
          <w:rFonts w:ascii="Cambria" w:hAnsi="Cambria" w:cs="Arial"/>
          <w:sz w:val="20"/>
          <w:szCs w:val="20"/>
        </w:rPr>
        <w:t>.</w:t>
      </w:r>
    </w:p>
    <w:p w14:paraId="14A6C9AB" w14:textId="77777777" w:rsidR="002B1061" w:rsidRDefault="002B1061">
      <w:pPr>
        <w:spacing w:after="0" w:line="240" w:lineRule="auto"/>
        <w:rPr>
          <w:rFonts w:ascii="Cambria" w:hAnsi="Cambria" w:cs="Arial"/>
          <w:sz w:val="20"/>
          <w:szCs w:val="20"/>
        </w:rPr>
      </w:pPr>
      <w:r>
        <w:rPr>
          <w:rFonts w:ascii="Cambria" w:hAnsi="Cambria" w:cs="Arial"/>
          <w:sz w:val="20"/>
          <w:szCs w:val="20"/>
        </w:rPr>
        <w:br w:type="page"/>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762"/>
        <w:gridCol w:w="1665"/>
        <w:gridCol w:w="798"/>
      </w:tblGrid>
      <w:tr w:rsidR="00E11869" w:rsidRPr="00207748" w14:paraId="1ED45887"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1BDD2153"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lastRenderedPageBreak/>
              <w:t>8</w:t>
            </w:r>
            <w:r w:rsidR="00342FB3" w:rsidRPr="00207748">
              <w:rPr>
                <w:rFonts w:ascii="Cambria" w:hAnsi="Cambria" w:cs="Arial"/>
                <w:b/>
                <w:bCs/>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0D542F8B"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71B0986C"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2018</w:t>
            </w:r>
          </w:p>
        </w:tc>
      </w:tr>
      <w:tr w:rsidR="00E11869" w:rsidRPr="00207748" w14:paraId="52206870" w14:textId="77777777" w:rsidTr="00342FB3">
        <w:trPr>
          <w:trHeight w:val="196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54FF18"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Expertenkonsens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B2391"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Wir empfehlen, die notwendigen Materialien für die Händehygiene unmittelbar am Behandlungsort zur Verfügung zu stellen.</w:t>
            </w:r>
          </w:p>
        </w:tc>
      </w:tr>
      <w:tr w:rsidR="00E11869" w:rsidRPr="00207748" w14:paraId="00F12D57" w14:textId="77777777" w:rsidTr="00207748">
        <w:trPr>
          <w:trHeight w:val="1128"/>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405366C8"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AD52E"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WHO</w:t>
            </w:r>
            <w:r w:rsidR="00EC3DBA" w:rsidRPr="00207748">
              <w:rPr>
                <w:rFonts w:ascii="Cambria" w:hAnsi="Cambria" w:cs="Arial"/>
                <w:b/>
                <w:bCs/>
                <w:sz w:val="20"/>
                <w:szCs w:val="20"/>
              </w:rPr>
              <w:t>-</w:t>
            </w:r>
            <w:r w:rsidRPr="00207748">
              <w:rPr>
                <w:rFonts w:ascii="Cambria" w:hAnsi="Cambria" w:cs="Arial"/>
                <w:b/>
                <w:bCs/>
                <w:sz w:val="20"/>
                <w:szCs w:val="20"/>
              </w:rPr>
              <w:t>Leitlinienadaptation; Abweichung des Em</w:t>
            </w:r>
            <w:r w:rsidR="002F33B3" w:rsidRPr="00207748">
              <w:rPr>
                <w:rFonts w:ascii="Cambria" w:hAnsi="Cambria" w:cs="Arial"/>
                <w:b/>
                <w:bCs/>
                <w:sz w:val="20"/>
                <w:szCs w:val="20"/>
              </w:rPr>
              <w:t>pfehlungsgrades</w:t>
            </w:r>
            <w:r w:rsidRPr="00207748">
              <w:rPr>
                <w:rFonts w:ascii="Cambria" w:hAnsi="Cambria" w:cs="Arial"/>
                <w:b/>
                <w:bCs/>
                <w:sz w:val="20"/>
                <w:szCs w:val="20"/>
              </w:rPr>
              <w:t xml:space="preserve"> </w:t>
            </w:r>
          </w:p>
        </w:tc>
      </w:tr>
      <w:tr w:rsidR="00E11869" w:rsidRPr="00207748" w14:paraId="3799B221"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51E19"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08777" w14:textId="77777777" w:rsidR="00E11869" w:rsidRPr="00207748" w:rsidRDefault="00447357" w:rsidP="004454B6">
            <w:pPr>
              <w:spacing w:after="0"/>
              <w:rPr>
                <w:rFonts w:ascii="Cambria" w:hAnsi="Cambria" w:cs="Arial"/>
                <w:sz w:val="20"/>
                <w:szCs w:val="20"/>
              </w:rPr>
            </w:pPr>
            <w:r w:rsidRPr="00207748">
              <w:rPr>
                <w:rFonts w:ascii="Cambria" w:hAnsi="Cambria" w:cs="Arial"/>
                <w:sz w:val="20"/>
                <w:szCs w:val="20"/>
              </w:rPr>
              <w:t>Konsensstärke: 100 %</w:t>
            </w:r>
          </w:p>
        </w:tc>
      </w:tr>
    </w:tbl>
    <w:p w14:paraId="4720AE57" w14:textId="77777777" w:rsidR="00963061" w:rsidRPr="00207748" w:rsidRDefault="00963061" w:rsidP="004454B6">
      <w:pPr>
        <w:rPr>
          <w:rFonts w:ascii="Cambria" w:eastAsia="Arial" w:hAnsi="Cambria" w:cs="Arial"/>
          <w:b/>
          <w:bCs/>
          <w:sz w:val="20"/>
          <w:szCs w:val="20"/>
        </w:rPr>
      </w:pPr>
    </w:p>
    <w:p w14:paraId="002D169A" w14:textId="77777777" w:rsidR="00E11869" w:rsidRPr="00207748" w:rsidRDefault="00420A45" w:rsidP="004454B6">
      <w:pPr>
        <w:rPr>
          <w:rFonts w:ascii="Cambria" w:eastAsia="Arial" w:hAnsi="Cambria" w:cs="Arial"/>
          <w:sz w:val="20"/>
          <w:szCs w:val="20"/>
          <w:shd w:val="clear" w:color="auto" w:fill="FFFF00"/>
        </w:rPr>
      </w:pPr>
      <w:r w:rsidRPr="00207748">
        <w:rPr>
          <w:rFonts w:ascii="Cambria" w:hAnsi="Cambria" w:cs="Arial"/>
          <w:b/>
          <w:bCs/>
          <w:sz w:val="20"/>
          <w:szCs w:val="20"/>
        </w:rPr>
        <w:t>Begründung:</w:t>
      </w:r>
      <w:r w:rsidR="00447357" w:rsidRPr="00207748">
        <w:rPr>
          <w:rFonts w:ascii="Cambria" w:hAnsi="Cambria" w:cs="Arial"/>
          <w:b/>
          <w:bCs/>
          <w:sz w:val="20"/>
          <w:szCs w:val="20"/>
        </w:rPr>
        <w:t xml:space="preserve"> </w:t>
      </w:r>
      <w:r w:rsidR="00447357" w:rsidRPr="00207748">
        <w:rPr>
          <w:rFonts w:ascii="Cambria" w:hAnsi="Cambria" w:cs="Arial"/>
          <w:sz w:val="20"/>
          <w:szCs w:val="20"/>
        </w:rPr>
        <w:t>In verschiedenen Studien konnte gezeigt werden, dass die Händehygiene-Compliance signifikant gesteigert werden konnte, wenn die notwendigen Händedesinfektionsmittel-Spender in unmittelbarer Nähe zum Patientenbett zugänglich waren.</w:t>
      </w:r>
      <w:r w:rsidR="00447357" w:rsidRPr="00207748">
        <w:rPr>
          <w:rFonts w:ascii="Cambria" w:eastAsia="Arial" w:hAnsi="Cambria" w:cs="Arial"/>
          <w:sz w:val="20"/>
          <w:szCs w:val="20"/>
          <w:vertAlign w:val="superscript"/>
        </w:rPr>
        <w:endnoteReference w:id="23"/>
      </w:r>
      <w:r w:rsidR="00E04BCC" w:rsidRPr="00207748">
        <w:rPr>
          <w:rFonts w:ascii="Cambria" w:hAnsi="Cambria" w:cs="Arial"/>
          <w:sz w:val="20"/>
          <w:szCs w:val="20"/>
          <w:vertAlign w:val="superscript"/>
        </w:rPr>
        <w:t xml:space="preserve"> </w:t>
      </w:r>
      <w:r w:rsidR="00E04BCC" w:rsidRPr="00207748">
        <w:rPr>
          <w:rStyle w:val="Endnotenzeichen"/>
          <w:rFonts w:ascii="Cambria" w:hAnsi="Cambria" w:cs="Arial"/>
          <w:sz w:val="20"/>
          <w:szCs w:val="20"/>
        </w:rPr>
        <w:endnoteReference w:id="24"/>
      </w:r>
      <w:r w:rsidR="00447357" w:rsidRPr="00207748">
        <w:rPr>
          <w:rFonts w:ascii="Cambria" w:hAnsi="Cambria" w:cs="Arial"/>
          <w:sz w:val="20"/>
          <w:szCs w:val="20"/>
          <w:vertAlign w:val="superscript"/>
        </w:rPr>
        <w:t xml:space="preserve"> </w:t>
      </w:r>
      <w:r w:rsidR="00E04BCC" w:rsidRPr="00207748">
        <w:rPr>
          <w:rStyle w:val="Endnotenzeichen"/>
          <w:rFonts w:ascii="Cambria" w:hAnsi="Cambria" w:cs="Arial"/>
          <w:sz w:val="20"/>
          <w:szCs w:val="20"/>
        </w:rPr>
        <w:endnoteReference w:id="25"/>
      </w:r>
      <w:r w:rsidR="00E04BCC" w:rsidRPr="00207748">
        <w:rPr>
          <w:rFonts w:ascii="Cambria" w:hAnsi="Cambria" w:cs="Arial"/>
          <w:sz w:val="20"/>
          <w:szCs w:val="20"/>
          <w:vertAlign w:val="superscript"/>
        </w:rPr>
        <w:t xml:space="preserve"> </w:t>
      </w:r>
      <w:r w:rsidR="00E04BCC" w:rsidRPr="00207748">
        <w:rPr>
          <w:rStyle w:val="Endnotenzeichen"/>
          <w:rFonts w:ascii="Cambria" w:hAnsi="Cambria" w:cs="Arial"/>
          <w:sz w:val="20"/>
          <w:szCs w:val="20"/>
        </w:rPr>
        <w:endnoteReference w:id="26"/>
      </w:r>
      <w:r w:rsidR="00E04BCC" w:rsidRPr="00207748">
        <w:rPr>
          <w:rFonts w:ascii="Cambria" w:hAnsi="Cambria" w:cs="Arial"/>
          <w:sz w:val="20"/>
          <w:szCs w:val="20"/>
          <w:vertAlign w:val="superscript"/>
        </w:rPr>
        <w:t xml:space="preserve"> </w:t>
      </w:r>
      <w:r w:rsidR="00E04BCC" w:rsidRPr="00207748">
        <w:rPr>
          <w:rStyle w:val="Endnotenzeichen"/>
          <w:rFonts w:ascii="Cambria" w:hAnsi="Cambria" w:cs="Arial"/>
          <w:sz w:val="20"/>
          <w:szCs w:val="20"/>
        </w:rPr>
        <w:endnoteReference w:id="27"/>
      </w:r>
      <w:r w:rsidR="00E04BCC" w:rsidRPr="00207748">
        <w:rPr>
          <w:rFonts w:ascii="Cambria" w:hAnsi="Cambria" w:cs="Arial"/>
          <w:sz w:val="20"/>
          <w:szCs w:val="20"/>
          <w:vertAlign w:val="superscript"/>
        </w:rPr>
        <w:t xml:space="preserve"> </w:t>
      </w:r>
      <w:r w:rsidR="00E04BCC" w:rsidRPr="00207748">
        <w:rPr>
          <w:rStyle w:val="Endnotenzeichen"/>
          <w:rFonts w:ascii="Cambria" w:hAnsi="Cambria" w:cs="Arial"/>
          <w:sz w:val="20"/>
          <w:szCs w:val="20"/>
        </w:rPr>
        <w:endnoteReference w:id="28"/>
      </w:r>
      <w:r w:rsidR="00E04BCC" w:rsidRPr="00207748">
        <w:rPr>
          <w:rFonts w:ascii="Cambria" w:hAnsi="Cambria" w:cs="Arial"/>
          <w:sz w:val="20"/>
          <w:szCs w:val="20"/>
          <w:vertAlign w:val="superscript"/>
        </w:rPr>
        <w:t xml:space="preserve"> </w:t>
      </w:r>
      <w:r w:rsidR="00447357" w:rsidRPr="00207748">
        <w:rPr>
          <w:rFonts w:ascii="Cambria" w:hAnsi="Cambria" w:cs="Arial"/>
          <w:sz w:val="20"/>
          <w:szCs w:val="20"/>
        </w:rPr>
        <w:t>In Deutschland wird das auch durch die entsprechende KRINKO-Empfehlung gefordert.</w:t>
      </w:r>
      <w:r w:rsidR="00447357" w:rsidRPr="00207748">
        <w:rPr>
          <w:rStyle w:val="Endnotenzeichen"/>
          <w:rFonts w:ascii="Cambria" w:hAnsi="Cambria"/>
          <w:sz w:val="20"/>
          <w:szCs w:val="20"/>
        </w:rPr>
        <w:endnoteReference w:id="29"/>
      </w:r>
    </w:p>
    <w:p w14:paraId="5CC8B875" w14:textId="416DBC81" w:rsidR="00E11869" w:rsidRPr="00182D07" w:rsidRDefault="00447357" w:rsidP="004454B6">
      <w:pPr>
        <w:pStyle w:val="berschrift2"/>
        <w:rPr>
          <w:rFonts w:eastAsia="Arial"/>
          <w:b w:val="0"/>
        </w:rPr>
      </w:pPr>
      <w:bookmarkStart w:id="328" w:name="_Toc25845107"/>
      <w:bookmarkStart w:id="329" w:name="_Toc437861455"/>
      <w:bookmarkStart w:id="330" w:name="_Toc31278493"/>
      <w:r w:rsidRPr="00182D07">
        <w:t>Impf</w:t>
      </w:r>
      <w:bookmarkEnd w:id="328"/>
      <w:bookmarkEnd w:id="329"/>
      <w:r w:rsidR="00E15D93">
        <w:t>ungen</w:t>
      </w:r>
      <w:bookmarkEnd w:id="330"/>
    </w:p>
    <w:p w14:paraId="1B594849" w14:textId="1B6711AC" w:rsidR="00E11869" w:rsidRDefault="00447357" w:rsidP="004454B6">
      <w:pPr>
        <w:spacing w:before="240"/>
        <w:rPr>
          <w:rFonts w:ascii="Cambria" w:hAnsi="Cambria" w:cs="Arial"/>
          <w:sz w:val="20"/>
          <w:szCs w:val="20"/>
        </w:rPr>
      </w:pPr>
      <w:r w:rsidRPr="00207748">
        <w:rPr>
          <w:rFonts w:ascii="Cambria" w:hAnsi="Cambria" w:cs="Arial"/>
          <w:sz w:val="20"/>
          <w:szCs w:val="20"/>
        </w:rPr>
        <w:t xml:space="preserve">In den Empfehlungen der SSC werden Impfungen nicht separat erwähnt. Da Impfungen jedoch eine wesentliche </w:t>
      </w:r>
      <w:r w:rsidR="00EC3DBA" w:rsidRPr="00207748">
        <w:rPr>
          <w:rFonts w:ascii="Cambria" w:hAnsi="Cambria" w:cs="Arial"/>
          <w:sz w:val="20"/>
          <w:szCs w:val="20"/>
        </w:rPr>
        <w:t>Präventionsm</w:t>
      </w:r>
      <w:r w:rsidRPr="00207748">
        <w:rPr>
          <w:rFonts w:ascii="Cambria" w:hAnsi="Cambria" w:cs="Arial"/>
          <w:sz w:val="20"/>
          <w:szCs w:val="20"/>
        </w:rPr>
        <w:t xml:space="preserve">aßnahme zur Reduktion von </w:t>
      </w:r>
      <w:r w:rsidR="00DC0668" w:rsidRPr="00207748">
        <w:rPr>
          <w:rFonts w:ascii="Cambria" w:hAnsi="Cambria" w:cs="Arial"/>
          <w:sz w:val="20"/>
          <w:szCs w:val="20"/>
        </w:rPr>
        <w:t xml:space="preserve">Mortalität </w:t>
      </w:r>
      <w:r w:rsidRPr="00207748">
        <w:rPr>
          <w:rFonts w:ascii="Cambria" w:hAnsi="Cambria" w:cs="Arial"/>
          <w:sz w:val="20"/>
          <w:szCs w:val="20"/>
        </w:rPr>
        <w:t>und Morbidität schwerer Infektionen und damit der Sepsis darstellen, ist aus Sicht de</w:t>
      </w:r>
      <w:r w:rsidR="00524587" w:rsidRPr="00207748">
        <w:rPr>
          <w:rFonts w:ascii="Cambria" w:hAnsi="Cambria" w:cs="Arial"/>
          <w:sz w:val="20"/>
          <w:szCs w:val="20"/>
        </w:rPr>
        <w:t>r</w:t>
      </w:r>
      <w:r w:rsidRPr="00207748">
        <w:rPr>
          <w:rFonts w:ascii="Cambria" w:hAnsi="Cambria" w:cs="Arial"/>
          <w:sz w:val="20"/>
          <w:szCs w:val="20"/>
        </w:rPr>
        <w:t xml:space="preserve"> Leitlinien</w:t>
      </w:r>
      <w:r w:rsidR="00524587" w:rsidRPr="00207748">
        <w:rPr>
          <w:rFonts w:ascii="Cambria" w:hAnsi="Cambria" w:cs="Arial"/>
          <w:sz w:val="20"/>
          <w:szCs w:val="20"/>
        </w:rPr>
        <w:t>kommission</w:t>
      </w:r>
      <w:r w:rsidRPr="00207748">
        <w:rPr>
          <w:rFonts w:ascii="Cambria" w:hAnsi="Cambria" w:cs="Arial"/>
          <w:sz w:val="20"/>
          <w:szCs w:val="20"/>
        </w:rPr>
        <w:t xml:space="preserve"> ein Verweis erforderlich.</w:t>
      </w:r>
    </w:p>
    <w:p w14:paraId="5C1DC288" w14:textId="04B0CD87" w:rsidR="002B1061" w:rsidRDefault="002B1061" w:rsidP="004454B6">
      <w:pPr>
        <w:spacing w:before="240"/>
        <w:rPr>
          <w:rFonts w:ascii="Cambria" w:hAnsi="Cambria" w:cs="Arial"/>
          <w:sz w:val="20"/>
          <w:szCs w:val="20"/>
        </w:rPr>
      </w:pPr>
    </w:p>
    <w:p w14:paraId="0DC97888" w14:textId="504549F9" w:rsidR="002B1061" w:rsidRDefault="002B1061" w:rsidP="004454B6">
      <w:pPr>
        <w:spacing w:before="240"/>
        <w:rPr>
          <w:rFonts w:ascii="Cambria" w:hAnsi="Cambria" w:cs="Arial"/>
          <w:sz w:val="20"/>
          <w:szCs w:val="20"/>
        </w:rPr>
      </w:pPr>
    </w:p>
    <w:p w14:paraId="0D33B658" w14:textId="46CDD18A" w:rsidR="002B1061" w:rsidRDefault="002B1061" w:rsidP="004454B6">
      <w:pPr>
        <w:spacing w:before="240"/>
        <w:rPr>
          <w:rFonts w:ascii="Cambria" w:hAnsi="Cambria" w:cs="Arial"/>
          <w:sz w:val="20"/>
          <w:szCs w:val="20"/>
        </w:rPr>
      </w:pPr>
    </w:p>
    <w:p w14:paraId="60EC775E" w14:textId="1F31252D" w:rsidR="002B1061" w:rsidRDefault="002B1061" w:rsidP="004454B6">
      <w:pPr>
        <w:spacing w:before="240"/>
        <w:rPr>
          <w:rFonts w:ascii="Cambria" w:hAnsi="Cambria" w:cs="Arial"/>
          <w:sz w:val="20"/>
          <w:szCs w:val="20"/>
        </w:rPr>
      </w:pPr>
    </w:p>
    <w:p w14:paraId="3B6BDF3A" w14:textId="5149CCD6" w:rsidR="002B1061" w:rsidRDefault="002B1061" w:rsidP="004454B6">
      <w:pPr>
        <w:spacing w:before="240"/>
        <w:rPr>
          <w:rFonts w:ascii="Cambria" w:hAnsi="Cambria" w:cs="Arial"/>
          <w:sz w:val="20"/>
          <w:szCs w:val="20"/>
        </w:rPr>
      </w:pPr>
    </w:p>
    <w:p w14:paraId="17441EF6" w14:textId="77777777" w:rsidR="002B1061" w:rsidRPr="00207748" w:rsidRDefault="002B1061" w:rsidP="004454B6">
      <w:pPr>
        <w:spacing w:before="240"/>
        <w:rPr>
          <w:rFonts w:ascii="Cambria" w:eastAsia="Arial" w:hAnsi="Cambria" w:cs="Arial"/>
          <w:iCs/>
          <w:sz w:val="20"/>
          <w:szCs w:val="20"/>
        </w:rPr>
      </w:pP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762"/>
        <w:gridCol w:w="1669"/>
        <w:gridCol w:w="794"/>
      </w:tblGrid>
      <w:tr w:rsidR="00342FB3" w:rsidRPr="00207748" w14:paraId="5BBEFA1B"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4B36C9F9"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0FEF2ACE"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549D00A"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2018</w:t>
            </w:r>
          </w:p>
        </w:tc>
      </w:tr>
      <w:tr w:rsidR="00E11869" w:rsidRPr="00207748" w14:paraId="3E36DFFA" w14:textId="77777777" w:rsidTr="00207748">
        <w:trPr>
          <w:trHeight w:val="6481"/>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8DBBEB"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Expertenkonsens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F059C"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Wir empfehlen die Umsetzung der Empfehlungen der Ständigen Impfkommission (STIKO) am Robert Koch-Institut. Insbesondere die Impfungen gegen Influenza und Pneumokokken sowie die Impfungen gegen Meningokokken und Haemophilus influenzae B können dazu beitragen, die Inzidenz der Sepsis zu reduzieren. Auch die jährliche Impfung von medizinischem Personal gegen Influenza trägt dazu bei, Patienten vor nosokomialer Influenza zu schützen.</w:t>
            </w:r>
          </w:p>
        </w:tc>
      </w:tr>
      <w:tr w:rsidR="00E11869" w:rsidRPr="00207748" w14:paraId="34BD9391" w14:textId="77777777" w:rsidTr="00342FB3">
        <w:trPr>
          <w:trHeight w:val="56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5A3B5D66"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B06B8"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Zusätzliche DSG-Leitlinienempfehlung</w:t>
            </w:r>
            <w:r w:rsidRPr="00207748">
              <w:rPr>
                <w:rFonts w:ascii="Cambria" w:hAnsi="Cambria" w:cs="Arial"/>
                <w:b/>
                <w:bCs/>
                <w:sz w:val="20"/>
                <w:szCs w:val="20"/>
                <w:lang w:val="en-US"/>
              </w:rPr>
              <w:t xml:space="preserve"> </w:t>
            </w:r>
          </w:p>
        </w:tc>
      </w:tr>
      <w:tr w:rsidR="00E11869" w:rsidRPr="00207748" w14:paraId="77A535C1" w14:textId="77777777" w:rsidTr="00207748">
        <w:trPr>
          <w:trHeight w:val="37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2E988"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5E7AA" w14:textId="50C68AF3" w:rsidR="00E11869" w:rsidRPr="00207748" w:rsidRDefault="00447357" w:rsidP="004454B6">
            <w:pPr>
              <w:spacing w:after="0"/>
              <w:rPr>
                <w:rFonts w:ascii="Cambria" w:hAnsi="Cambria" w:cs="Arial"/>
                <w:sz w:val="20"/>
                <w:szCs w:val="20"/>
              </w:rPr>
            </w:pPr>
            <w:r w:rsidRPr="00207748">
              <w:rPr>
                <w:rFonts w:ascii="Cambria" w:hAnsi="Cambria" w:cs="Arial"/>
                <w:sz w:val="20"/>
                <w:szCs w:val="20"/>
              </w:rPr>
              <w:t>Konsensst</w:t>
            </w:r>
            <w:r w:rsidR="002F45C9" w:rsidRPr="00207748">
              <w:rPr>
                <w:rFonts w:ascii="Cambria" w:hAnsi="Cambria" w:cs="Arial"/>
                <w:sz w:val="20"/>
                <w:szCs w:val="20"/>
              </w:rPr>
              <w:t>ärke bei Doppel</w:t>
            </w:r>
            <w:r w:rsidR="004454B6" w:rsidRPr="00207748">
              <w:rPr>
                <w:rFonts w:ascii="Cambria" w:hAnsi="Cambria" w:cs="Arial"/>
                <w:sz w:val="20"/>
                <w:szCs w:val="20"/>
              </w:rPr>
              <w:t>abstimmung: 90 %</w:t>
            </w:r>
          </w:p>
        </w:tc>
      </w:tr>
    </w:tbl>
    <w:p w14:paraId="180C1484" w14:textId="77777777" w:rsidR="00E11869" w:rsidRPr="00207748" w:rsidRDefault="00420A45" w:rsidP="004454B6">
      <w:pPr>
        <w:spacing w:before="240"/>
        <w:rPr>
          <w:rFonts w:ascii="Cambria" w:eastAsia="Arial" w:hAnsi="Cambria" w:cs="Arial"/>
          <w:sz w:val="20"/>
          <w:szCs w:val="20"/>
        </w:rPr>
      </w:pPr>
      <w:r w:rsidRPr="00207748">
        <w:rPr>
          <w:rFonts w:ascii="Cambria" w:hAnsi="Cambria" w:cs="Arial"/>
          <w:b/>
          <w:bCs/>
          <w:sz w:val="20"/>
          <w:szCs w:val="20"/>
        </w:rPr>
        <w:t>Begründung:</w:t>
      </w:r>
      <w:r w:rsidR="00447357" w:rsidRPr="00207748">
        <w:rPr>
          <w:rFonts w:ascii="Cambria" w:hAnsi="Cambria" w:cs="Arial"/>
          <w:b/>
          <w:bCs/>
          <w:sz w:val="20"/>
          <w:szCs w:val="20"/>
        </w:rPr>
        <w:t xml:space="preserve"> </w:t>
      </w:r>
      <w:r w:rsidR="00447357" w:rsidRPr="00207748">
        <w:rPr>
          <w:rFonts w:ascii="Cambria" w:hAnsi="Cambria" w:cs="Arial"/>
          <w:sz w:val="20"/>
          <w:szCs w:val="20"/>
        </w:rPr>
        <w:t>D</w:t>
      </w:r>
      <w:r w:rsidR="00524587" w:rsidRPr="00207748">
        <w:rPr>
          <w:rFonts w:ascii="Cambria" w:hAnsi="Cambria" w:cs="Arial"/>
          <w:sz w:val="20"/>
          <w:szCs w:val="20"/>
        </w:rPr>
        <w:t>ie</w:t>
      </w:r>
      <w:r w:rsidR="00447357" w:rsidRPr="00207748">
        <w:rPr>
          <w:rFonts w:ascii="Cambria" w:hAnsi="Cambria" w:cs="Arial"/>
          <w:sz w:val="20"/>
          <w:szCs w:val="20"/>
        </w:rPr>
        <w:t xml:space="preserve"> Leitlinien</w:t>
      </w:r>
      <w:r w:rsidR="00524587" w:rsidRPr="00207748">
        <w:rPr>
          <w:rFonts w:ascii="Cambria" w:hAnsi="Cambria" w:cs="Arial"/>
          <w:sz w:val="20"/>
          <w:szCs w:val="20"/>
        </w:rPr>
        <w:t>kommission</w:t>
      </w:r>
      <w:r w:rsidR="00447357" w:rsidRPr="00207748">
        <w:rPr>
          <w:rFonts w:ascii="Cambria" w:hAnsi="Cambria" w:cs="Arial"/>
          <w:sz w:val="20"/>
          <w:szCs w:val="20"/>
        </w:rPr>
        <w:t xml:space="preserve"> unterstützt die Empfehlungen der Ständigen Impfkommission (STIKO) am Robert Koch-Institut. Insbesondere die Impfungen gegen Influenza und Pneumokokken sowie die Impfungen gegen Meningokokken und Haemophilus influenzae B können dazu beitragen, die Inzidenz der Sepsis zu reduzieren. Insbesondere wird auf die in diesen Empfehlungen genannte altersunabhängige Indikationsimpfungen bei Patienten mit erhöhter Gefährdung für die o.g. Erreger verwiesen, dies gilt insbesondere für Patienten mit funktioneller oder anat</w:t>
      </w:r>
      <w:r w:rsidR="00FC5CA1" w:rsidRPr="00207748">
        <w:rPr>
          <w:rFonts w:ascii="Cambria" w:hAnsi="Cambria" w:cs="Arial"/>
          <w:sz w:val="20"/>
          <w:szCs w:val="20"/>
        </w:rPr>
        <w:t>omischer Asplenie</w:t>
      </w:r>
      <w:r w:rsidR="00447357" w:rsidRPr="00207748">
        <w:rPr>
          <w:rFonts w:ascii="Cambria" w:hAnsi="Cambria" w:cs="Arial"/>
          <w:sz w:val="20"/>
          <w:szCs w:val="20"/>
        </w:rPr>
        <w:t xml:space="preserve">. </w:t>
      </w:r>
    </w:p>
    <w:p w14:paraId="227BD8E8" w14:textId="77777777" w:rsidR="00E11869" w:rsidRPr="00207748" w:rsidRDefault="00447357" w:rsidP="004454B6">
      <w:pPr>
        <w:pStyle w:val="Listenabsatz"/>
        <w:ind w:left="0"/>
        <w:rPr>
          <w:rFonts w:ascii="Cambria" w:eastAsia="Arial" w:hAnsi="Cambria" w:cs="Arial"/>
          <w:sz w:val="20"/>
          <w:szCs w:val="20"/>
        </w:rPr>
      </w:pPr>
      <w:r w:rsidRPr="00207748">
        <w:rPr>
          <w:rFonts w:ascii="Cambria" w:hAnsi="Cambria" w:cs="Arial"/>
          <w:sz w:val="20"/>
          <w:szCs w:val="20"/>
        </w:rPr>
        <w:t xml:space="preserve">Um vulnerable Patienten vor nosokomialer Influenza, die mit einer relevanten Letalität assoziiert ist, zu schützen, sollte sich </w:t>
      </w:r>
      <w:r w:rsidRPr="00207748">
        <w:rPr>
          <w:rFonts w:ascii="Cambria" w:hAnsi="Cambria" w:cs="Arial"/>
          <w:sz w:val="20"/>
          <w:szCs w:val="20"/>
        </w:rPr>
        <w:lastRenderedPageBreak/>
        <w:t xml:space="preserve">medizinisches Personal jährlich zu Beginn der Saison mit </w:t>
      </w:r>
      <w:r w:rsidR="00342FB3" w:rsidRPr="00207748">
        <w:rPr>
          <w:rFonts w:ascii="Cambria" w:hAnsi="Cambria" w:cs="Arial"/>
          <w:sz w:val="20"/>
          <w:szCs w:val="20"/>
        </w:rPr>
        <w:t>den jeweils empfohlenen Vakzinen</w:t>
      </w:r>
      <w:r w:rsidRPr="00207748">
        <w:rPr>
          <w:rFonts w:ascii="Cambria" w:hAnsi="Cambria" w:cs="Arial"/>
          <w:sz w:val="20"/>
          <w:szCs w:val="20"/>
        </w:rPr>
        <w:t xml:space="preserve"> impfen lassen. </w:t>
      </w:r>
    </w:p>
    <w:p w14:paraId="15E5E122" w14:textId="7450265E" w:rsidR="00963061" w:rsidRPr="00207748" w:rsidRDefault="00447357" w:rsidP="00FB33A2">
      <w:pPr>
        <w:rPr>
          <w:rFonts w:ascii="Cambria" w:eastAsia="Arial" w:hAnsi="Cambria" w:cs="Arial"/>
          <w:sz w:val="20"/>
          <w:szCs w:val="20"/>
        </w:rPr>
      </w:pPr>
      <w:r w:rsidRPr="00207748">
        <w:rPr>
          <w:rFonts w:ascii="Cambria" w:hAnsi="Cambria" w:cs="Arial"/>
          <w:sz w:val="20"/>
          <w:szCs w:val="20"/>
        </w:rPr>
        <w:t>Die ambulant erworbene und die nosokomial erworbene Pneumonie sind der häufigste Fokus für Sepsis und septischen Schock</w:t>
      </w:r>
      <w:r w:rsidR="00E04BCC" w:rsidRPr="00207748">
        <w:rPr>
          <w:rFonts w:ascii="Cambria" w:hAnsi="Cambria" w:cs="Arial"/>
          <w:sz w:val="20"/>
          <w:szCs w:val="20"/>
        </w:rPr>
        <w:t>.</w:t>
      </w:r>
      <w:r w:rsidRPr="00207748">
        <w:rPr>
          <w:rFonts w:ascii="Cambria" w:eastAsia="Arial" w:hAnsi="Cambria" w:cs="Arial"/>
          <w:sz w:val="20"/>
          <w:szCs w:val="20"/>
          <w:vertAlign w:val="superscript"/>
        </w:rPr>
        <w:endnoteReference w:id="30"/>
      </w:r>
      <w:r w:rsidRPr="00207748">
        <w:rPr>
          <w:rFonts w:ascii="Cambria" w:hAnsi="Cambria" w:cs="Arial"/>
          <w:sz w:val="20"/>
          <w:szCs w:val="20"/>
        </w:rPr>
        <w:t xml:space="preserve"> Der häufigste virale und der häufigste bakterielle Erreger der ambulant erworbenen Pneumonie, Influenzavirus und Streptococcus pneumoniae (Pneumokokken), sind impfpräventabel. Beide Erreger können gemeinsam als Mischinfektion bzw. Pneumokokken als bakterielle Superinfektion auftreten. Bei diesen Infektionen steigt die Letalität gegenüber der Monoinfektion deutlich an</w:t>
      </w:r>
      <w:r w:rsidR="00E04BCC" w:rsidRPr="00207748">
        <w:rPr>
          <w:rFonts w:ascii="Cambria" w:hAnsi="Cambria" w:cs="Arial"/>
          <w:sz w:val="20"/>
          <w:szCs w:val="20"/>
        </w:rPr>
        <w:t>.</w:t>
      </w:r>
      <w:r w:rsidRPr="00207748">
        <w:rPr>
          <w:rFonts w:ascii="Cambria" w:eastAsia="Arial" w:hAnsi="Cambria" w:cs="Arial"/>
          <w:sz w:val="20"/>
          <w:szCs w:val="20"/>
          <w:vertAlign w:val="superscript"/>
        </w:rPr>
        <w:endnoteReference w:id="31"/>
      </w:r>
      <w:r w:rsidRPr="00207748">
        <w:rPr>
          <w:rFonts w:ascii="Cambria" w:hAnsi="Cambria" w:cs="Arial"/>
          <w:sz w:val="20"/>
          <w:szCs w:val="20"/>
        </w:rPr>
        <w:t xml:space="preserve"> Beide Erreger verursachen auch einen wesentlichen Teil der nosokomialen Pneumonie. Die zunehmende Erkenntnis, dass nosokomiale Influenza ein relevantes Problem darstellt, findet sich auch in der aktuellen Leitlinie zur nosokomialen Pneumonie</w:t>
      </w:r>
      <w:r w:rsidR="00E04BCC" w:rsidRPr="00207748">
        <w:rPr>
          <w:rFonts w:ascii="Cambria" w:hAnsi="Cambria" w:cs="Arial"/>
          <w:sz w:val="20"/>
          <w:szCs w:val="20"/>
        </w:rPr>
        <w:t>.</w:t>
      </w:r>
      <w:r w:rsidRPr="00207748">
        <w:rPr>
          <w:rFonts w:ascii="Cambria" w:eastAsia="Arial" w:hAnsi="Cambria" w:cs="Arial"/>
          <w:sz w:val="20"/>
          <w:szCs w:val="20"/>
          <w:vertAlign w:val="superscript"/>
        </w:rPr>
        <w:endnoteReference w:id="32"/>
      </w:r>
      <w:r w:rsidRPr="00207748">
        <w:rPr>
          <w:rFonts w:ascii="Cambria" w:hAnsi="Cambria" w:cs="Arial"/>
          <w:sz w:val="20"/>
          <w:szCs w:val="20"/>
        </w:rPr>
        <w:t xml:space="preserve"> Eine Erhebung an einem deutschen Universitätsklinikum in der Saison 2014/15 zeigte, dass 35 % aller Nachweise nosokomialen Ursprungs waren; die Letalität betrug 10 %</w:t>
      </w:r>
      <w:r w:rsidR="00E04BCC" w:rsidRPr="00207748">
        <w:rPr>
          <w:rFonts w:ascii="Cambria" w:hAnsi="Cambria" w:cs="Arial"/>
          <w:sz w:val="20"/>
          <w:szCs w:val="20"/>
        </w:rPr>
        <w:t>.</w:t>
      </w:r>
      <w:r w:rsidRPr="00207748">
        <w:rPr>
          <w:rFonts w:ascii="Cambria" w:eastAsia="Arial" w:hAnsi="Cambria" w:cs="Arial"/>
          <w:sz w:val="20"/>
          <w:szCs w:val="20"/>
          <w:vertAlign w:val="superscript"/>
          <w:lang w:val="en-US"/>
        </w:rPr>
        <w:endnoteReference w:id="33"/>
      </w:r>
      <w:r w:rsidRPr="00207748">
        <w:rPr>
          <w:rFonts w:ascii="Cambria" w:hAnsi="Cambria" w:cs="Arial"/>
          <w:sz w:val="20"/>
          <w:szCs w:val="20"/>
        </w:rPr>
        <w:t xml:space="preserve"> Daher unterstützt d</w:t>
      </w:r>
      <w:r w:rsidR="00524587" w:rsidRPr="00207748">
        <w:rPr>
          <w:rFonts w:ascii="Cambria" w:hAnsi="Cambria" w:cs="Arial"/>
          <w:sz w:val="20"/>
          <w:szCs w:val="20"/>
        </w:rPr>
        <w:t>ie</w:t>
      </w:r>
      <w:r w:rsidRPr="00207748">
        <w:rPr>
          <w:rFonts w:ascii="Cambria" w:hAnsi="Cambria" w:cs="Arial"/>
          <w:sz w:val="20"/>
          <w:szCs w:val="20"/>
        </w:rPr>
        <w:t xml:space="preserve"> Leitlinien</w:t>
      </w:r>
      <w:r w:rsidR="00524587" w:rsidRPr="00207748">
        <w:rPr>
          <w:rFonts w:ascii="Cambria" w:hAnsi="Cambria" w:cs="Arial"/>
          <w:sz w:val="20"/>
          <w:szCs w:val="20"/>
        </w:rPr>
        <w:t>kommission</w:t>
      </w:r>
      <w:r w:rsidRPr="00207748">
        <w:rPr>
          <w:rFonts w:ascii="Cambria" w:hAnsi="Cambria" w:cs="Arial"/>
          <w:sz w:val="20"/>
          <w:szCs w:val="20"/>
        </w:rPr>
        <w:t xml:space="preserve"> nachdrücklich die Empfehlung zur jährlichen Impfung des medizinischen Personals.</w:t>
      </w:r>
      <w:bookmarkStart w:id="331" w:name="_Toc25845108"/>
    </w:p>
    <w:p w14:paraId="33E8B311" w14:textId="77777777" w:rsidR="00E11869" w:rsidRPr="00182D07" w:rsidRDefault="00447357" w:rsidP="004454B6">
      <w:pPr>
        <w:pStyle w:val="berschrift2"/>
        <w:rPr>
          <w:b w:val="0"/>
        </w:rPr>
      </w:pPr>
      <w:bookmarkStart w:id="332" w:name="_Toc437861456"/>
      <w:bookmarkStart w:id="333" w:name="_Toc31278494"/>
      <w:r w:rsidRPr="00182D07">
        <w:t>A. Initiale hämodynamische Stabilisierung</w:t>
      </w:r>
      <w:r w:rsidR="00FC5CA1" w:rsidRPr="00182D07">
        <w:rPr>
          <w:rStyle w:val="Funotenzeichen"/>
        </w:rPr>
        <w:footnoteReference w:id="2"/>
      </w:r>
      <w:bookmarkEnd w:id="331"/>
      <w:bookmarkEnd w:id="332"/>
      <w:bookmarkEnd w:id="333"/>
    </w:p>
    <w:p w14:paraId="012A6DB1" w14:textId="77777777" w:rsidR="00E11869" w:rsidRPr="00207748" w:rsidRDefault="00E11869" w:rsidP="00FB33A2">
      <w:pPr>
        <w:pStyle w:val="KeinLeerraum"/>
      </w:pP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762"/>
        <w:gridCol w:w="1659"/>
        <w:gridCol w:w="804"/>
      </w:tblGrid>
      <w:tr w:rsidR="00E11869" w:rsidRPr="00207748" w14:paraId="65B3497F"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3BEE2F6"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t>A.1</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D15D208"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292759F8"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2018</w:t>
            </w:r>
          </w:p>
        </w:tc>
      </w:tr>
      <w:tr w:rsidR="00E11869" w:rsidRPr="00207748" w14:paraId="49BD267F" w14:textId="77777777" w:rsidTr="00207748">
        <w:trPr>
          <w:trHeight w:val="2517"/>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177524"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Expertenkonsens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59E0C"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Sepsis und septischer Schock sind medizinische Notfälle. Wir empfehlen, dass mit der Behandlung und der hämodynamischen Stabilisierung unverzüglich begonnen wird.</w:t>
            </w:r>
          </w:p>
        </w:tc>
      </w:tr>
      <w:tr w:rsidR="00E11869" w:rsidRPr="00207748" w14:paraId="701147C4" w14:textId="77777777" w:rsidTr="00207748">
        <w:trPr>
          <w:trHeight w:val="386"/>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787AC4CD"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CF78B"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SSC</w:t>
            </w:r>
            <w:r w:rsidR="00EC3DBA" w:rsidRPr="00207748">
              <w:rPr>
                <w:rFonts w:ascii="Cambria" w:hAnsi="Cambria" w:cs="Arial"/>
                <w:b/>
                <w:bCs/>
                <w:sz w:val="20"/>
                <w:szCs w:val="20"/>
              </w:rPr>
              <w:t>-</w:t>
            </w:r>
            <w:r w:rsidRPr="00207748">
              <w:rPr>
                <w:rFonts w:ascii="Cambria" w:hAnsi="Cambria" w:cs="Arial"/>
                <w:b/>
                <w:bCs/>
                <w:sz w:val="20"/>
                <w:szCs w:val="20"/>
              </w:rPr>
              <w:t>Leitlinienadaptation</w:t>
            </w:r>
          </w:p>
        </w:tc>
      </w:tr>
      <w:tr w:rsidR="00E11869" w:rsidRPr="00207748" w14:paraId="352ADF2F"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B13DA"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57087" w14:textId="77777777" w:rsidR="00E11869" w:rsidRPr="00207748" w:rsidRDefault="00447357" w:rsidP="004454B6">
            <w:pPr>
              <w:spacing w:after="0"/>
              <w:rPr>
                <w:rFonts w:ascii="Cambria" w:hAnsi="Cambria" w:cs="Arial"/>
                <w:sz w:val="20"/>
                <w:szCs w:val="20"/>
              </w:rPr>
            </w:pPr>
            <w:r w:rsidRPr="00207748">
              <w:rPr>
                <w:rFonts w:ascii="Cambria" w:hAnsi="Cambria" w:cs="Arial"/>
                <w:sz w:val="20"/>
                <w:szCs w:val="20"/>
              </w:rPr>
              <w:t>Konsensstärke: 100 %</w:t>
            </w:r>
          </w:p>
        </w:tc>
      </w:tr>
    </w:tbl>
    <w:p w14:paraId="48C0D688" w14:textId="1D6F4C6C" w:rsidR="00E11869" w:rsidRPr="00207748" w:rsidRDefault="00342FB3" w:rsidP="004454B6">
      <w:pPr>
        <w:spacing w:before="240"/>
        <w:rPr>
          <w:rFonts w:ascii="Cambria" w:eastAsia="Arial" w:hAnsi="Cambria" w:cs="Arial"/>
          <w:sz w:val="20"/>
          <w:szCs w:val="20"/>
        </w:rPr>
      </w:pPr>
      <w:r w:rsidRPr="00207748">
        <w:rPr>
          <w:rFonts w:ascii="Cambria" w:hAnsi="Cambria" w:cs="Arial"/>
          <w:b/>
          <w:bCs/>
          <w:sz w:val="20"/>
          <w:szCs w:val="20"/>
        </w:rPr>
        <w:t>Begründung</w:t>
      </w:r>
      <w:r w:rsidR="00447357" w:rsidRPr="00207748">
        <w:rPr>
          <w:rFonts w:ascii="Cambria" w:hAnsi="Cambria" w:cs="Arial"/>
          <w:b/>
          <w:bCs/>
          <w:sz w:val="20"/>
          <w:szCs w:val="20"/>
        </w:rPr>
        <w:t xml:space="preserve">: </w:t>
      </w:r>
      <w:r w:rsidR="00447357" w:rsidRPr="00207748">
        <w:rPr>
          <w:rFonts w:ascii="Cambria" w:hAnsi="Cambria" w:cs="Arial"/>
          <w:sz w:val="20"/>
          <w:szCs w:val="20"/>
        </w:rPr>
        <w:t xml:space="preserve">Eine frühzeitige wirksame Flüssigkeitstherapie ist von entscheidender Bedeutung für die Stabilisierung einer </w:t>
      </w:r>
      <w:r w:rsidR="00CB3020" w:rsidRPr="00207748">
        <w:rPr>
          <w:rFonts w:ascii="Cambria" w:hAnsi="Cambria" w:cs="Arial"/>
          <w:sz w:val="20"/>
          <w:szCs w:val="20"/>
        </w:rPr>
        <w:t>S</w:t>
      </w:r>
      <w:r w:rsidR="00447357" w:rsidRPr="00207748">
        <w:rPr>
          <w:rFonts w:ascii="Cambria" w:hAnsi="Cambria" w:cs="Arial"/>
          <w:sz w:val="20"/>
          <w:szCs w:val="20"/>
        </w:rPr>
        <w:t>epsis</w:t>
      </w:r>
      <w:r w:rsidR="00CB3020" w:rsidRPr="00207748">
        <w:rPr>
          <w:rFonts w:ascii="Cambria" w:hAnsi="Cambria" w:cs="Arial"/>
          <w:sz w:val="20"/>
          <w:szCs w:val="20"/>
        </w:rPr>
        <w:t>-</w:t>
      </w:r>
      <w:r w:rsidR="00447357" w:rsidRPr="00207748">
        <w:rPr>
          <w:rFonts w:ascii="Cambria" w:hAnsi="Cambria" w:cs="Arial"/>
          <w:sz w:val="20"/>
          <w:szCs w:val="20"/>
        </w:rPr>
        <w:t xml:space="preserve">induzierten Gewebehypoperfusion oder eines septischen Schocks. Eine </w:t>
      </w:r>
      <w:r w:rsidR="00CB3020" w:rsidRPr="00207748">
        <w:rPr>
          <w:rFonts w:ascii="Cambria" w:hAnsi="Cambria" w:cs="Arial"/>
          <w:sz w:val="20"/>
          <w:szCs w:val="20"/>
        </w:rPr>
        <w:t>S</w:t>
      </w:r>
      <w:r w:rsidR="00447357" w:rsidRPr="00207748">
        <w:rPr>
          <w:rFonts w:ascii="Cambria" w:hAnsi="Cambria" w:cs="Arial"/>
          <w:sz w:val="20"/>
          <w:szCs w:val="20"/>
        </w:rPr>
        <w:t>epsis</w:t>
      </w:r>
      <w:r w:rsidR="00CB3020" w:rsidRPr="00207748">
        <w:rPr>
          <w:rFonts w:ascii="Cambria" w:hAnsi="Cambria" w:cs="Arial"/>
          <w:sz w:val="20"/>
          <w:szCs w:val="20"/>
        </w:rPr>
        <w:t>-</w:t>
      </w:r>
      <w:r w:rsidR="00447357" w:rsidRPr="00207748">
        <w:rPr>
          <w:rFonts w:ascii="Cambria" w:hAnsi="Cambria" w:cs="Arial"/>
          <w:sz w:val="20"/>
          <w:szCs w:val="20"/>
        </w:rPr>
        <w:t xml:space="preserve">induzierte Hypoperfusion kann sich durch eine akute Organdysfunktion und/oder eine Verringerung des Blutdrucks sowie eine Erhöhung des Serumlaktats manifestieren. Frühere Varianten dieser Leitlinien enthielten die Empfehlung einer protokollbasierten quantitativen Flüssigkeitstherapie, die auch unter der Bezeichnung </w:t>
      </w:r>
      <w:r w:rsidR="00CB3020" w:rsidRPr="00207748">
        <w:rPr>
          <w:rFonts w:ascii="Cambria" w:hAnsi="Cambria" w:cs="Arial"/>
          <w:sz w:val="20"/>
          <w:szCs w:val="20"/>
        </w:rPr>
        <w:t>F</w:t>
      </w:r>
      <w:r w:rsidR="00447357" w:rsidRPr="00207748">
        <w:rPr>
          <w:rFonts w:ascii="Cambria" w:hAnsi="Cambria" w:cs="Arial"/>
          <w:sz w:val="20"/>
          <w:szCs w:val="20"/>
        </w:rPr>
        <w:t>rühzeitige zielgerichtete Therapie (</w:t>
      </w:r>
      <w:r w:rsidR="00EC3DBA" w:rsidRPr="00207748">
        <w:rPr>
          <w:rFonts w:ascii="Cambria" w:hAnsi="Cambria" w:cs="Arial"/>
          <w:sz w:val="20"/>
          <w:szCs w:val="20"/>
        </w:rPr>
        <w:t>E</w:t>
      </w:r>
      <w:r w:rsidR="00447357" w:rsidRPr="00207748">
        <w:rPr>
          <w:rFonts w:ascii="Cambria" w:hAnsi="Cambria" w:cs="Arial"/>
          <w:sz w:val="20"/>
          <w:szCs w:val="20"/>
        </w:rPr>
        <w:t xml:space="preserve">arly </w:t>
      </w:r>
      <w:r w:rsidR="00EC3DBA" w:rsidRPr="00207748">
        <w:rPr>
          <w:rFonts w:ascii="Cambria" w:hAnsi="Cambria" w:cs="Arial"/>
          <w:sz w:val="20"/>
          <w:szCs w:val="20"/>
        </w:rPr>
        <w:t>G</w:t>
      </w:r>
      <w:r w:rsidR="00447357" w:rsidRPr="00207748">
        <w:rPr>
          <w:rFonts w:ascii="Cambria" w:hAnsi="Cambria" w:cs="Arial"/>
          <w:sz w:val="20"/>
          <w:szCs w:val="20"/>
        </w:rPr>
        <w:t>oal-</w:t>
      </w:r>
      <w:r w:rsidR="00EC3DBA" w:rsidRPr="00207748">
        <w:rPr>
          <w:rFonts w:ascii="Cambria" w:hAnsi="Cambria" w:cs="Arial"/>
          <w:sz w:val="20"/>
          <w:szCs w:val="20"/>
        </w:rPr>
        <w:t>D</w:t>
      </w:r>
      <w:r w:rsidR="00447357" w:rsidRPr="00207748">
        <w:rPr>
          <w:rFonts w:ascii="Cambria" w:hAnsi="Cambria" w:cs="Arial"/>
          <w:sz w:val="20"/>
          <w:szCs w:val="20"/>
        </w:rPr>
        <w:t xml:space="preserve">irected </w:t>
      </w:r>
      <w:r w:rsidR="00EC3DBA" w:rsidRPr="00207748">
        <w:rPr>
          <w:rFonts w:ascii="Cambria" w:hAnsi="Cambria" w:cs="Arial"/>
          <w:sz w:val="20"/>
          <w:szCs w:val="20"/>
        </w:rPr>
        <w:t>T</w:t>
      </w:r>
      <w:r w:rsidR="00447357" w:rsidRPr="00207748">
        <w:rPr>
          <w:rFonts w:ascii="Cambria" w:hAnsi="Cambria" w:cs="Arial"/>
          <w:sz w:val="20"/>
          <w:szCs w:val="20"/>
        </w:rPr>
        <w:t>herapy, EGDT) bekannt ist, basierend auf dem von Rivers publizierten Protokoll.</w:t>
      </w:r>
      <w:r w:rsidR="00447357" w:rsidRPr="00207748">
        <w:rPr>
          <w:rFonts w:ascii="Cambria" w:eastAsia="Arial" w:hAnsi="Cambria" w:cs="Arial"/>
          <w:sz w:val="20"/>
          <w:szCs w:val="20"/>
          <w:vertAlign w:val="superscript"/>
        </w:rPr>
        <w:endnoteReference w:id="34"/>
      </w:r>
      <w:r w:rsidR="00447357" w:rsidRPr="00207748">
        <w:rPr>
          <w:rFonts w:ascii="Cambria" w:hAnsi="Cambria" w:cs="Arial"/>
          <w:sz w:val="20"/>
          <w:szCs w:val="20"/>
        </w:rPr>
        <w:t xml:space="preserve"> Diese Empfehlung beschrieb die Nutzung einer Reihe von „Zielen“, zu denen der zentralvenöse Druck (</w:t>
      </w:r>
      <w:r w:rsidR="00EC3DBA" w:rsidRPr="00207748">
        <w:rPr>
          <w:rFonts w:ascii="Cambria" w:hAnsi="Cambria" w:cs="Arial"/>
          <w:sz w:val="20"/>
          <w:szCs w:val="20"/>
        </w:rPr>
        <w:t>C</w:t>
      </w:r>
      <w:r w:rsidR="00447357" w:rsidRPr="00207748">
        <w:rPr>
          <w:rFonts w:ascii="Cambria" w:hAnsi="Cambria" w:cs="Arial"/>
          <w:sz w:val="20"/>
          <w:szCs w:val="20"/>
        </w:rPr>
        <w:t xml:space="preserve">entral </w:t>
      </w:r>
      <w:r w:rsidR="00EC3DBA" w:rsidRPr="00207748">
        <w:rPr>
          <w:rFonts w:ascii="Cambria" w:hAnsi="Cambria" w:cs="Arial"/>
          <w:sz w:val="20"/>
          <w:szCs w:val="20"/>
        </w:rPr>
        <w:t>V</w:t>
      </w:r>
      <w:r w:rsidR="00447357" w:rsidRPr="00207748">
        <w:rPr>
          <w:rFonts w:ascii="Cambria" w:hAnsi="Cambria" w:cs="Arial"/>
          <w:sz w:val="20"/>
          <w:szCs w:val="20"/>
        </w:rPr>
        <w:t xml:space="preserve">enous </w:t>
      </w:r>
      <w:r w:rsidR="00EC3DBA" w:rsidRPr="00207748">
        <w:rPr>
          <w:rFonts w:ascii="Cambria" w:hAnsi="Cambria" w:cs="Arial"/>
          <w:sz w:val="20"/>
          <w:szCs w:val="20"/>
        </w:rPr>
        <w:t>P</w:t>
      </w:r>
      <w:r w:rsidR="00447357" w:rsidRPr="00207748">
        <w:rPr>
          <w:rFonts w:ascii="Cambria" w:hAnsi="Cambria" w:cs="Arial"/>
          <w:sz w:val="20"/>
          <w:szCs w:val="20"/>
        </w:rPr>
        <w:t>ressure</w:t>
      </w:r>
      <w:r w:rsidR="00EC3DBA" w:rsidRPr="00207748">
        <w:rPr>
          <w:rFonts w:ascii="Cambria" w:hAnsi="Cambria" w:cs="Arial"/>
          <w:sz w:val="20"/>
          <w:szCs w:val="20"/>
        </w:rPr>
        <w:t>,</w:t>
      </w:r>
      <w:r w:rsidR="00773ECC" w:rsidRPr="00207748">
        <w:rPr>
          <w:rFonts w:ascii="Cambria" w:hAnsi="Cambria" w:cs="Arial"/>
          <w:sz w:val="20"/>
          <w:szCs w:val="20"/>
        </w:rPr>
        <w:t xml:space="preserve"> </w:t>
      </w:r>
      <w:r w:rsidR="00447357" w:rsidRPr="00207748">
        <w:rPr>
          <w:rFonts w:ascii="Cambria" w:hAnsi="Cambria" w:cs="Arial"/>
          <w:sz w:val="20"/>
          <w:szCs w:val="20"/>
        </w:rPr>
        <w:t>CVP) und die zentralvenöse Sauerstoffsättigung (</w:t>
      </w:r>
      <w:r w:rsidR="00EC3DBA" w:rsidRPr="00207748">
        <w:rPr>
          <w:rFonts w:ascii="Cambria" w:hAnsi="Cambria" w:cs="Arial"/>
          <w:sz w:val="20"/>
          <w:szCs w:val="20"/>
        </w:rPr>
        <w:t>C</w:t>
      </w:r>
      <w:r w:rsidR="00447357" w:rsidRPr="00207748">
        <w:rPr>
          <w:rFonts w:ascii="Cambria" w:hAnsi="Cambria" w:cs="Arial"/>
          <w:sz w:val="20"/>
          <w:szCs w:val="20"/>
        </w:rPr>
        <w:t xml:space="preserve">entral </w:t>
      </w:r>
      <w:r w:rsidR="00EC3DBA" w:rsidRPr="00207748">
        <w:rPr>
          <w:rFonts w:ascii="Cambria" w:hAnsi="Cambria" w:cs="Arial"/>
          <w:sz w:val="20"/>
          <w:szCs w:val="20"/>
        </w:rPr>
        <w:t>V</w:t>
      </w:r>
      <w:r w:rsidR="00447357" w:rsidRPr="00207748">
        <w:rPr>
          <w:rFonts w:ascii="Cambria" w:hAnsi="Cambria" w:cs="Arial"/>
          <w:sz w:val="20"/>
          <w:szCs w:val="20"/>
        </w:rPr>
        <w:t xml:space="preserve">enous </w:t>
      </w:r>
      <w:r w:rsidR="00EC3DBA" w:rsidRPr="00207748">
        <w:rPr>
          <w:rFonts w:ascii="Cambria" w:hAnsi="Cambria" w:cs="Arial"/>
          <w:sz w:val="20"/>
          <w:szCs w:val="20"/>
        </w:rPr>
        <w:t>O</w:t>
      </w:r>
      <w:r w:rsidR="00447357" w:rsidRPr="00207748">
        <w:rPr>
          <w:rFonts w:ascii="Cambria" w:hAnsi="Cambria" w:cs="Arial"/>
          <w:sz w:val="20"/>
          <w:szCs w:val="20"/>
        </w:rPr>
        <w:t xml:space="preserve">xygen </w:t>
      </w:r>
      <w:r w:rsidR="00EC3DBA" w:rsidRPr="00207748">
        <w:rPr>
          <w:rFonts w:ascii="Cambria" w:hAnsi="Cambria" w:cs="Arial"/>
          <w:sz w:val="20"/>
          <w:szCs w:val="20"/>
        </w:rPr>
        <w:t>S</w:t>
      </w:r>
      <w:r w:rsidR="00447357" w:rsidRPr="00207748">
        <w:rPr>
          <w:rFonts w:ascii="Cambria" w:hAnsi="Cambria" w:cs="Arial"/>
          <w:sz w:val="20"/>
          <w:szCs w:val="20"/>
        </w:rPr>
        <w:t>aturation</w:t>
      </w:r>
      <w:r w:rsidR="00EC3DBA" w:rsidRPr="00207748">
        <w:rPr>
          <w:rFonts w:ascii="Cambria" w:hAnsi="Cambria" w:cs="Arial"/>
          <w:sz w:val="20"/>
          <w:szCs w:val="20"/>
        </w:rPr>
        <w:t xml:space="preserve">, </w:t>
      </w:r>
      <w:r w:rsidR="00447357" w:rsidRPr="00207748">
        <w:rPr>
          <w:rFonts w:ascii="Cambria" w:hAnsi="Cambria" w:cs="Arial"/>
          <w:sz w:val="20"/>
          <w:szCs w:val="20"/>
        </w:rPr>
        <w:t>ScvO</w:t>
      </w:r>
      <w:r w:rsidR="00447357" w:rsidRPr="00207748">
        <w:rPr>
          <w:rFonts w:ascii="Cambria" w:hAnsi="Cambria" w:cs="Arial"/>
          <w:sz w:val="20"/>
          <w:szCs w:val="20"/>
          <w:vertAlign w:val="subscript"/>
        </w:rPr>
        <w:t>2</w:t>
      </w:r>
      <w:r w:rsidR="00447357" w:rsidRPr="00207748">
        <w:rPr>
          <w:rFonts w:ascii="Cambria" w:hAnsi="Cambria" w:cs="Arial"/>
          <w:sz w:val="20"/>
          <w:szCs w:val="20"/>
        </w:rPr>
        <w:t>) gehörten. Dieser Ansatz wurde nun hinterfragt, nachdem in drei aufeinanderfolgenden großen multizentrischen</w:t>
      </w:r>
      <w:r w:rsidR="00537477">
        <w:rPr>
          <w:rFonts w:ascii="Cambria" w:hAnsi="Cambria" w:cs="Arial"/>
          <w:sz w:val="20"/>
          <w:szCs w:val="20"/>
        </w:rPr>
        <w:t xml:space="preserve"> r</w:t>
      </w:r>
      <w:r w:rsidR="00537477" w:rsidRPr="00537477">
        <w:rPr>
          <w:rFonts w:ascii="Cambria" w:hAnsi="Cambria" w:cs="Arial"/>
          <w:sz w:val="20"/>
          <w:szCs w:val="20"/>
        </w:rPr>
        <w:t>andomisierte</w:t>
      </w:r>
      <w:r w:rsidR="00537477">
        <w:rPr>
          <w:rFonts w:ascii="Cambria" w:hAnsi="Cambria" w:cs="Arial"/>
          <w:sz w:val="20"/>
          <w:szCs w:val="20"/>
        </w:rPr>
        <w:t>n</w:t>
      </w:r>
      <w:r w:rsidR="00537477" w:rsidRPr="00537477">
        <w:rPr>
          <w:rFonts w:ascii="Cambria" w:hAnsi="Cambria" w:cs="Arial"/>
          <w:sz w:val="20"/>
          <w:szCs w:val="20"/>
        </w:rPr>
        <w:t xml:space="preserve"> kontrollierte</w:t>
      </w:r>
      <w:r w:rsidR="00537477">
        <w:rPr>
          <w:rFonts w:ascii="Cambria" w:hAnsi="Cambria" w:cs="Arial"/>
          <w:sz w:val="20"/>
          <w:szCs w:val="20"/>
        </w:rPr>
        <w:t>n</w:t>
      </w:r>
      <w:r w:rsidR="00537477" w:rsidRPr="00537477">
        <w:rPr>
          <w:rFonts w:ascii="Cambria" w:hAnsi="Cambria" w:cs="Arial"/>
          <w:sz w:val="20"/>
          <w:szCs w:val="20"/>
        </w:rPr>
        <w:t xml:space="preserve"> Studie</w:t>
      </w:r>
      <w:r w:rsidR="00447357" w:rsidRPr="00207748">
        <w:rPr>
          <w:rFonts w:ascii="Cambria" w:hAnsi="Cambria" w:cs="Arial"/>
          <w:sz w:val="20"/>
          <w:szCs w:val="20"/>
        </w:rPr>
        <w:t xml:space="preserve"> </w:t>
      </w:r>
      <w:r w:rsidR="00537477">
        <w:rPr>
          <w:rFonts w:ascii="Cambria" w:hAnsi="Cambria" w:cs="Arial"/>
          <w:sz w:val="20"/>
          <w:szCs w:val="20"/>
        </w:rPr>
        <w:t>(</w:t>
      </w:r>
      <w:r w:rsidR="00537477" w:rsidRPr="00537477">
        <w:rPr>
          <w:rFonts w:ascii="Cambria" w:hAnsi="Cambria" w:cs="Arial"/>
          <w:sz w:val="20"/>
          <w:szCs w:val="20"/>
        </w:rPr>
        <w:t>Randomized Controlled Trial</w:t>
      </w:r>
      <w:r w:rsidR="00537477">
        <w:rPr>
          <w:rFonts w:ascii="Cambria" w:hAnsi="Cambria" w:cs="Arial"/>
          <w:sz w:val="20"/>
          <w:szCs w:val="20"/>
        </w:rPr>
        <w:t xml:space="preserve">s, </w:t>
      </w:r>
      <w:r w:rsidR="00447357" w:rsidRPr="00207748">
        <w:rPr>
          <w:rFonts w:ascii="Cambria" w:hAnsi="Cambria" w:cs="Arial"/>
          <w:sz w:val="20"/>
          <w:szCs w:val="20"/>
        </w:rPr>
        <w:t>RCTs</w:t>
      </w:r>
      <w:r w:rsidR="00537477">
        <w:rPr>
          <w:rFonts w:ascii="Cambria" w:hAnsi="Cambria" w:cs="Arial"/>
          <w:sz w:val="20"/>
          <w:szCs w:val="20"/>
        </w:rPr>
        <w:t>)</w:t>
      </w:r>
      <w:r w:rsidR="00447357" w:rsidRPr="00207748">
        <w:rPr>
          <w:rFonts w:ascii="Cambria" w:hAnsi="Cambria" w:cs="Arial"/>
          <w:sz w:val="20"/>
          <w:szCs w:val="20"/>
        </w:rPr>
        <w:t xml:space="preserve"> kein Nachweis einer Mortalitätsreduktion erfolgt ist.</w:t>
      </w:r>
      <w:bookmarkStart w:id="334" w:name="_Ref30427131"/>
      <w:r w:rsidR="00447357" w:rsidRPr="00207748">
        <w:rPr>
          <w:rFonts w:ascii="Cambria" w:eastAsia="Arial" w:hAnsi="Cambria" w:cs="Arial"/>
          <w:sz w:val="20"/>
          <w:szCs w:val="20"/>
          <w:vertAlign w:val="superscript"/>
        </w:rPr>
        <w:endnoteReference w:id="35"/>
      </w:r>
      <w:bookmarkEnd w:id="334"/>
      <w:r w:rsidR="00447357" w:rsidRPr="00207748">
        <w:rPr>
          <w:rFonts w:ascii="Cambria" w:hAnsi="Cambria" w:cs="Arial"/>
          <w:sz w:val="20"/>
          <w:szCs w:val="20"/>
        </w:rPr>
        <w:t xml:space="preserve"> </w:t>
      </w:r>
      <w:bookmarkStart w:id="335" w:name="_Ref30426293"/>
      <w:r w:rsidR="00447357" w:rsidRPr="00207748">
        <w:rPr>
          <w:rFonts w:ascii="Cambria" w:eastAsia="Arial" w:hAnsi="Cambria" w:cs="Arial"/>
          <w:sz w:val="20"/>
          <w:szCs w:val="20"/>
          <w:vertAlign w:val="superscript"/>
        </w:rPr>
        <w:endnoteReference w:id="36"/>
      </w:r>
      <w:bookmarkEnd w:id="335"/>
      <w:r w:rsidR="00447357" w:rsidRPr="00207748">
        <w:rPr>
          <w:rFonts w:ascii="Cambria" w:hAnsi="Cambria" w:cs="Arial"/>
          <w:sz w:val="20"/>
          <w:szCs w:val="20"/>
        </w:rPr>
        <w:t xml:space="preserve"> </w:t>
      </w:r>
      <w:bookmarkStart w:id="336" w:name="_Ref30502434"/>
      <w:r w:rsidR="00447357" w:rsidRPr="00207748">
        <w:rPr>
          <w:rFonts w:ascii="Cambria" w:eastAsia="Arial" w:hAnsi="Cambria" w:cs="Arial"/>
          <w:sz w:val="20"/>
          <w:szCs w:val="20"/>
          <w:vertAlign w:val="superscript"/>
        </w:rPr>
        <w:endnoteReference w:id="37"/>
      </w:r>
      <w:bookmarkEnd w:id="336"/>
      <w:r w:rsidR="00447357" w:rsidRPr="00207748">
        <w:rPr>
          <w:rFonts w:ascii="Cambria" w:hAnsi="Cambria" w:cs="Arial"/>
          <w:sz w:val="20"/>
          <w:szCs w:val="20"/>
        </w:rPr>
        <w:t xml:space="preserve"> Mit den Interventionsstrategien im Sinne einer EGDT war jedoch auch keine Schädigung verbunden. Somit kann die Nutzung der bisherigen Ziele immer noch als sicher beurteilt werden, sodass diese berücksichtigt werden können.</w:t>
      </w:r>
    </w:p>
    <w:p w14:paraId="28F2EBAF" w14:textId="0EE2C3C8" w:rsidR="00E11869" w:rsidRPr="00207748" w:rsidRDefault="00447357" w:rsidP="004454B6">
      <w:pPr>
        <w:spacing w:before="240"/>
        <w:rPr>
          <w:rFonts w:ascii="Cambria" w:eastAsia="Arial" w:hAnsi="Cambria" w:cs="Arial"/>
          <w:sz w:val="20"/>
          <w:szCs w:val="20"/>
        </w:rPr>
      </w:pPr>
      <w:r w:rsidRPr="00207748">
        <w:rPr>
          <w:rFonts w:ascii="Cambria" w:hAnsi="Cambria" w:cs="Arial"/>
          <w:sz w:val="20"/>
          <w:szCs w:val="20"/>
        </w:rPr>
        <w:t xml:space="preserve">Es ist darauf hinzuweisen, dass die aktuelleren Studien weniger schwer erkrankte Patienten </w:t>
      </w:r>
      <w:r w:rsidR="00CB3020" w:rsidRPr="00207748">
        <w:rPr>
          <w:rFonts w:ascii="Cambria" w:hAnsi="Cambria" w:cs="Arial"/>
          <w:sz w:val="20"/>
          <w:szCs w:val="20"/>
        </w:rPr>
        <w:t xml:space="preserve">einschlossen </w:t>
      </w:r>
      <w:r w:rsidRPr="00207748">
        <w:rPr>
          <w:rFonts w:ascii="Cambria" w:hAnsi="Cambria" w:cs="Arial"/>
          <w:sz w:val="20"/>
          <w:szCs w:val="20"/>
        </w:rPr>
        <w:t>(geringere Baseline-Laktatwerte, ScvO</w:t>
      </w:r>
      <w:r w:rsidRPr="00207748">
        <w:rPr>
          <w:rFonts w:ascii="Cambria" w:hAnsi="Cambria" w:cs="Arial"/>
          <w:sz w:val="20"/>
          <w:szCs w:val="20"/>
          <w:vertAlign w:val="subscript"/>
        </w:rPr>
        <w:t>2</w:t>
      </w:r>
      <w:r w:rsidRPr="00207748">
        <w:rPr>
          <w:rFonts w:ascii="Cambria" w:hAnsi="Cambria" w:cs="Arial"/>
          <w:sz w:val="20"/>
          <w:szCs w:val="20"/>
        </w:rPr>
        <w:t xml:space="preserve"> bei der Aufnahme entsprechend dem Zielwert oder höher als der Zielwert, geringere Mortalität in der Kontrollgruppe). Dieses Protokoll kann aufgrund der aktuellen Evidenzbasis nicht empfohlen werden. Trotzdem benötigen Krankenhausärzte eine Orientierungshilfe für den Umgang mit oben genannter Patientengruppe, bei der eine signifikante Mortalität und Morbidität besteht. Wir empfehlen daher, dass diese Patienten als medizinischer Notfall angesehen werden, der </w:t>
      </w:r>
      <w:r w:rsidRPr="00207748">
        <w:rPr>
          <w:rFonts w:ascii="Cambria" w:hAnsi="Cambria" w:cs="Arial"/>
          <w:sz w:val="20"/>
          <w:szCs w:val="20"/>
        </w:rPr>
        <w:lastRenderedPageBreak/>
        <w:t xml:space="preserve">eine sofortige Beurteilung und Behandlung </w:t>
      </w:r>
      <w:r w:rsidR="008C0F5E">
        <w:rPr>
          <w:rFonts w:ascii="Cambria" w:hAnsi="Cambria" w:cs="Arial"/>
          <w:sz w:val="20"/>
          <w:szCs w:val="20"/>
        </w:rPr>
        <w:t>erforderlich macht</w:t>
      </w:r>
      <w:r w:rsidRPr="00207748">
        <w:rPr>
          <w:rFonts w:ascii="Cambria" w:hAnsi="Cambria" w:cs="Arial"/>
          <w:sz w:val="20"/>
          <w:szCs w:val="20"/>
        </w:rPr>
        <w:t>.</w:t>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18"/>
        <w:gridCol w:w="834"/>
      </w:tblGrid>
      <w:tr w:rsidR="00E11869" w:rsidRPr="00207748" w14:paraId="50A1DE58"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0A486EF8"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t>A.2a</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17D5E422"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039D9D22"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2018</w:t>
            </w:r>
          </w:p>
        </w:tc>
      </w:tr>
      <w:tr w:rsidR="00E11869" w:rsidRPr="00207748" w14:paraId="65A79092" w14:textId="77777777" w:rsidTr="00207748">
        <w:trPr>
          <w:trHeight w:val="2666"/>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BAA43"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t>Empfehlungsgrad</w:t>
            </w:r>
          </w:p>
          <w:p w14:paraId="421FB371" w14:textId="77777777" w:rsidR="00E11869" w:rsidRPr="00207748" w:rsidRDefault="00E11869" w:rsidP="004454B6">
            <w:pPr>
              <w:spacing w:after="0"/>
              <w:rPr>
                <w:rFonts w:ascii="Cambria" w:eastAsia="Arial" w:hAnsi="Cambria" w:cs="Arial"/>
                <w:sz w:val="20"/>
                <w:szCs w:val="20"/>
              </w:rPr>
            </w:pPr>
          </w:p>
          <w:p w14:paraId="5533CD7E" w14:textId="77777777" w:rsidR="00E11869" w:rsidRPr="00207748" w:rsidRDefault="00447357" w:rsidP="004454B6">
            <w:pPr>
              <w:spacing w:after="0"/>
              <w:rPr>
                <w:rFonts w:ascii="Cambria" w:eastAsia="Arial" w:hAnsi="Cambria" w:cs="Arial"/>
                <w:b/>
                <w:bCs/>
                <w:sz w:val="20"/>
                <w:szCs w:val="20"/>
              </w:rPr>
            </w:pPr>
            <w:r w:rsidRPr="00207748">
              <w:rPr>
                <w:rFonts w:ascii="Cambria" w:hAnsi="Cambria" w:cs="Arial"/>
                <w:b/>
                <w:bCs/>
                <w:sz w:val="20"/>
                <w:szCs w:val="20"/>
              </w:rPr>
              <w:t>stark</w:t>
            </w:r>
          </w:p>
          <w:p w14:paraId="3F5F33A4" w14:textId="77777777" w:rsidR="00E11869" w:rsidRPr="00207748" w:rsidRDefault="00E11869" w:rsidP="004454B6">
            <w:pPr>
              <w:spacing w:after="0"/>
              <w:rPr>
                <w:rFonts w:ascii="Cambria" w:eastAsia="Arial" w:hAnsi="Cambria" w:cs="Arial"/>
                <w:sz w:val="20"/>
                <w:szCs w:val="20"/>
              </w:rPr>
            </w:pPr>
          </w:p>
          <w:p w14:paraId="424CDE63"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t>Evidenzgrad</w:t>
            </w:r>
          </w:p>
          <w:p w14:paraId="19FC6491" w14:textId="77777777" w:rsidR="00E11869" w:rsidRPr="00207748" w:rsidRDefault="00E11869" w:rsidP="004454B6">
            <w:pPr>
              <w:spacing w:after="0"/>
              <w:rPr>
                <w:rFonts w:ascii="Cambria" w:eastAsia="Arial" w:hAnsi="Cambria" w:cs="Arial"/>
                <w:sz w:val="20"/>
                <w:szCs w:val="20"/>
              </w:rPr>
            </w:pPr>
          </w:p>
          <w:p w14:paraId="02AAD809"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niedrig</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E7E13" w14:textId="77777777" w:rsidR="00E11869" w:rsidRPr="00207748" w:rsidRDefault="00447357" w:rsidP="004454B6">
            <w:pPr>
              <w:spacing w:after="120"/>
              <w:rPr>
                <w:rFonts w:ascii="Cambria" w:hAnsi="Cambria" w:cs="Arial"/>
                <w:sz w:val="20"/>
                <w:szCs w:val="20"/>
              </w:rPr>
            </w:pPr>
            <w:r w:rsidRPr="00207748">
              <w:rPr>
                <w:rFonts w:ascii="Cambria" w:hAnsi="Cambria" w:cs="Arial"/>
                <w:b/>
                <w:bCs/>
                <w:sz w:val="20"/>
                <w:szCs w:val="20"/>
              </w:rPr>
              <w:t xml:space="preserve">Wir empfehlen, dass zur hämodynamischen Stabilisierung bei Patienten mit </w:t>
            </w:r>
            <w:r w:rsidR="001A58EF" w:rsidRPr="00207748">
              <w:rPr>
                <w:rFonts w:ascii="Cambria" w:hAnsi="Cambria" w:cs="Arial"/>
                <w:b/>
                <w:bCs/>
                <w:sz w:val="20"/>
                <w:szCs w:val="20"/>
              </w:rPr>
              <w:t>S</w:t>
            </w:r>
            <w:r w:rsidRPr="00207748">
              <w:rPr>
                <w:rFonts w:ascii="Cambria" w:hAnsi="Cambria" w:cs="Arial"/>
                <w:b/>
                <w:bCs/>
                <w:sz w:val="20"/>
                <w:szCs w:val="20"/>
              </w:rPr>
              <w:t xml:space="preserve">epsis-induzierter Hypoperfusion eine intravenöse kristalloide Lösung innerhalb der ersten 3 Stunden verabreicht wird. </w:t>
            </w:r>
          </w:p>
        </w:tc>
      </w:tr>
      <w:tr w:rsidR="00E11869" w:rsidRPr="00207748" w14:paraId="6C9DA439" w14:textId="77777777" w:rsidTr="00342FB3">
        <w:trPr>
          <w:trHeight w:val="56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68621092"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2A196"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SSC</w:t>
            </w:r>
            <w:r w:rsidR="00EC3DBA" w:rsidRPr="00207748">
              <w:rPr>
                <w:rFonts w:ascii="Cambria" w:hAnsi="Cambria" w:cs="Arial"/>
                <w:b/>
                <w:bCs/>
                <w:sz w:val="20"/>
                <w:szCs w:val="20"/>
              </w:rPr>
              <w:t>-</w:t>
            </w:r>
            <w:r w:rsidRPr="00207748">
              <w:rPr>
                <w:rFonts w:ascii="Cambria" w:hAnsi="Cambria" w:cs="Arial"/>
                <w:b/>
                <w:bCs/>
                <w:sz w:val="20"/>
                <w:szCs w:val="20"/>
              </w:rPr>
              <w:t>Leitlinienadaptation</w:t>
            </w:r>
          </w:p>
        </w:tc>
      </w:tr>
      <w:tr w:rsidR="00E11869" w:rsidRPr="00207748" w14:paraId="04672046"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20967"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FA76F" w14:textId="77777777" w:rsidR="00E11869" w:rsidRPr="00207748" w:rsidRDefault="00447357" w:rsidP="004454B6">
            <w:pPr>
              <w:spacing w:after="0"/>
              <w:rPr>
                <w:rFonts w:ascii="Cambria" w:hAnsi="Cambria" w:cs="Arial"/>
                <w:sz w:val="20"/>
                <w:szCs w:val="20"/>
              </w:rPr>
            </w:pPr>
            <w:r w:rsidRPr="00207748">
              <w:rPr>
                <w:rFonts w:ascii="Cambria" w:hAnsi="Cambria" w:cs="Arial"/>
                <w:sz w:val="20"/>
                <w:szCs w:val="20"/>
              </w:rPr>
              <w:t>Konsensstärke: 100 %</w:t>
            </w:r>
          </w:p>
        </w:tc>
      </w:tr>
    </w:tbl>
    <w:p w14:paraId="034DD3D5" w14:textId="77777777" w:rsidR="00E11869" w:rsidRPr="00207748" w:rsidRDefault="00E11869" w:rsidP="004454B6">
      <w:pPr>
        <w:rPr>
          <w:rFonts w:ascii="Cambria" w:eastAsia="Arial" w:hAnsi="Cambria" w:cs="Arial"/>
          <w:iCs/>
          <w:sz w:val="20"/>
          <w:szCs w:val="20"/>
        </w:rPr>
      </w:pP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24"/>
        <w:gridCol w:w="828"/>
      </w:tblGrid>
      <w:tr w:rsidR="00E11869" w:rsidRPr="00207748" w14:paraId="78DC7BCA"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BC440E8"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t>A.2b</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12FAFCC5"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41BFDF0B"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2018</w:t>
            </w:r>
          </w:p>
        </w:tc>
      </w:tr>
      <w:tr w:rsidR="00E11869" w:rsidRPr="00207748" w14:paraId="5A7BF24B" w14:textId="77777777" w:rsidTr="00207748">
        <w:trPr>
          <w:trHeight w:val="1337"/>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5E992"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t>Empfehlungsgrad</w:t>
            </w:r>
          </w:p>
          <w:p w14:paraId="555E632D" w14:textId="77777777" w:rsidR="00E11869" w:rsidRPr="00207748" w:rsidRDefault="00E11869" w:rsidP="004454B6">
            <w:pPr>
              <w:spacing w:after="0"/>
              <w:rPr>
                <w:rFonts w:ascii="Cambria" w:eastAsia="Arial" w:hAnsi="Cambria" w:cs="Arial"/>
                <w:sz w:val="20"/>
                <w:szCs w:val="20"/>
              </w:rPr>
            </w:pPr>
          </w:p>
          <w:p w14:paraId="210F86B9" w14:textId="77777777" w:rsidR="00E11869" w:rsidRPr="00207748" w:rsidRDefault="00447357" w:rsidP="004454B6">
            <w:pPr>
              <w:spacing w:after="0"/>
              <w:rPr>
                <w:rFonts w:ascii="Cambria" w:eastAsia="Arial" w:hAnsi="Cambria" w:cs="Arial"/>
                <w:b/>
                <w:bCs/>
                <w:sz w:val="20"/>
                <w:szCs w:val="20"/>
              </w:rPr>
            </w:pPr>
            <w:r w:rsidRPr="00207748">
              <w:rPr>
                <w:rFonts w:ascii="Cambria" w:hAnsi="Cambria" w:cs="Arial"/>
                <w:b/>
                <w:bCs/>
                <w:sz w:val="20"/>
                <w:szCs w:val="20"/>
              </w:rPr>
              <w:t>schwach</w:t>
            </w:r>
          </w:p>
          <w:p w14:paraId="6BB024B9" w14:textId="77777777" w:rsidR="00E11869" w:rsidRPr="00207748" w:rsidRDefault="00E11869" w:rsidP="004454B6">
            <w:pPr>
              <w:spacing w:after="0"/>
              <w:rPr>
                <w:rFonts w:ascii="Cambria" w:eastAsia="Arial" w:hAnsi="Cambria" w:cs="Arial"/>
                <w:sz w:val="20"/>
                <w:szCs w:val="20"/>
              </w:rPr>
            </w:pPr>
          </w:p>
          <w:p w14:paraId="5F7DABEA"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t>Evidenzgrad</w:t>
            </w:r>
          </w:p>
          <w:p w14:paraId="7339209F" w14:textId="77777777" w:rsidR="00E11869" w:rsidRPr="00207748" w:rsidRDefault="00E11869" w:rsidP="004454B6">
            <w:pPr>
              <w:spacing w:after="0"/>
              <w:rPr>
                <w:rFonts w:ascii="Cambria" w:eastAsia="Arial" w:hAnsi="Cambria" w:cs="Arial"/>
                <w:sz w:val="20"/>
                <w:szCs w:val="20"/>
              </w:rPr>
            </w:pPr>
          </w:p>
          <w:p w14:paraId="71A57430"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niedrig</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73C29" w14:textId="1ED86005"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Wir schlagen vor, mindestens 30 ml/kg</w:t>
            </w:r>
            <w:r w:rsidR="00C77BBA">
              <w:rPr>
                <w:rFonts w:ascii="Cambria" w:hAnsi="Cambria" w:cs="Arial"/>
                <w:b/>
                <w:bCs/>
                <w:sz w:val="20"/>
                <w:szCs w:val="20"/>
              </w:rPr>
              <w:t xml:space="preserve"> intravenöse kristalloide Lösung</w:t>
            </w:r>
            <w:r w:rsidR="002B1061">
              <w:rPr>
                <w:rFonts w:ascii="Cambria" w:hAnsi="Cambria" w:cs="Arial"/>
                <w:b/>
                <w:bCs/>
                <w:sz w:val="20"/>
                <w:szCs w:val="20"/>
              </w:rPr>
              <w:t xml:space="preserve"> </w:t>
            </w:r>
            <w:r w:rsidRPr="00207748">
              <w:rPr>
                <w:rFonts w:ascii="Cambria" w:hAnsi="Cambria" w:cs="Arial"/>
                <w:b/>
                <w:bCs/>
                <w:sz w:val="20"/>
                <w:szCs w:val="20"/>
              </w:rPr>
              <w:t>in den ersten 3 Stunden zu verabreichen</w:t>
            </w:r>
            <w:r w:rsidR="00E873A9" w:rsidRPr="00207748">
              <w:rPr>
                <w:rFonts w:ascii="Cambria" w:hAnsi="Cambria" w:cs="Arial"/>
                <w:b/>
                <w:bCs/>
                <w:sz w:val="20"/>
                <w:szCs w:val="20"/>
              </w:rPr>
              <w:t>.</w:t>
            </w:r>
          </w:p>
        </w:tc>
      </w:tr>
      <w:tr w:rsidR="00E11869" w:rsidRPr="00207748" w14:paraId="759AE638" w14:textId="77777777" w:rsidTr="00342FB3">
        <w:trPr>
          <w:trHeight w:val="140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600B1BC2"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4CCA0" w14:textId="6101F41D"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SSC-Lei</w:t>
            </w:r>
            <w:r w:rsidR="004454B6" w:rsidRPr="00207748">
              <w:rPr>
                <w:rFonts w:ascii="Cambria" w:hAnsi="Cambria" w:cs="Arial"/>
                <w:b/>
                <w:bCs/>
                <w:sz w:val="20"/>
                <w:szCs w:val="20"/>
              </w:rPr>
              <w:t>t</w:t>
            </w:r>
            <w:r w:rsidRPr="00207748">
              <w:rPr>
                <w:rFonts w:ascii="Cambria" w:hAnsi="Cambria" w:cs="Arial"/>
                <w:b/>
                <w:bCs/>
                <w:sz w:val="20"/>
                <w:szCs w:val="20"/>
              </w:rPr>
              <w:t>linienadaptation; Abweichung des Em</w:t>
            </w:r>
            <w:r w:rsidR="002F45C9" w:rsidRPr="00207748">
              <w:rPr>
                <w:rFonts w:ascii="Cambria" w:hAnsi="Cambria" w:cs="Arial"/>
                <w:b/>
                <w:bCs/>
                <w:sz w:val="20"/>
                <w:szCs w:val="20"/>
              </w:rPr>
              <w:t>pfehlungsgrades</w:t>
            </w:r>
          </w:p>
        </w:tc>
      </w:tr>
      <w:tr w:rsidR="00E11869" w:rsidRPr="00207748" w14:paraId="5D812910"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EF937"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B8B05" w14:textId="77777777" w:rsidR="00E11869" w:rsidRPr="00207748" w:rsidRDefault="00447357" w:rsidP="004454B6">
            <w:pPr>
              <w:spacing w:after="0"/>
              <w:rPr>
                <w:rFonts w:ascii="Cambria" w:hAnsi="Cambria" w:cs="Arial"/>
                <w:sz w:val="20"/>
                <w:szCs w:val="20"/>
              </w:rPr>
            </w:pPr>
            <w:r w:rsidRPr="00207748">
              <w:rPr>
                <w:rFonts w:ascii="Cambria" w:hAnsi="Cambria" w:cs="Arial"/>
                <w:sz w:val="20"/>
                <w:szCs w:val="20"/>
              </w:rPr>
              <w:t>Konsensstärke: 100 %</w:t>
            </w:r>
          </w:p>
        </w:tc>
      </w:tr>
    </w:tbl>
    <w:p w14:paraId="3F113A88" w14:textId="4695D31F" w:rsidR="00E11869" w:rsidRPr="00207748" w:rsidRDefault="00342FB3" w:rsidP="004454B6">
      <w:pPr>
        <w:spacing w:before="240"/>
        <w:rPr>
          <w:rFonts w:ascii="Cambria" w:eastAsia="Arial" w:hAnsi="Cambria" w:cs="Arial"/>
          <w:sz w:val="20"/>
          <w:szCs w:val="20"/>
        </w:rPr>
      </w:pPr>
      <w:r w:rsidRPr="00207748">
        <w:rPr>
          <w:rFonts w:ascii="Cambria" w:hAnsi="Cambria" w:cs="Arial"/>
          <w:b/>
          <w:bCs/>
          <w:sz w:val="20"/>
          <w:szCs w:val="20"/>
        </w:rPr>
        <w:t>Begründung</w:t>
      </w:r>
      <w:r w:rsidR="00420A45" w:rsidRPr="00207748">
        <w:rPr>
          <w:rFonts w:ascii="Cambria" w:hAnsi="Cambria" w:cs="Arial"/>
          <w:b/>
          <w:bCs/>
          <w:sz w:val="20"/>
          <w:szCs w:val="20"/>
        </w:rPr>
        <w:t>:</w:t>
      </w:r>
      <w:r w:rsidR="00447357" w:rsidRPr="00207748">
        <w:rPr>
          <w:rFonts w:ascii="Cambria" w:hAnsi="Cambria" w:cs="Arial"/>
          <w:b/>
          <w:bCs/>
          <w:sz w:val="20"/>
          <w:szCs w:val="20"/>
        </w:rPr>
        <w:t xml:space="preserve"> </w:t>
      </w:r>
      <w:r w:rsidR="00447357" w:rsidRPr="00207748">
        <w:rPr>
          <w:rFonts w:ascii="Cambria" w:hAnsi="Cambria" w:cs="Arial"/>
          <w:sz w:val="20"/>
          <w:szCs w:val="20"/>
        </w:rPr>
        <w:t xml:space="preserve">Als Teil dieser Notfallbehandlung empfehlen wir, bei der initialen Flüssigkeitstherapie mit 30 ml/kg kristalloider Lösung innerhalb der ersten 3 Stunden zu beginnen. Dieses festgelegte Flüssigkeitsvolumen ermöglicht dem Kliniker, die Flüssigkeitstherapie </w:t>
      </w:r>
      <w:r w:rsidR="008C0F5E">
        <w:rPr>
          <w:rFonts w:ascii="Cambria" w:hAnsi="Cambria" w:cs="Arial"/>
          <w:sz w:val="20"/>
          <w:szCs w:val="20"/>
        </w:rPr>
        <w:t>z</w:t>
      </w:r>
      <w:r w:rsidR="00E15D93">
        <w:rPr>
          <w:rFonts w:ascii="Cambria" w:hAnsi="Cambria" w:cs="Arial"/>
          <w:sz w:val="20"/>
          <w:szCs w:val="20"/>
        </w:rPr>
        <w:t>u initiieren</w:t>
      </w:r>
      <w:r w:rsidR="00447357" w:rsidRPr="00207748">
        <w:rPr>
          <w:rFonts w:ascii="Cambria" w:hAnsi="Cambria" w:cs="Arial"/>
          <w:sz w:val="20"/>
          <w:szCs w:val="20"/>
        </w:rPr>
        <w:t xml:space="preserve">, während er genauere Informationen über den Patienten einholt und auf präzisere Messergebnisse des hämodynamischen Status wartet. Obwohl es in der vorhandenen Literatur nur wenige </w:t>
      </w:r>
      <w:r w:rsidR="00447357" w:rsidRPr="00207748">
        <w:rPr>
          <w:rFonts w:ascii="Cambria" w:hAnsi="Cambria" w:cs="Arial"/>
          <w:sz w:val="20"/>
          <w:szCs w:val="20"/>
        </w:rPr>
        <w:lastRenderedPageBreak/>
        <w:t xml:space="preserve">kontrollierte Daten gibt, welche dieses Flüssigkeitsvolumen unterstützen, haben aktuelle interventionelle Studien dies als die übliche Praxis in den frühen Stadien der Flüssigkeitstherapie beschrieben. Die Evidenz aus Beobachtungsstudien unterstützt diese Praxis. </w:t>
      </w:r>
      <w:bookmarkStart w:id="337" w:name="_Ref30426071"/>
      <w:r w:rsidR="00447357" w:rsidRPr="00207748">
        <w:rPr>
          <w:rFonts w:ascii="Cambria" w:eastAsia="Arial" w:hAnsi="Cambria" w:cs="Arial"/>
          <w:sz w:val="20"/>
          <w:szCs w:val="20"/>
          <w:vertAlign w:val="superscript"/>
        </w:rPr>
        <w:endnoteReference w:id="38"/>
      </w:r>
      <w:bookmarkEnd w:id="337"/>
      <w:r w:rsidR="00447357" w:rsidRPr="00207748">
        <w:rPr>
          <w:rFonts w:ascii="Cambria" w:hAnsi="Cambria" w:cs="Arial"/>
          <w:sz w:val="20"/>
          <w:szCs w:val="20"/>
        </w:rPr>
        <w:t xml:space="preserve"> </w:t>
      </w:r>
      <w:bookmarkStart w:id="338" w:name="_Ref30426148"/>
      <w:r w:rsidR="00447357" w:rsidRPr="00207748">
        <w:rPr>
          <w:rFonts w:ascii="Cambria" w:eastAsia="Arial" w:hAnsi="Cambria" w:cs="Arial"/>
          <w:sz w:val="20"/>
          <w:szCs w:val="20"/>
          <w:vertAlign w:val="superscript"/>
        </w:rPr>
        <w:endnoteReference w:id="39"/>
      </w:r>
      <w:bookmarkEnd w:id="338"/>
      <w:r w:rsidR="00447357" w:rsidRPr="00207748">
        <w:rPr>
          <w:rFonts w:ascii="Cambria" w:hAnsi="Cambria" w:cs="Arial"/>
          <w:sz w:val="20"/>
          <w:szCs w:val="20"/>
        </w:rPr>
        <w:t xml:space="preserve"> Das durchschnittliche Flüssigkeitsvolumen vor der Randomisierung, welches in der PROCESS- und der ARISE-Studie verabreicht wurde, betrug etwa 30 ml/kg, und in der PROMISE-Studie etwa 2 Liter. </w:t>
      </w:r>
      <w:r w:rsidR="007D0AD3" w:rsidRPr="00CB26D4">
        <w:rPr>
          <w:rStyle w:val="EndnoteZchn"/>
        </w:rPr>
        <w:fldChar w:fldCharType="begin"/>
      </w:r>
      <w:r w:rsidR="007D0AD3" w:rsidRPr="00CB26D4">
        <w:rPr>
          <w:rStyle w:val="EndnoteZchn"/>
        </w:rPr>
        <w:instrText xml:space="preserve"> NOTEREF _Ref30427131 \h </w:instrText>
      </w:r>
      <w:r w:rsidR="00CB26D4" w:rsidRPr="00CB26D4">
        <w:rPr>
          <w:rStyle w:val="EndnoteZchn"/>
        </w:rPr>
        <w:instrText xml:space="preserve"> \* MERGEFORMAT </w:instrText>
      </w:r>
      <w:r w:rsidR="007D0AD3" w:rsidRPr="00CB26D4">
        <w:rPr>
          <w:rStyle w:val="EndnoteZchn"/>
        </w:rPr>
      </w:r>
      <w:r w:rsidR="007D0AD3" w:rsidRPr="00CB26D4">
        <w:rPr>
          <w:rStyle w:val="EndnoteZchn"/>
        </w:rPr>
        <w:fldChar w:fldCharType="separate"/>
      </w:r>
      <w:r w:rsidR="001A283B">
        <w:rPr>
          <w:rStyle w:val="EndnoteZchn"/>
        </w:rPr>
        <w:t>34</w:t>
      </w:r>
      <w:r w:rsidR="007D0AD3" w:rsidRPr="00CB26D4">
        <w:rPr>
          <w:rStyle w:val="EndnoteZchn"/>
        </w:rPr>
        <w:fldChar w:fldCharType="end"/>
      </w:r>
      <w:r w:rsidR="007D0AD3" w:rsidRPr="00CB26D4">
        <w:rPr>
          <w:rStyle w:val="EndnoteZchn"/>
        </w:rPr>
        <w:t xml:space="preserve"> </w:t>
      </w:r>
      <w:r w:rsidR="00EC4A42" w:rsidRPr="00CB26D4">
        <w:rPr>
          <w:rStyle w:val="EndnoteZchn"/>
        </w:rPr>
        <w:fldChar w:fldCharType="begin"/>
      </w:r>
      <w:r w:rsidR="00EC4A42" w:rsidRPr="00CB26D4">
        <w:rPr>
          <w:rStyle w:val="EndnoteZchn"/>
        </w:rPr>
        <w:instrText xml:space="preserve"> NOTEREF _Ref30426293 \h </w:instrText>
      </w:r>
      <w:r w:rsidR="00CB26D4">
        <w:rPr>
          <w:rStyle w:val="EndnoteZchn"/>
        </w:rPr>
        <w:instrText xml:space="preserve"> \* MERGEFORMAT </w:instrText>
      </w:r>
      <w:r w:rsidR="00EC4A42" w:rsidRPr="00CB26D4">
        <w:rPr>
          <w:rStyle w:val="EndnoteZchn"/>
        </w:rPr>
      </w:r>
      <w:r w:rsidR="00EC4A42" w:rsidRPr="00CB26D4">
        <w:rPr>
          <w:rStyle w:val="EndnoteZchn"/>
        </w:rPr>
        <w:fldChar w:fldCharType="separate"/>
      </w:r>
      <w:r w:rsidR="001A283B">
        <w:rPr>
          <w:rStyle w:val="EndnoteZchn"/>
        </w:rPr>
        <w:t>35</w:t>
      </w:r>
      <w:r w:rsidR="00EC4A42" w:rsidRPr="00CB26D4">
        <w:rPr>
          <w:rStyle w:val="EndnoteZchn"/>
        </w:rPr>
        <w:fldChar w:fldCharType="end"/>
      </w:r>
      <w:r w:rsidR="00EC4A42">
        <w:rPr>
          <w:rFonts w:ascii="Cambria" w:eastAsia="Arial" w:hAnsi="Cambria" w:cs="Arial"/>
          <w:sz w:val="20"/>
          <w:szCs w:val="20"/>
          <w:vertAlign w:val="superscript"/>
        </w:rPr>
        <w:t xml:space="preserve"> </w:t>
      </w:r>
      <w:r w:rsidR="00CB26D4" w:rsidRPr="00CB26D4">
        <w:rPr>
          <w:rStyle w:val="EndnoteZchn"/>
        </w:rPr>
        <w:fldChar w:fldCharType="begin"/>
      </w:r>
      <w:r w:rsidR="00CB26D4" w:rsidRPr="00CB26D4">
        <w:rPr>
          <w:rStyle w:val="EndnoteZchn"/>
        </w:rPr>
        <w:instrText xml:space="preserve"> NOTEREF _Ref30502434 \h </w:instrText>
      </w:r>
      <w:r w:rsidR="00CB26D4" w:rsidRPr="00CB26D4">
        <w:rPr>
          <w:rStyle w:val="EndnoteZchn"/>
        </w:rPr>
      </w:r>
      <w:r w:rsidR="00CB26D4" w:rsidRPr="00CB26D4">
        <w:rPr>
          <w:rStyle w:val="EndnoteZchn"/>
        </w:rPr>
        <w:fldChar w:fldCharType="separate"/>
      </w:r>
      <w:r w:rsidR="001A283B">
        <w:rPr>
          <w:rStyle w:val="EndnoteZchn"/>
        </w:rPr>
        <w:t>36</w:t>
      </w:r>
      <w:r w:rsidR="00CB26D4" w:rsidRPr="00CB26D4">
        <w:rPr>
          <w:rStyle w:val="EndnoteZchn"/>
        </w:rPr>
        <w:fldChar w:fldCharType="end"/>
      </w:r>
      <w:r w:rsidR="00CB26D4" w:rsidRPr="00CB26D4">
        <w:rPr>
          <w:rStyle w:val="EndnoteZchn"/>
        </w:rPr>
        <w:t xml:space="preserve"> </w:t>
      </w:r>
      <w:r w:rsidR="00447357" w:rsidRPr="00207748">
        <w:rPr>
          <w:rFonts w:ascii="Cambria" w:hAnsi="Cambria" w:cs="Arial"/>
          <w:sz w:val="20"/>
          <w:szCs w:val="20"/>
        </w:rPr>
        <w:t xml:space="preserve">Viele Patienten werden mehr Flüssigkeit benötigen und für diese Gruppe befürworten wir, dass mehr Flüssigkeit unter </w:t>
      </w:r>
      <w:r w:rsidR="008C0F5E">
        <w:rPr>
          <w:rFonts w:ascii="Cambria" w:hAnsi="Cambria" w:cs="Arial"/>
          <w:sz w:val="20"/>
          <w:szCs w:val="20"/>
        </w:rPr>
        <w:t>einem Monitoring</w:t>
      </w:r>
      <w:r w:rsidR="00447357" w:rsidRPr="00207748">
        <w:rPr>
          <w:rFonts w:ascii="Cambria" w:hAnsi="Cambria" w:cs="Arial"/>
          <w:sz w:val="20"/>
          <w:szCs w:val="20"/>
        </w:rPr>
        <w:t xml:space="preserve"> funktionale</w:t>
      </w:r>
      <w:r w:rsidR="008C0F5E">
        <w:rPr>
          <w:rFonts w:ascii="Cambria" w:hAnsi="Cambria" w:cs="Arial"/>
          <w:sz w:val="20"/>
          <w:szCs w:val="20"/>
        </w:rPr>
        <w:t>r</w:t>
      </w:r>
      <w:r w:rsidR="00447357" w:rsidRPr="00207748">
        <w:rPr>
          <w:rFonts w:ascii="Cambria" w:hAnsi="Cambria" w:cs="Arial"/>
          <w:sz w:val="20"/>
          <w:szCs w:val="20"/>
        </w:rPr>
        <w:t xml:space="preserve"> hämodynamische</w:t>
      </w:r>
      <w:r w:rsidR="008C0F5E">
        <w:rPr>
          <w:rFonts w:ascii="Cambria" w:hAnsi="Cambria" w:cs="Arial"/>
          <w:sz w:val="20"/>
          <w:szCs w:val="20"/>
        </w:rPr>
        <w:t>r</w:t>
      </w:r>
      <w:r w:rsidR="00447357" w:rsidRPr="00207748">
        <w:rPr>
          <w:rFonts w:ascii="Cambria" w:hAnsi="Cambria" w:cs="Arial"/>
          <w:sz w:val="20"/>
          <w:szCs w:val="20"/>
        </w:rPr>
        <w:t xml:space="preserve"> Messungen verabreicht wird.</w:t>
      </w:r>
    </w:p>
    <w:p w14:paraId="12FF4694" w14:textId="0E13C4B3" w:rsidR="00E11869" w:rsidRPr="00207748" w:rsidRDefault="00447357" w:rsidP="004454B6">
      <w:pPr>
        <w:rPr>
          <w:rFonts w:ascii="Cambria" w:hAnsi="Cambria" w:cs="Arial"/>
          <w:sz w:val="20"/>
          <w:szCs w:val="20"/>
        </w:rPr>
      </w:pPr>
      <w:r w:rsidRPr="00207748">
        <w:rPr>
          <w:rFonts w:ascii="Cambria" w:hAnsi="Cambria" w:cs="Arial"/>
          <w:sz w:val="20"/>
          <w:szCs w:val="20"/>
        </w:rPr>
        <w:t>Abweichend von der SSC-Leitlinie wird aufgrund einer aktualisierten Beurteilung expertenbeigesteuerter Literatur mit neueren Untersuchungen hochwertiger Qualität in Bezug auf die Risk</w:t>
      </w:r>
      <w:r w:rsidR="00EF74D9" w:rsidRPr="00207748">
        <w:rPr>
          <w:rFonts w:ascii="Cambria" w:hAnsi="Cambria" w:cs="Arial"/>
          <w:sz w:val="20"/>
          <w:szCs w:val="20"/>
        </w:rPr>
        <w:t>-</w:t>
      </w:r>
      <w:r w:rsidRPr="00207748">
        <w:rPr>
          <w:rFonts w:ascii="Cambria" w:hAnsi="Cambria" w:cs="Arial"/>
          <w:sz w:val="20"/>
          <w:szCs w:val="20"/>
        </w:rPr>
        <w:t>o</w:t>
      </w:r>
      <w:r w:rsidR="00EF74D9" w:rsidRPr="00207748">
        <w:rPr>
          <w:rFonts w:ascii="Cambria" w:hAnsi="Cambria" w:cs="Arial"/>
          <w:sz w:val="20"/>
          <w:szCs w:val="20"/>
        </w:rPr>
        <w:t>f-</w:t>
      </w:r>
      <w:r w:rsidRPr="00207748">
        <w:rPr>
          <w:rFonts w:ascii="Cambria" w:hAnsi="Cambria" w:cs="Arial"/>
          <w:sz w:val="20"/>
          <w:szCs w:val="20"/>
        </w:rPr>
        <w:t>Bias-Bewertung</w:t>
      </w:r>
      <w:r w:rsidR="00EF74D9" w:rsidRPr="00207748">
        <w:rPr>
          <w:rFonts w:ascii="Cambria" w:hAnsi="Cambria" w:cs="Arial"/>
          <w:sz w:val="20"/>
          <w:szCs w:val="20"/>
        </w:rPr>
        <w:t xml:space="preserve"> nur eine schwache Empfehlung für eine schematische Mindestinfusionsmenge ausgesprochen. </w:t>
      </w:r>
      <w:bookmarkStart w:id="339" w:name="_Ref30426475"/>
      <w:r w:rsidR="006825F9" w:rsidRPr="00EF1A9E">
        <w:rPr>
          <w:rStyle w:val="EndnoteRealZchn"/>
        </w:rPr>
        <w:endnoteReference w:id="40"/>
      </w:r>
      <w:bookmarkEnd w:id="339"/>
      <w:r w:rsidR="006825F9" w:rsidRPr="00EF1A9E">
        <w:rPr>
          <w:rStyle w:val="EndnoteRealZchn"/>
        </w:rPr>
        <w:t xml:space="preserve"> </w:t>
      </w:r>
      <w:bookmarkStart w:id="340" w:name="_Ref30426615"/>
      <w:r w:rsidR="006825F9" w:rsidRPr="00EF1A9E">
        <w:rPr>
          <w:rStyle w:val="EndnoteRealZchn"/>
        </w:rPr>
        <w:endnoteReference w:id="41"/>
      </w:r>
      <w:bookmarkEnd w:id="340"/>
      <w:r w:rsidR="006825F9" w:rsidRPr="00EF1A9E">
        <w:rPr>
          <w:rStyle w:val="EndnoteRealZchn"/>
        </w:rPr>
        <w:t xml:space="preserve"> </w:t>
      </w:r>
      <w:r w:rsidR="006825F9" w:rsidRPr="00EF1A9E">
        <w:rPr>
          <w:rStyle w:val="EndnoteRealZchn"/>
        </w:rPr>
        <w:endnoteReference w:id="42"/>
      </w:r>
      <w:r w:rsidR="00EF74D9" w:rsidRPr="00EF1A9E">
        <w:rPr>
          <w:rStyle w:val="EndnoteRealZchn"/>
        </w:rPr>
        <w:t xml:space="preserve"> </w:t>
      </w:r>
      <w:bookmarkStart w:id="341" w:name="_Ref30426363"/>
      <w:r w:rsidR="00EF74D9" w:rsidRPr="00EF1A9E">
        <w:rPr>
          <w:rStyle w:val="EndnoteRealZchn"/>
        </w:rPr>
        <w:endnoteReference w:id="43"/>
      </w:r>
      <w:bookmarkEnd w:id="341"/>
      <w:r w:rsidR="00EF74D9" w:rsidRPr="00207748">
        <w:rPr>
          <w:rFonts w:ascii="Cambria" w:hAnsi="Cambria" w:cs="Arial"/>
          <w:sz w:val="20"/>
          <w:szCs w:val="20"/>
        </w:rPr>
        <w:t xml:space="preserve"> </w:t>
      </w:r>
      <w:r w:rsidRPr="00207748">
        <w:rPr>
          <w:rFonts w:ascii="Cambria" w:hAnsi="Cambria" w:cs="Arial"/>
          <w:sz w:val="20"/>
          <w:szCs w:val="20"/>
        </w:rPr>
        <w:t>In prospektiven bzw. konsekutiven Beobachtungsstudien an Kohorten mit Sepsis und septischem Schock wurde ein positiver Effekt einer zeitnahen (≤30 min vs. 31-120 min vs. &gt;120 min) Initiierung einer kristalloiden Flüssigkeitstherapie auf die</w:t>
      </w:r>
      <w:r w:rsidRPr="00207748">
        <w:rPr>
          <w:rFonts w:ascii="Cambria" w:hAnsi="Cambria" w:cs="Arial"/>
          <w:sz w:val="20"/>
          <w:szCs w:val="20"/>
          <w:shd w:val="clear" w:color="auto" w:fill="C0C0C0"/>
        </w:rPr>
        <w:t xml:space="preserve"> </w:t>
      </w:r>
      <w:r w:rsidRPr="00207748">
        <w:rPr>
          <w:rFonts w:ascii="Cambria" w:hAnsi="Cambria" w:cs="Arial"/>
          <w:sz w:val="20"/>
          <w:szCs w:val="20"/>
        </w:rPr>
        <w:t>Krankenhaussterblichkeit entweder alleinig</w:t>
      </w:r>
      <w:r w:rsidR="00EC4A42">
        <w:rPr>
          <w:rFonts w:ascii="Cambria" w:hAnsi="Cambria" w:cs="Arial"/>
          <w:sz w:val="20"/>
          <w:szCs w:val="20"/>
        </w:rPr>
        <w:t xml:space="preserve"> </w:t>
      </w:r>
      <w:r w:rsidR="00EC4A42" w:rsidRPr="00EF1A9E">
        <w:rPr>
          <w:rStyle w:val="EndnoteRealZchn"/>
        </w:rPr>
        <w:fldChar w:fldCharType="begin"/>
      </w:r>
      <w:r w:rsidR="00EC4A42" w:rsidRPr="00EF1A9E">
        <w:rPr>
          <w:rStyle w:val="EndnoteRealZchn"/>
        </w:rPr>
        <w:instrText xml:space="preserve"> NOTEREF _Ref30426363 \h </w:instrText>
      </w:r>
      <w:r w:rsidR="00EF1A9E">
        <w:rPr>
          <w:rStyle w:val="EndnoteRealZchn"/>
        </w:rPr>
        <w:instrText xml:space="preserve"> \* MERGEFORMAT </w:instrText>
      </w:r>
      <w:r w:rsidR="00EC4A42" w:rsidRPr="00EF1A9E">
        <w:rPr>
          <w:rStyle w:val="EndnoteRealZchn"/>
        </w:rPr>
      </w:r>
      <w:r w:rsidR="00EC4A42" w:rsidRPr="00EF1A9E">
        <w:rPr>
          <w:rStyle w:val="EndnoteRealZchn"/>
        </w:rPr>
        <w:fldChar w:fldCharType="separate"/>
      </w:r>
      <w:r w:rsidR="001A283B" w:rsidRPr="00EF1A9E">
        <w:rPr>
          <w:rStyle w:val="EndnoteRealZchn"/>
        </w:rPr>
        <w:t>42</w:t>
      </w:r>
      <w:r w:rsidR="00EC4A42" w:rsidRPr="00EF1A9E">
        <w:rPr>
          <w:rStyle w:val="EndnoteRealZchn"/>
        </w:rPr>
        <w:fldChar w:fldCharType="end"/>
      </w:r>
      <w:r w:rsidRPr="00EF1A9E">
        <w:rPr>
          <w:rStyle w:val="EndnoteRealZchn"/>
        </w:rPr>
        <w:t xml:space="preserve"> </w:t>
      </w:r>
      <w:r w:rsidRPr="00207748">
        <w:rPr>
          <w:rFonts w:ascii="Cambria" w:hAnsi="Cambria" w:cs="Arial"/>
          <w:sz w:val="20"/>
          <w:szCs w:val="20"/>
        </w:rPr>
        <w:t>oder in Zusammenhang mit einem Bündel von Maßnahmen</w:t>
      </w:r>
      <w:r w:rsidR="00EF74D9" w:rsidRPr="00207748">
        <w:rPr>
          <w:rFonts w:ascii="Cambria" w:hAnsi="Cambria" w:cs="Arial"/>
          <w:sz w:val="20"/>
          <w:szCs w:val="20"/>
        </w:rPr>
        <w:t xml:space="preserve"> </w:t>
      </w:r>
      <w:r w:rsidRPr="00207748">
        <w:rPr>
          <w:rFonts w:ascii="Cambria" w:hAnsi="Cambria" w:cs="Arial"/>
          <w:sz w:val="20"/>
          <w:szCs w:val="20"/>
        </w:rPr>
        <w:t>berichtet</w:t>
      </w:r>
      <w:r w:rsidR="00EC4A42">
        <w:rPr>
          <w:rFonts w:ascii="Cambria" w:hAnsi="Cambria" w:cs="Arial"/>
          <w:sz w:val="20"/>
          <w:szCs w:val="20"/>
        </w:rPr>
        <w:t xml:space="preserve">. </w:t>
      </w:r>
      <w:r w:rsidR="00EC4A42" w:rsidRPr="00EF1A9E">
        <w:rPr>
          <w:rStyle w:val="EndnoteRealZchn"/>
        </w:rPr>
        <w:fldChar w:fldCharType="begin"/>
      </w:r>
      <w:r w:rsidR="00EC4A42" w:rsidRPr="00EF1A9E">
        <w:rPr>
          <w:rStyle w:val="EndnoteRealZchn"/>
        </w:rPr>
        <w:instrText xml:space="preserve"> NOTEREF _Ref30426475 \h </w:instrText>
      </w:r>
      <w:r w:rsidR="00EF1A9E">
        <w:rPr>
          <w:rStyle w:val="EndnoteRealZchn"/>
        </w:rPr>
        <w:instrText xml:space="preserve"> \* MERGEFORMAT </w:instrText>
      </w:r>
      <w:r w:rsidR="00EC4A42" w:rsidRPr="00EF1A9E">
        <w:rPr>
          <w:rStyle w:val="EndnoteRealZchn"/>
        </w:rPr>
      </w:r>
      <w:r w:rsidR="00EC4A42" w:rsidRPr="00EF1A9E">
        <w:rPr>
          <w:rStyle w:val="EndnoteRealZchn"/>
        </w:rPr>
        <w:fldChar w:fldCharType="separate"/>
      </w:r>
      <w:r w:rsidR="001A283B" w:rsidRPr="00EF1A9E">
        <w:rPr>
          <w:rStyle w:val="EndnoteRealZchn"/>
        </w:rPr>
        <w:t>39</w:t>
      </w:r>
      <w:r w:rsidR="00EC4A42" w:rsidRPr="00EF1A9E">
        <w:rPr>
          <w:rStyle w:val="EndnoteRealZchn"/>
        </w:rPr>
        <w:fldChar w:fldCharType="end"/>
      </w:r>
      <w:r w:rsidRPr="00207748">
        <w:rPr>
          <w:rFonts w:ascii="Cambria" w:hAnsi="Cambria" w:cs="Arial"/>
          <w:sz w:val="20"/>
          <w:szCs w:val="20"/>
        </w:rPr>
        <w:t>In einer ebenfalls neueren retrospektiven Studie an 49.331 Patienten mit Sepsis und septischem Schock konnte kein Überlebensvorteil bei Komplettierung des 30 ml/kg kristalloiden Flüssigkeitsbolus innerhalb der ersten 12 Stunden nach Protokollinitiierung gezeigt werden.</w:t>
      </w:r>
      <w:r w:rsidR="00EF74D9" w:rsidRPr="00207748">
        <w:rPr>
          <w:rFonts w:ascii="Cambria" w:hAnsi="Cambria" w:cs="Arial"/>
          <w:sz w:val="20"/>
          <w:szCs w:val="20"/>
        </w:rPr>
        <w:t xml:space="preserve"> </w:t>
      </w:r>
      <w:r w:rsidR="00EC4A42" w:rsidRPr="00EF1A9E">
        <w:rPr>
          <w:rStyle w:val="EndnoteRealZchn"/>
        </w:rPr>
        <w:fldChar w:fldCharType="begin"/>
      </w:r>
      <w:r w:rsidR="00EC4A42" w:rsidRPr="00EF1A9E">
        <w:rPr>
          <w:rStyle w:val="EndnoteRealZchn"/>
        </w:rPr>
        <w:instrText xml:space="preserve"> NOTEREF _Ref30426615 \h </w:instrText>
      </w:r>
      <w:r w:rsidR="00EF1A9E">
        <w:rPr>
          <w:rStyle w:val="EndnoteRealZchn"/>
        </w:rPr>
        <w:instrText xml:space="preserve"> \* MERGEFORMAT </w:instrText>
      </w:r>
      <w:r w:rsidR="00EC4A42" w:rsidRPr="00EF1A9E">
        <w:rPr>
          <w:rStyle w:val="EndnoteRealZchn"/>
        </w:rPr>
      </w:r>
      <w:r w:rsidR="00EC4A42" w:rsidRPr="00EF1A9E">
        <w:rPr>
          <w:rStyle w:val="EndnoteRealZchn"/>
        </w:rPr>
        <w:fldChar w:fldCharType="separate"/>
      </w:r>
      <w:r w:rsidR="001A283B" w:rsidRPr="00EF1A9E">
        <w:rPr>
          <w:rStyle w:val="EndnoteRealZchn"/>
        </w:rPr>
        <w:t>40</w:t>
      </w:r>
      <w:r w:rsidR="00EC4A42" w:rsidRPr="00EF1A9E">
        <w:rPr>
          <w:rStyle w:val="EndnoteRealZchn"/>
        </w:rPr>
        <w:fldChar w:fldCharType="end"/>
      </w:r>
      <w:r w:rsidR="00EC4A42">
        <w:rPr>
          <w:rFonts w:ascii="Cambria" w:hAnsi="Cambria"/>
          <w:sz w:val="20"/>
          <w:szCs w:val="20"/>
        </w:rPr>
        <w:t xml:space="preserve"> </w:t>
      </w:r>
      <w:r w:rsidRPr="00207748">
        <w:rPr>
          <w:rFonts w:ascii="Cambria" w:hAnsi="Cambria" w:cs="Arial"/>
          <w:sz w:val="20"/>
          <w:szCs w:val="20"/>
        </w:rPr>
        <w:t>Eine neuere prospektive Studie bei Patienten mit Sepsis und Hypotension in einem Entwicklungsland zeigte eine erhöhte Krankenhaussterblichkeit (48,1 % vs. 33,0 %) nach protokollbasierter Infusion von 3,5 l vs. 2,0 l (</w:t>
      </w:r>
      <w:r w:rsidR="008C0F5E">
        <w:rPr>
          <w:rFonts w:ascii="Cambria" w:hAnsi="Cambria" w:cs="Arial"/>
          <w:sz w:val="20"/>
          <w:szCs w:val="20"/>
        </w:rPr>
        <w:t>„</w:t>
      </w:r>
      <w:r w:rsidR="00EC3DBA" w:rsidRPr="00207748">
        <w:rPr>
          <w:rFonts w:ascii="Cambria" w:hAnsi="Cambria" w:cs="Arial"/>
          <w:sz w:val="20"/>
          <w:szCs w:val="20"/>
        </w:rPr>
        <w:t>U</w:t>
      </w:r>
      <w:r w:rsidRPr="00207748">
        <w:rPr>
          <w:rFonts w:ascii="Cambria" w:hAnsi="Cambria" w:cs="Arial"/>
          <w:sz w:val="20"/>
          <w:szCs w:val="20"/>
        </w:rPr>
        <w:t xml:space="preserve">sual </w:t>
      </w:r>
      <w:r w:rsidR="00EC3DBA" w:rsidRPr="00207748">
        <w:rPr>
          <w:rFonts w:ascii="Cambria" w:hAnsi="Cambria" w:cs="Arial"/>
          <w:sz w:val="20"/>
          <w:szCs w:val="20"/>
        </w:rPr>
        <w:t>C</w:t>
      </w:r>
      <w:r w:rsidRPr="00207748">
        <w:rPr>
          <w:rFonts w:ascii="Cambria" w:hAnsi="Cambria" w:cs="Arial"/>
          <w:sz w:val="20"/>
          <w:szCs w:val="20"/>
        </w:rPr>
        <w:t>are</w:t>
      </w:r>
      <w:r w:rsidR="008C0F5E">
        <w:rPr>
          <w:rFonts w:ascii="Cambria" w:hAnsi="Cambria" w:cs="Arial"/>
          <w:sz w:val="20"/>
          <w:szCs w:val="20"/>
        </w:rPr>
        <w:t>“</w:t>
      </w:r>
      <w:r w:rsidR="00EC3DBA" w:rsidRPr="00207748">
        <w:rPr>
          <w:rFonts w:ascii="Cambria" w:hAnsi="Cambria" w:cs="Arial"/>
          <w:sz w:val="20"/>
          <w:szCs w:val="20"/>
        </w:rPr>
        <w:t>/</w:t>
      </w:r>
      <w:r w:rsidR="008C0F5E">
        <w:rPr>
          <w:rFonts w:ascii="Cambria" w:hAnsi="Cambria" w:cs="Arial"/>
          <w:sz w:val="20"/>
          <w:szCs w:val="20"/>
        </w:rPr>
        <w:t>Standardtherapie</w:t>
      </w:r>
      <w:r w:rsidRPr="00207748">
        <w:rPr>
          <w:rFonts w:ascii="Cambria" w:hAnsi="Cambria" w:cs="Arial"/>
          <w:sz w:val="20"/>
          <w:szCs w:val="20"/>
        </w:rPr>
        <w:t>) kristalloider Infusionsl</w:t>
      </w:r>
      <w:r w:rsidR="00773ECC" w:rsidRPr="00207748">
        <w:rPr>
          <w:rFonts w:ascii="Cambria" w:hAnsi="Cambria" w:cs="Arial"/>
          <w:sz w:val="20"/>
          <w:szCs w:val="20"/>
        </w:rPr>
        <w:t>ösung innerhalb von 6 Stunden</w:t>
      </w:r>
      <w:r w:rsidRPr="00207748">
        <w:rPr>
          <w:rFonts w:ascii="Cambria" w:hAnsi="Cambria" w:cs="Arial"/>
          <w:sz w:val="20"/>
          <w:szCs w:val="20"/>
        </w:rPr>
        <w:t>.</w:t>
      </w:r>
      <w:r w:rsidR="00EC4A42" w:rsidRPr="00EF1A9E">
        <w:rPr>
          <w:rStyle w:val="EndnoteRealZchn"/>
        </w:rPr>
        <w:fldChar w:fldCharType="begin"/>
      </w:r>
      <w:r w:rsidR="00EC4A42" w:rsidRPr="00EF1A9E">
        <w:rPr>
          <w:rStyle w:val="EndnoteRealZchn"/>
        </w:rPr>
        <w:instrText xml:space="preserve"> NOTEREF _Ref30426475 \h </w:instrText>
      </w:r>
      <w:r w:rsidR="00EF1A9E">
        <w:rPr>
          <w:rStyle w:val="EndnoteRealZchn"/>
        </w:rPr>
        <w:instrText xml:space="preserve"> \* MERGEFORMAT </w:instrText>
      </w:r>
      <w:r w:rsidR="00EC4A42" w:rsidRPr="00EF1A9E">
        <w:rPr>
          <w:rStyle w:val="EndnoteRealZchn"/>
        </w:rPr>
      </w:r>
      <w:r w:rsidR="00EC4A42" w:rsidRPr="00EF1A9E">
        <w:rPr>
          <w:rStyle w:val="EndnoteRealZchn"/>
        </w:rPr>
        <w:fldChar w:fldCharType="separate"/>
      </w:r>
      <w:r w:rsidR="001A283B" w:rsidRPr="00EF1A9E">
        <w:rPr>
          <w:rStyle w:val="EndnoteRealZchn"/>
        </w:rPr>
        <w:t>39</w:t>
      </w:r>
      <w:r w:rsidR="00EC4A42" w:rsidRPr="00EF1A9E">
        <w:rPr>
          <w:rStyle w:val="EndnoteRealZchn"/>
        </w:rPr>
        <w:fldChar w:fldCharType="end"/>
      </w:r>
      <w:r w:rsidR="00EC4A42">
        <w:rPr>
          <w:rFonts w:ascii="Cambria" w:hAnsi="Cambria"/>
          <w:sz w:val="20"/>
          <w:szCs w:val="20"/>
        </w:rPr>
        <w:t xml:space="preserve"> </w:t>
      </w:r>
      <w:r w:rsidRPr="00207748">
        <w:rPr>
          <w:rFonts w:ascii="Cambria" w:hAnsi="Cambria" w:cs="Arial"/>
          <w:sz w:val="20"/>
          <w:szCs w:val="20"/>
        </w:rPr>
        <w:t xml:space="preserve">In der Gesamtbetrachtung der vorliegenden Studien wurde dies so interpretiert, dass eine zeitnahe Initiierung der Flüssigkeitstherapie von Vorteil ist, jedoch nicht die schematische </w:t>
      </w:r>
      <w:r w:rsidRPr="00207748">
        <w:rPr>
          <w:rFonts w:ascii="Cambria" w:hAnsi="Cambria" w:cs="Arial"/>
          <w:sz w:val="20"/>
          <w:szCs w:val="20"/>
        </w:rPr>
        <w:lastRenderedPageBreak/>
        <w:t xml:space="preserve">Verabreichung des vollständigen 30 ml/kg Flüssigkeitsbolus innerhalb der ersten </w:t>
      </w:r>
      <w:r w:rsidR="00CB3020" w:rsidRPr="00207748">
        <w:rPr>
          <w:rFonts w:ascii="Cambria" w:hAnsi="Cambria" w:cs="Arial"/>
          <w:sz w:val="20"/>
          <w:szCs w:val="20"/>
        </w:rPr>
        <w:t>3</w:t>
      </w:r>
      <w:r w:rsidRPr="00207748">
        <w:rPr>
          <w:rFonts w:ascii="Cambria" w:hAnsi="Cambria" w:cs="Arial"/>
          <w:sz w:val="20"/>
          <w:szCs w:val="20"/>
        </w:rPr>
        <w:t xml:space="preserve"> Stunden.</w:t>
      </w:r>
    </w:p>
    <w:tbl>
      <w:tblPr>
        <w:tblStyle w:val="TableNormal"/>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38"/>
        <w:gridCol w:w="1418"/>
        <w:gridCol w:w="907"/>
      </w:tblGrid>
      <w:tr w:rsidR="00342FB3" w:rsidRPr="00207748" w14:paraId="3C4BD84B" w14:textId="77777777" w:rsidTr="002B1061">
        <w:trPr>
          <w:trHeight w:val="9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6436711" w14:textId="77777777" w:rsidR="00342FB3" w:rsidRPr="00207748" w:rsidRDefault="00342FB3" w:rsidP="008B1A6E">
            <w:pPr>
              <w:spacing w:after="0"/>
              <w:rPr>
                <w:rFonts w:ascii="Cambria" w:hAnsi="Cambria" w:cs="Arial"/>
                <w:b/>
                <w:bCs/>
                <w:sz w:val="20"/>
                <w:szCs w:val="20"/>
              </w:rPr>
            </w:pPr>
            <w:r w:rsidRPr="00207748">
              <w:rPr>
                <w:rFonts w:ascii="Cambria" w:hAnsi="Cambria" w:cs="Arial"/>
                <w:b/>
                <w:bCs/>
                <w:sz w:val="20"/>
                <w:szCs w:val="20"/>
              </w:rPr>
              <w:t>A.3</w:t>
            </w:r>
          </w:p>
        </w:tc>
        <w:tc>
          <w:tcPr>
            <w:tcW w:w="1418" w:type="dxa"/>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42D5E612" w14:textId="77777777" w:rsidR="00342FB3" w:rsidRPr="00207748" w:rsidRDefault="00342FB3" w:rsidP="004454B6">
            <w:pPr>
              <w:spacing w:after="0"/>
              <w:rPr>
                <w:rFonts w:ascii="Cambria" w:hAnsi="Cambria" w:cs="Arial"/>
                <w:b/>
                <w:bCs/>
                <w:sz w:val="20"/>
                <w:szCs w:val="20"/>
              </w:rPr>
            </w:pPr>
            <w:r w:rsidRPr="00207748">
              <w:rPr>
                <w:rFonts w:ascii="Cambria" w:hAnsi="Cambria" w:cs="Arial"/>
                <w:b/>
                <w:bCs/>
                <w:sz w:val="20"/>
                <w:szCs w:val="20"/>
              </w:rPr>
              <w:t>Empfehlung</w:t>
            </w:r>
          </w:p>
        </w:tc>
        <w:tc>
          <w:tcPr>
            <w:tcW w:w="907" w:type="dxa"/>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22E813C9" w14:textId="77777777" w:rsidR="00342FB3" w:rsidRPr="00207748" w:rsidRDefault="00342FB3" w:rsidP="004454B6">
            <w:pPr>
              <w:spacing w:after="0"/>
              <w:rPr>
                <w:rFonts w:ascii="Cambria" w:hAnsi="Cambria" w:cs="Arial"/>
                <w:b/>
                <w:bCs/>
                <w:sz w:val="20"/>
                <w:szCs w:val="20"/>
              </w:rPr>
            </w:pPr>
            <w:r w:rsidRPr="00207748">
              <w:rPr>
                <w:rFonts w:ascii="Cambria" w:hAnsi="Cambria" w:cs="Arial"/>
                <w:b/>
                <w:bCs/>
                <w:sz w:val="20"/>
                <w:szCs w:val="20"/>
              </w:rPr>
              <w:t>2018</w:t>
            </w:r>
          </w:p>
        </w:tc>
      </w:tr>
      <w:tr w:rsidR="00342FB3" w:rsidRPr="00207748" w14:paraId="44F2A158" w14:textId="77777777" w:rsidTr="002B1061">
        <w:trPr>
          <w:trHeight w:val="1364"/>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B579A8" w14:textId="77777777" w:rsidR="00342FB3" w:rsidRPr="002B1061" w:rsidRDefault="00342FB3" w:rsidP="004454B6">
            <w:pPr>
              <w:spacing w:after="0"/>
              <w:rPr>
                <w:rFonts w:ascii="Cambria" w:hAnsi="Cambria" w:cs="Arial"/>
                <w:b/>
                <w:sz w:val="20"/>
                <w:szCs w:val="20"/>
              </w:rPr>
            </w:pPr>
            <w:r w:rsidRPr="002B1061">
              <w:rPr>
                <w:rFonts w:ascii="Cambria" w:hAnsi="Cambria" w:cs="Arial"/>
                <w:b/>
                <w:bCs/>
                <w:sz w:val="20"/>
                <w:szCs w:val="20"/>
              </w:rPr>
              <w:t>Expertenkonsens</w:t>
            </w:r>
          </w:p>
        </w:tc>
        <w:tc>
          <w:tcPr>
            <w:tcW w:w="232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08F5A8" w14:textId="77777777" w:rsidR="00342FB3" w:rsidRPr="00207748" w:rsidRDefault="00342FB3" w:rsidP="004454B6">
            <w:pPr>
              <w:spacing w:after="120"/>
              <w:rPr>
                <w:rFonts w:ascii="Cambria" w:eastAsia="Arial" w:hAnsi="Cambria" w:cs="Arial"/>
                <w:b/>
                <w:bCs/>
                <w:sz w:val="20"/>
                <w:szCs w:val="20"/>
              </w:rPr>
            </w:pPr>
            <w:r w:rsidRPr="00207748">
              <w:rPr>
                <w:rFonts w:ascii="Cambria" w:hAnsi="Cambria" w:cs="Arial"/>
                <w:b/>
                <w:bCs/>
                <w:sz w:val="20"/>
                <w:szCs w:val="20"/>
              </w:rPr>
              <w:t>Wir empfehlen, dass zusätzliche Flüssigkeitsgaben nach dem initialen Flüssigkeitsbolus im Rahmen der weiteren initialen Stabilisierung durch häufig wiederholte Kontrollen des hämodynamischen Status begleitet werden.</w:t>
            </w:r>
          </w:p>
          <w:p w14:paraId="4D629D0A" w14:textId="2425A684" w:rsidR="00EF74D9" w:rsidRPr="00207748" w:rsidRDefault="00342FB3" w:rsidP="004454B6">
            <w:pPr>
              <w:spacing w:after="120"/>
              <w:rPr>
                <w:rFonts w:ascii="Cambria" w:hAnsi="Cambria" w:cs="Arial"/>
                <w:b/>
                <w:bCs/>
                <w:sz w:val="20"/>
                <w:szCs w:val="20"/>
              </w:rPr>
            </w:pPr>
            <w:r w:rsidRPr="00207748">
              <w:rPr>
                <w:rFonts w:ascii="Cambria" w:hAnsi="Cambria" w:cs="Arial"/>
                <w:b/>
                <w:bCs/>
                <w:sz w:val="20"/>
                <w:szCs w:val="20"/>
              </w:rPr>
              <w:t>Wir empfehlen ferner, eine fortgesetzte Flüssigkeitstherapie nur in Erwägung zu ziehen, wenn weiterhin Zeichen einer Hypoperfusion vorliegen.</w:t>
            </w:r>
          </w:p>
          <w:p w14:paraId="5B2F6997" w14:textId="32F8D355" w:rsidR="00342FB3" w:rsidRPr="00207748" w:rsidRDefault="00EF74D9" w:rsidP="004454B6">
            <w:pPr>
              <w:spacing w:after="120"/>
              <w:rPr>
                <w:rFonts w:ascii="Cambria" w:eastAsia="Arial" w:hAnsi="Cambria" w:cs="Arial"/>
                <w:bCs/>
                <w:sz w:val="20"/>
                <w:szCs w:val="20"/>
              </w:rPr>
            </w:pPr>
            <w:r w:rsidRPr="00207748">
              <w:rPr>
                <w:rFonts w:ascii="Cambria" w:hAnsi="Cambria" w:cs="Arial"/>
                <w:b/>
                <w:bCs/>
                <w:sz w:val="20"/>
                <w:szCs w:val="20"/>
              </w:rPr>
              <w:t>Bemerkungen:</w:t>
            </w:r>
            <w:r w:rsidRPr="00207748">
              <w:rPr>
                <w:rFonts w:ascii="Cambria" w:hAnsi="Cambria" w:cs="Arial"/>
                <w:sz w:val="20"/>
                <w:szCs w:val="20"/>
              </w:rPr>
              <w:t xml:space="preserve"> Eine wiederholte Kontrolle sollte eine gründliche klinische Untersuchung und Bewertung der verfügbaren physiologischen Variablen (Herzfrequenz, Blutdruck, arterielle und zentralvenöse Sauerstoffsättigung, Atemfrequenz, Temperatur, Urin-ausscheidung und sonstige Variablen je nach Verfügbarkeit) beinhalten, sowie weitere nicht-invasive und invasive Überwachungs</w:t>
            </w:r>
            <w:r w:rsidR="00B26F79">
              <w:rPr>
                <w:rFonts w:ascii="Cambria" w:hAnsi="Cambria" w:cs="Arial"/>
                <w:sz w:val="20"/>
                <w:szCs w:val="20"/>
              </w:rPr>
              <w:t>-</w:t>
            </w:r>
            <w:r w:rsidRPr="00207748">
              <w:rPr>
                <w:rFonts w:ascii="Cambria" w:hAnsi="Cambria" w:cs="Arial"/>
                <w:sz w:val="20"/>
                <w:szCs w:val="20"/>
              </w:rPr>
              <w:t>maßnahmen, sofern derartige Maßnahmen zur Verfügung stehen.</w:t>
            </w:r>
          </w:p>
        </w:tc>
      </w:tr>
      <w:tr w:rsidR="00342FB3" w:rsidRPr="00207748" w14:paraId="7BF24E89" w14:textId="77777777" w:rsidTr="002B1061">
        <w:trPr>
          <w:trHeight w:val="777"/>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247E7E" w14:textId="77777777" w:rsidR="00342FB3" w:rsidRPr="00207748" w:rsidRDefault="00342FB3" w:rsidP="004454B6">
            <w:pPr>
              <w:rPr>
                <w:rFonts w:ascii="Cambria" w:hAnsi="Cambria" w:cs="Arial"/>
                <w:sz w:val="20"/>
                <w:szCs w:val="20"/>
              </w:rPr>
            </w:pPr>
          </w:p>
        </w:tc>
        <w:tc>
          <w:tcPr>
            <w:tcW w:w="232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15733A" w14:textId="7458AB47" w:rsidR="00342FB3" w:rsidRPr="00207748" w:rsidRDefault="00342FB3" w:rsidP="004454B6">
            <w:pPr>
              <w:spacing w:after="0"/>
              <w:rPr>
                <w:rFonts w:ascii="Cambria" w:hAnsi="Cambria" w:cs="Arial"/>
                <w:sz w:val="20"/>
                <w:szCs w:val="20"/>
              </w:rPr>
            </w:pPr>
            <w:r w:rsidRPr="00207748">
              <w:rPr>
                <w:rFonts w:ascii="Cambria" w:hAnsi="Cambria" w:cs="Arial"/>
                <w:b/>
                <w:bCs/>
                <w:sz w:val="20"/>
                <w:szCs w:val="20"/>
              </w:rPr>
              <w:t>SSC-Leitlinien</w:t>
            </w:r>
            <w:r w:rsidR="00B26F79">
              <w:rPr>
                <w:rFonts w:ascii="Cambria" w:hAnsi="Cambria" w:cs="Arial"/>
                <w:b/>
                <w:bCs/>
                <w:sz w:val="20"/>
                <w:szCs w:val="20"/>
              </w:rPr>
              <w:t>-</w:t>
            </w:r>
            <w:r w:rsidRPr="00207748">
              <w:rPr>
                <w:rFonts w:ascii="Cambria" w:hAnsi="Cambria" w:cs="Arial"/>
                <w:b/>
                <w:bCs/>
                <w:sz w:val="20"/>
                <w:szCs w:val="20"/>
              </w:rPr>
              <w:t>adaptation und SSC-Leitlinienmodifikation</w:t>
            </w:r>
          </w:p>
        </w:tc>
      </w:tr>
      <w:tr w:rsidR="00342FB3" w:rsidRPr="00207748" w14:paraId="6C8AA3E5" w14:textId="77777777" w:rsidTr="002B1061">
        <w:trPr>
          <w:trHeight w:val="609"/>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BBCF24" w14:textId="77777777" w:rsidR="00342FB3" w:rsidRPr="00207748" w:rsidRDefault="00342FB3" w:rsidP="004454B6">
            <w:pPr>
              <w:rPr>
                <w:rFonts w:ascii="Cambria" w:hAnsi="Cambria" w:cs="Arial"/>
                <w:sz w:val="20"/>
                <w:szCs w:val="20"/>
              </w:rPr>
            </w:pPr>
          </w:p>
        </w:tc>
        <w:tc>
          <w:tcPr>
            <w:tcW w:w="232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0644CF" w14:textId="77777777" w:rsidR="00342FB3" w:rsidRPr="00207748" w:rsidRDefault="00342FB3" w:rsidP="004454B6">
            <w:pPr>
              <w:spacing w:after="0"/>
              <w:rPr>
                <w:rFonts w:ascii="Cambria" w:hAnsi="Cambria" w:cs="Arial"/>
                <w:sz w:val="20"/>
                <w:szCs w:val="20"/>
              </w:rPr>
            </w:pPr>
            <w:r w:rsidRPr="00207748">
              <w:rPr>
                <w:rFonts w:ascii="Cambria" w:hAnsi="Cambria" w:cs="Arial"/>
                <w:sz w:val="20"/>
                <w:szCs w:val="20"/>
              </w:rPr>
              <w:t>Konsensstärke: 100 %</w:t>
            </w:r>
          </w:p>
        </w:tc>
      </w:tr>
    </w:tbl>
    <w:p w14:paraId="1DBE7B35" w14:textId="4DD68524" w:rsidR="00E11869" w:rsidRPr="00207748" w:rsidRDefault="00420A45" w:rsidP="004454B6">
      <w:pPr>
        <w:spacing w:before="240"/>
        <w:rPr>
          <w:rFonts w:ascii="Cambria" w:eastAsia="Arial" w:hAnsi="Cambria" w:cs="Arial"/>
          <w:sz w:val="20"/>
          <w:szCs w:val="20"/>
        </w:rPr>
      </w:pPr>
      <w:r w:rsidRPr="00207748">
        <w:rPr>
          <w:rFonts w:ascii="Cambria" w:hAnsi="Cambria" w:cs="Arial"/>
          <w:b/>
          <w:bCs/>
          <w:sz w:val="20"/>
          <w:szCs w:val="20"/>
        </w:rPr>
        <w:t>Begründung:</w:t>
      </w:r>
      <w:r w:rsidR="00447357" w:rsidRPr="00207748">
        <w:rPr>
          <w:rFonts w:ascii="Cambria" w:hAnsi="Cambria" w:cs="Arial"/>
          <w:b/>
          <w:bCs/>
          <w:sz w:val="20"/>
          <w:szCs w:val="20"/>
        </w:rPr>
        <w:t xml:space="preserve"> </w:t>
      </w:r>
      <w:r w:rsidR="00447357" w:rsidRPr="00207748">
        <w:rPr>
          <w:rFonts w:ascii="Cambria" w:hAnsi="Cambria" w:cs="Arial"/>
          <w:sz w:val="20"/>
          <w:szCs w:val="20"/>
        </w:rPr>
        <w:t xml:space="preserve">Eines der wichtigsten Prinzipien, das in Bezug auf die komplexe Behandlungsplanung dieser Patienten </w:t>
      </w:r>
      <w:r w:rsidR="008C0F5E">
        <w:rPr>
          <w:rFonts w:ascii="Cambria" w:hAnsi="Cambria" w:cs="Arial"/>
          <w:sz w:val="20"/>
          <w:szCs w:val="20"/>
        </w:rPr>
        <w:t>berücksichtigt</w:t>
      </w:r>
      <w:r w:rsidR="00447357" w:rsidRPr="00207748">
        <w:rPr>
          <w:rFonts w:ascii="Cambria" w:hAnsi="Cambria" w:cs="Arial"/>
          <w:sz w:val="20"/>
          <w:szCs w:val="20"/>
        </w:rPr>
        <w:t xml:space="preserve"> werden muss, ist die Notwendigkeit einer detaillierten initialen Beurteilung und kontinuierlich zu wiederholende</w:t>
      </w:r>
      <w:r w:rsidR="008C0F5E">
        <w:rPr>
          <w:rFonts w:ascii="Cambria" w:hAnsi="Cambria" w:cs="Arial"/>
          <w:sz w:val="20"/>
          <w:szCs w:val="20"/>
        </w:rPr>
        <w:t>n</w:t>
      </w:r>
      <w:r w:rsidR="00447357" w:rsidRPr="00207748">
        <w:rPr>
          <w:rFonts w:ascii="Cambria" w:hAnsi="Cambria" w:cs="Arial"/>
          <w:sz w:val="20"/>
          <w:szCs w:val="20"/>
        </w:rPr>
        <w:t xml:space="preserve"> Kontrollen hinsichtlich des Ansprechens auf die Behandlung. Diese Beurteilung sollte mit einer gründlichen klinischen Untersuchung und Evaluierung der verfügbaren physiologischen Variablen beginnen, die der Beschreibung des klinischen Zustands des Patienten dienen (Herzfrequenz, Blutdruck, arterielle Sauerstoffsättigung, Atemfrequenz, Temperatur, Urinausscheidung u.a. je nach Verfügbarkeit). </w:t>
      </w:r>
    </w:p>
    <w:p w14:paraId="2F897333" w14:textId="06B5E0CF" w:rsidR="002B1061" w:rsidRDefault="00447357" w:rsidP="004454B6">
      <w:pPr>
        <w:rPr>
          <w:rFonts w:ascii="Cambria" w:hAnsi="Cambria" w:cs="Arial"/>
          <w:sz w:val="20"/>
          <w:szCs w:val="20"/>
        </w:rPr>
      </w:pPr>
      <w:r w:rsidRPr="00207748">
        <w:rPr>
          <w:rFonts w:ascii="Cambria" w:hAnsi="Cambria" w:cs="Arial"/>
          <w:sz w:val="20"/>
          <w:szCs w:val="20"/>
        </w:rPr>
        <w:t>Ergänzend zu der SSC-Leitlinie wird neben der arteriellen auch die zentralvenöse Sauerstoffsättigung als physiologische Variable aufgeführt, da ein deutlich erniedrigter Wert ein wichtiges Zeichen eines gestörten Verhältnisses zwischen O2-Angebot und O2-Verbrauch darstellt und ein solcher Befund bei der Verlaufsbeurteilung berücksichtigt werden</w:t>
      </w:r>
      <w:r w:rsidRPr="00207748">
        <w:rPr>
          <w:rFonts w:ascii="Cambria" w:hAnsi="Cambria" w:cs="Arial"/>
          <w:sz w:val="20"/>
          <w:szCs w:val="20"/>
          <w:shd w:val="clear" w:color="auto" w:fill="C0C0C0"/>
        </w:rPr>
        <w:t xml:space="preserve"> </w:t>
      </w:r>
      <w:r w:rsidRPr="00207748">
        <w:rPr>
          <w:rFonts w:ascii="Cambria" w:hAnsi="Cambria" w:cs="Arial"/>
          <w:sz w:val="20"/>
          <w:szCs w:val="20"/>
        </w:rPr>
        <w:t>sollte. So wiesen Patienten, bei denen nach initial erniedrigter ScvO2 (&lt;70 %) innerhalb der ersten 6 Stunden ein Anstieg der ScvO2 auf &gt;70 % gemessen wurde, eine deutlich niedrigere Mortalität auf als Patienten, die initial und auch während der ersten 6 Stunden eine erniedrigte ScvO2 aufwiesen</w:t>
      </w:r>
      <w:r w:rsidR="002F45C9" w:rsidRPr="00207748">
        <w:rPr>
          <w:rFonts w:ascii="Cambria" w:hAnsi="Cambria" w:cs="Arial"/>
          <w:sz w:val="20"/>
          <w:szCs w:val="20"/>
        </w:rPr>
        <w:t>.</w:t>
      </w:r>
      <w:r w:rsidRPr="00EF1A9E">
        <w:rPr>
          <w:rStyle w:val="EndnoteRealZchn"/>
        </w:rPr>
        <w:endnoteReference w:id="44"/>
      </w:r>
    </w:p>
    <w:p w14:paraId="0A7E2B43" w14:textId="77777777" w:rsidR="002B1061" w:rsidRDefault="002B1061">
      <w:pPr>
        <w:spacing w:after="0" w:line="240" w:lineRule="auto"/>
        <w:rPr>
          <w:rFonts w:ascii="Cambria" w:hAnsi="Cambria" w:cs="Arial"/>
          <w:sz w:val="20"/>
          <w:szCs w:val="20"/>
        </w:rPr>
      </w:pPr>
      <w:r>
        <w:rPr>
          <w:rFonts w:ascii="Cambria" w:hAnsi="Cambria" w:cs="Arial"/>
          <w:sz w:val="20"/>
          <w:szCs w:val="20"/>
        </w:rPr>
        <w:br w:type="page"/>
      </w: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883"/>
        <w:gridCol w:w="1637"/>
        <w:gridCol w:w="813"/>
      </w:tblGrid>
      <w:tr w:rsidR="00E11869" w:rsidRPr="00207748" w14:paraId="6CE33E57" w14:textId="77777777" w:rsidTr="00B26F79">
        <w:trPr>
          <w:trHeight w:val="282"/>
        </w:trPr>
        <w:tc>
          <w:tcPr>
            <w:tcW w:w="2173"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4715484A"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lastRenderedPageBreak/>
              <w:t>A.4</w:t>
            </w:r>
          </w:p>
        </w:tc>
        <w:tc>
          <w:tcPr>
            <w:tcW w:w="1889"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168313C8"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 xml:space="preserve">Empfehlung </w:t>
            </w:r>
          </w:p>
        </w:tc>
        <w:tc>
          <w:tcPr>
            <w:tcW w:w="938"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3D9A8B6A"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2018</w:t>
            </w:r>
          </w:p>
        </w:tc>
      </w:tr>
      <w:tr w:rsidR="00E11869" w:rsidRPr="00207748" w14:paraId="17483431" w14:textId="77777777" w:rsidTr="00B26F79">
        <w:trPr>
          <w:trHeight w:val="3558"/>
        </w:trPr>
        <w:tc>
          <w:tcPr>
            <w:tcW w:w="2173"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DB91D4"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Expertenkonsens</w:t>
            </w:r>
          </w:p>
        </w:tc>
        <w:tc>
          <w:tcPr>
            <w:tcW w:w="282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66687" w14:textId="3CB723DD"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Wir empfehlen eine zusätzliche hämodynamische Beurteilung (wie z.B. die echokardio</w:t>
            </w:r>
            <w:r w:rsidR="00B26F79">
              <w:rPr>
                <w:rFonts w:ascii="Cambria" w:hAnsi="Cambria" w:cs="Arial"/>
                <w:b/>
                <w:bCs/>
                <w:sz w:val="20"/>
                <w:szCs w:val="20"/>
              </w:rPr>
              <w:t>-</w:t>
            </w:r>
            <w:r w:rsidRPr="00207748">
              <w:rPr>
                <w:rFonts w:ascii="Cambria" w:hAnsi="Cambria" w:cs="Arial"/>
                <w:b/>
                <w:bCs/>
                <w:sz w:val="20"/>
                <w:szCs w:val="20"/>
              </w:rPr>
              <w:t>graphische Beurteilung der Herzfunktion) zur Ermittlung der Art des Schocks, falls die klinische Untersuchung nicht zu einer eindeutigen Diagnose führt.</w:t>
            </w:r>
          </w:p>
        </w:tc>
      </w:tr>
      <w:tr w:rsidR="00E11869" w:rsidRPr="00207748" w14:paraId="77F8D8DA" w14:textId="77777777" w:rsidTr="00B26F79">
        <w:trPr>
          <w:trHeight w:val="903"/>
        </w:trPr>
        <w:tc>
          <w:tcPr>
            <w:tcW w:w="2173" w:type="pct"/>
            <w:vMerge/>
            <w:tcBorders>
              <w:top w:val="single" w:sz="4" w:space="0" w:color="000000"/>
              <w:left w:val="single" w:sz="4" w:space="0" w:color="000000"/>
              <w:bottom w:val="single" w:sz="4" w:space="0" w:color="000000"/>
              <w:right w:val="single" w:sz="4" w:space="0" w:color="000000"/>
            </w:tcBorders>
            <w:shd w:val="clear" w:color="auto" w:fill="auto"/>
          </w:tcPr>
          <w:p w14:paraId="48070BE6" w14:textId="77777777" w:rsidR="00E11869" w:rsidRPr="00207748" w:rsidRDefault="00E11869" w:rsidP="004454B6">
            <w:pPr>
              <w:rPr>
                <w:rFonts w:ascii="Cambria" w:hAnsi="Cambria" w:cs="Arial"/>
                <w:sz w:val="20"/>
                <w:szCs w:val="20"/>
              </w:rPr>
            </w:pPr>
          </w:p>
        </w:tc>
        <w:tc>
          <w:tcPr>
            <w:tcW w:w="282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05710" w14:textId="5D13EDD6"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SSC</w:t>
            </w:r>
            <w:r w:rsidR="00CB3020" w:rsidRPr="00207748">
              <w:rPr>
                <w:rFonts w:ascii="Cambria" w:hAnsi="Cambria" w:cs="Arial"/>
                <w:b/>
                <w:bCs/>
                <w:sz w:val="20"/>
                <w:szCs w:val="20"/>
              </w:rPr>
              <w:t>-</w:t>
            </w:r>
            <w:r w:rsidRPr="00207748">
              <w:rPr>
                <w:rFonts w:ascii="Cambria" w:hAnsi="Cambria" w:cs="Arial"/>
                <w:b/>
                <w:bCs/>
                <w:sz w:val="20"/>
                <w:szCs w:val="20"/>
              </w:rPr>
              <w:t>Leitlinien</w:t>
            </w:r>
            <w:r w:rsidR="00B26F79">
              <w:rPr>
                <w:rFonts w:ascii="Cambria" w:hAnsi="Cambria" w:cs="Arial"/>
                <w:b/>
                <w:bCs/>
                <w:sz w:val="20"/>
                <w:szCs w:val="20"/>
              </w:rPr>
              <w:t>-</w:t>
            </w:r>
            <w:r w:rsidRPr="00207748">
              <w:rPr>
                <w:rFonts w:ascii="Cambria" w:hAnsi="Cambria" w:cs="Arial"/>
                <w:b/>
                <w:bCs/>
                <w:sz w:val="20"/>
                <w:szCs w:val="20"/>
              </w:rPr>
              <w:t>adaptation und SSC</w:t>
            </w:r>
            <w:r w:rsidR="00CB3020" w:rsidRPr="00207748">
              <w:rPr>
                <w:rFonts w:ascii="Cambria" w:hAnsi="Cambria" w:cs="Arial"/>
                <w:b/>
                <w:bCs/>
                <w:sz w:val="20"/>
                <w:szCs w:val="20"/>
              </w:rPr>
              <w:t>-</w:t>
            </w:r>
            <w:r w:rsidRPr="00207748">
              <w:rPr>
                <w:rFonts w:ascii="Cambria" w:hAnsi="Cambria" w:cs="Arial"/>
                <w:b/>
                <w:bCs/>
                <w:sz w:val="20"/>
                <w:szCs w:val="20"/>
              </w:rPr>
              <w:t xml:space="preserve">Leitlinienmodifikation </w:t>
            </w:r>
          </w:p>
        </w:tc>
      </w:tr>
      <w:tr w:rsidR="00E11869" w:rsidRPr="00207748" w14:paraId="555F33BC" w14:textId="77777777" w:rsidTr="00B26F79">
        <w:trPr>
          <w:trHeight w:val="192"/>
        </w:trPr>
        <w:tc>
          <w:tcPr>
            <w:tcW w:w="21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40D72" w14:textId="77777777" w:rsidR="00E11869" w:rsidRPr="00207748" w:rsidRDefault="00E11869" w:rsidP="004454B6">
            <w:pPr>
              <w:rPr>
                <w:rFonts w:ascii="Cambria" w:hAnsi="Cambria" w:cs="Arial"/>
                <w:sz w:val="20"/>
                <w:szCs w:val="20"/>
              </w:rPr>
            </w:pPr>
          </w:p>
        </w:tc>
        <w:tc>
          <w:tcPr>
            <w:tcW w:w="282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497C5" w14:textId="77777777" w:rsidR="00E11869" w:rsidRPr="00207748" w:rsidRDefault="00447357" w:rsidP="004454B6">
            <w:pPr>
              <w:spacing w:after="0"/>
              <w:rPr>
                <w:rFonts w:ascii="Cambria" w:hAnsi="Cambria" w:cs="Arial"/>
                <w:sz w:val="20"/>
                <w:szCs w:val="20"/>
              </w:rPr>
            </w:pPr>
            <w:r w:rsidRPr="00207748">
              <w:rPr>
                <w:rFonts w:ascii="Cambria" w:hAnsi="Cambria" w:cs="Arial"/>
                <w:sz w:val="20"/>
                <w:szCs w:val="20"/>
              </w:rPr>
              <w:t>Konsensstärke: 100 %</w:t>
            </w:r>
          </w:p>
        </w:tc>
      </w:tr>
    </w:tbl>
    <w:p w14:paraId="4050A4F7" w14:textId="481AC145" w:rsidR="00E11869" w:rsidRPr="00207748" w:rsidRDefault="00342FB3" w:rsidP="004454B6">
      <w:pPr>
        <w:spacing w:before="240"/>
        <w:rPr>
          <w:rFonts w:ascii="Cambria" w:eastAsia="Arial" w:hAnsi="Cambria" w:cs="Arial"/>
          <w:iCs/>
          <w:sz w:val="20"/>
          <w:szCs w:val="20"/>
        </w:rPr>
      </w:pPr>
      <w:r w:rsidRPr="00207748">
        <w:rPr>
          <w:rFonts w:ascii="Cambria" w:hAnsi="Cambria" w:cs="Arial"/>
          <w:b/>
          <w:bCs/>
          <w:sz w:val="20"/>
          <w:szCs w:val="20"/>
        </w:rPr>
        <w:t>Begründung</w:t>
      </w:r>
      <w:r w:rsidR="00420A45" w:rsidRPr="00207748">
        <w:rPr>
          <w:rFonts w:ascii="Cambria" w:hAnsi="Cambria" w:cs="Arial"/>
          <w:b/>
          <w:bCs/>
          <w:sz w:val="20"/>
          <w:szCs w:val="20"/>
        </w:rPr>
        <w:t>:</w:t>
      </w:r>
      <w:r w:rsidR="00447357" w:rsidRPr="00207748">
        <w:rPr>
          <w:rFonts w:ascii="Cambria" w:hAnsi="Cambria" w:cs="Arial"/>
          <w:b/>
          <w:bCs/>
          <w:sz w:val="20"/>
          <w:szCs w:val="20"/>
        </w:rPr>
        <w:t xml:space="preserve"> </w:t>
      </w:r>
      <w:r w:rsidR="00447357" w:rsidRPr="00207748">
        <w:rPr>
          <w:rFonts w:ascii="Cambria" w:hAnsi="Cambria" w:cs="Arial"/>
          <w:sz w:val="20"/>
          <w:szCs w:val="20"/>
        </w:rPr>
        <w:t>Ergänzend zur SSC-Leitlinie wird (in Übereinstimmung mit der S3-Leitlinie zur intravasalen Volumentherapie beim Erwachsenen</w:t>
      </w:r>
      <w:r w:rsidR="00447357" w:rsidRPr="00EF1A9E">
        <w:rPr>
          <w:rStyle w:val="EndnoteRealZchn"/>
        </w:rPr>
        <w:endnoteReference w:id="45"/>
      </w:r>
      <w:r w:rsidR="00447357" w:rsidRPr="00207748">
        <w:rPr>
          <w:rFonts w:ascii="Cambria" w:hAnsi="Cambria" w:cs="Arial"/>
          <w:sz w:val="20"/>
          <w:szCs w:val="20"/>
        </w:rPr>
        <w:t>) die Echokardiographie als Methode zur Beurteilung der Herzfunktion explizit aufgeführt. In den letzten Jahren ist die Echokardiographie für viele Krankenhausärzte verfügbar geworden, welche eine genauere Analyse der Ursachen für die hämodynamischen Probleme ermöglicht.</w:t>
      </w:r>
      <w:bookmarkStart w:id="342" w:name="_Ref30426721"/>
      <w:r w:rsidR="00447357" w:rsidRPr="00EF1A9E">
        <w:rPr>
          <w:rStyle w:val="EndnoteRealZchn"/>
        </w:rPr>
        <w:endnoteReference w:id="46"/>
      </w:r>
      <w:bookmarkEnd w:id="342"/>
      <w:r w:rsidR="00447357" w:rsidRPr="00EF1A9E">
        <w:rPr>
          <w:rStyle w:val="EndnoteRealZchn"/>
        </w:rPr>
        <w:t xml:space="preserve"> </w:t>
      </w:r>
      <w:r w:rsidR="00447357" w:rsidRPr="00207748">
        <w:rPr>
          <w:rFonts w:ascii="Cambria" w:hAnsi="Cambria" w:cs="Arial"/>
          <w:sz w:val="20"/>
          <w:szCs w:val="20"/>
        </w:rPr>
        <w:t xml:space="preserve">Mittels der Echokardiographie kann beim Patienten mit unklarer hämodynamischer Instabilität eine Vielzahl von relevanten Differenzialdiagnosen (Perikarderguss und -tamponade, akute Rechtsherzbelastung als Hinweis für eine Lungenarterienembolie (LAE), eingeschränkte Pumpfunktion, Klappenvitium, etc.) </w:t>
      </w:r>
      <w:r w:rsidR="00D02931">
        <w:rPr>
          <w:rFonts w:ascii="Cambria" w:hAnsi="Cambria" w:cs="Arial"/>
          <w:sz w:val="20"/>
          <w:szCs w:val="20"/>
        </w:rPr>
        <w:t>ausgeschlossen</w:t>
      </w:r>
      <w:r w:rsidR="00447357" w:rsidRPr="00207748">
        <w:rPr>
          <w:rFonts w:ascii="Cambria" w:hAnsi="Cambria" w:cs="Arial"/>
          <w:sz w:val="20"/>
          <w:szCs w:val="20"/>
        </w:rPr>
        <w:t xml:space="preserve"> werden. Insbesondere beim kardiogenen Schock sind </w:t>
      </w:r>
      <w:r w:rsidR="00420A45" w:rsidRPr="00207748">
        <w:rPr>
          <w:rFonts w:ascii="Cambria" w:hAnsi="Cambria" w:cs="Arial"/>
          <w:sz w:val="20"/>
          <w:szCs w:val="20"/>
        </w:rPr>
        <w:t>transthorakale Echokardiographie (TTE)</w:t>
      </w:r>
      <w:r w:rsidR="00447357" w:rsidRPr="00207748">
        <w:rPr>
          <w:rFonts w:ascii="Cambria" w:hAnsi="Cambria" w:cs="Arial"/>
          <w:sz w:val="20"/>
          <w:szCs w:val="20"/>
        </w:rPr>
        <w:t xml:space="preserve"> und </w:t>
      </w:r>
      <w:r w:rsidR="00420A45" w:rsidRPr="00207748">
        <w:rPr>
          <w:rFonts w:ascii="Cambria" w:hAnsi="Cambria" w:cs="Arial"/>
          <w:sz w:val="20"/>
          <w:szCs w:val="20"/>
        </w:rPr>
        <w:t>transösophageale Echokardiographie (</w:t>
      </w:r>
      <w:r w:rsidR="00447357" w:rsidRPr="00207748">
        <w:rPr>
          <w:rFonts w:ascii="Cambria" w:hAnsi="Cambria" w:cs="Arial"/>
          <w:sz w:val="20"/>
          <w:szCs w:val="20"/>
        </w:rPr>
        <w:t>TEE</w:t>
      </w:r>
      <w:r w:rsidR="00420A45" w:rsidRPr="00207748">
        <w:rPr>
          <w:rFonts w:ascii="Cambria" w:hAnsi="Cambria" w:cs="Arial"/>
          <w:sz w:val="20"/>
          <w:szCs w:val="20"/>
        </w:rPr>
        <w:t>)</w:t>
      </w:r>
      <w:r w:rsidR="00447357" w:rsidRPr="00207748">
        <w:rPr>
          <w:rFonts w:ascii="Cambria" w:hAnsi="Cambria" w:cs="Arial"/>
          <w:sz w:val="20"/>
          <w:szCs w:val="20"/>
        </w:rPr>
        <w:t xml:space="preserve"> essentieller Bestandteil der Diagnostik. Die American Heart Association wertet den Einsatz der transthorakalen Echokardiographie bei Patienten mit Hypotension oder hämodynamischer Instabilität mit unklarer </w:t>
      </w:r>
      <w:r w:rsidR="00447357" w:rsidRPr="00207748">
        <w:rPr>
          <w:rFonts w:ascii="Cambria" w:hAnsi="Cambria" w:cs="Arial"/>
          <w:sz w:val="20"/>
          <w:szCs w:val="20"/>
        </w:rPr>
        <w:lastRenderedPageBreak/>
        <w:t>Ursache als „appropriate“ mit höchstem Empfehlungsgrad</w:t>
      </w:r>
      <w:r w:rsidR="00CB3020" w:rsidRPr="00207748">
        <w:rPr>
          <w:rFonts w:ascii="Cambria" w:hAnsi="Cambria" w:cs="Arial"/>
          <w:sz w:val="20"/>
          <w:szCs w:val="20"/>
        </w:rPr>
        <w:t xml:space="preserve">. </w:t>
      </w:r>
      <w:r w:rsidR="00447357" w:rsidRPr="00EF1A9E">
        <w:rPr>
          <w:rStyle w:val="EndnoteRealZchn"/>
        </w:rPr>
        <w:endnoteReference w:id="47"/>
      </w:r>
      <w:r w:rsidR="00447357" w:rsidRPr="00EF1A9E">
        <w:rPr>
          <w:rStyle w:val="EndnoteRealZchn"/>
        </w:rPr>
        <w:t xml:space="preserve"> </w:t>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02"/>
        <w:gridCol w:w="850"/>
      </w:tblGrid>
      <w:tr w:rsidR="00E11869" w:rsidRPr="00207748" w14:paraId="448F047C"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70D56042"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t>A.5</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44DABD96"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16A7F5D7" w14:textId="77777777" w:rsidR="00E11869" w:rsidRPr="00207748" w:rsidRDefault="002F45C9" w:rsidP="004454B6">
            <w:pPr>
              <w:spacing w:after="0"/>
              <w:rPr>
                <w:rFonts w:ascii="Cambria" w:hAnsi="Cambria" w:cs="Arial"/>
                <w:b/>
                <w:bCs/>
                <w:sz w:val="20"/>
                <w:szCs w:val="20"/>
              </w:rPr>
            </w:pPr>
            <w:r w:rsidRPr="00207748">
              <w:rPr>
                <w:rFonts w:ascii="Cambria" w:hAnsi="Cambria" w:cs="Arial"/>
                <w:b/>
                <w:bCs/>
                <w:sz w:val="20"/>
                <w:szCs w:val="20"/>
              </w:rPr>
              <w:t>2018</w:t>
            </w:r>
          </w:p>
        </w:tc>
      </w:tr>
      <w:tr w:rsidR="00E11869" w:rsidRPr="00207748" w14:paraId="07ACE2D5" w14:textId="77777777" w:rsidTr="00207748">
        <w:trPr>
          <w:trHeight w:val="274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BD88C"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t>Empfehlungsgrad</w:t>
            </w:r>
          </w:p>
          <w:p w14:paraId="049F41FD" w14:textId="77777777" w:rsidR="00E11869" w:rsidRPr="00207748" w:rsidRDefault="00E11869" w:rsidP="004454B6">
            <w:pPr>
              <w:spacing w:after="0"/>
              <w:rPr>
                <w:rFonts w:ascii="Cambria" w:eastAsia="Arial" w:hAnsi="Cambria" w:cs="Arial"/>
                <w:sz w:val="20"/>
                <w:szCs w:val="20"/>
              </w:rPr>
            </w:pPr>
          </w:p>
          <w:p w14:paraId="6CB33331" w14:textId="77777777" w:rsidR="00E11869" w:rsidRPr="00207748" w:rsidRDefault="00447357" w:rsidP="004454B6">
            <w:pPr>
              <w:spacing w:after="0"/>
              <w:rPr>
                <w:rFonts w:ascii="Cambria" w:eastAsia="Arial" w:hAnsi="Cambria" w:cs="Arial"/>
                <w:b/>
                <w:bCs/>
                <w:sz w:val="20"/>
                <w:szCs w:val="20"/>
              </w:rPr>
            </w:pPr>
            <w:r w:rsidRPr="00207748">
              <w:rPr>
                <w:rFonts w:ascii="Cambria" w:hAnsi="Cambria" w:cs="Arial"/>
                <w:b/>
                <w:bCs/>
                <w:sz w:val="20"/>
                <w:szCs w:val="20"/>
              </w:rPr>
              <w:t>schwach</w:t>
            </w:r>
          </w:p>
          <w:p w14:paraId="31BFC60E" w14:textId="77777777" w:rsidR="00E11869" w:rsidRPr="00207748" w:rsidRDefault="00E11869" w:rsidP="004454B6">
            <w:pPr>
              <w:spacing w:after="0"/>
              <w:rPr>
                <w:rFonts w:ascii="Cambria" w:eastAsia="Arial" w:hAnsi="Cambria" w:cs="Arial"/>
                <w:sz w:val="20"/>
                <w:szCs w:val="20"/>
              </w:rPr>
            </w:pPr>
          </w:p>
          <w:p w14:paraId="251DC641"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t>Evidenzgrad</w:t>
            </w:r>
          </w:p>
          <w:p w14:paraId="024B63D0" w14:textId="77777777" w:rsidR="00E11869" w:rsidRPr="00207748" w:rsidRDefault="00E11869" w:rsidP="004454B6">
            <w:pPr>
              <w:spacing w:after="0"/>
              <w:rPr>
                <w:rFonts w:ascii="Cambria" w:eastAsia="Arial" w:hAnsi="Cambria" w:cs="Arial"/>
                <w:sz w:val="20"/>
                <w:szCs w:val="20"/>
              </w:rPr>
            </w:pPr>
          </w:p>
          <w:p w14:paraId="2140DEE2"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niedrig</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3400C" w14:textId="77777777" w:rsidR="00E11869" w:rsidRPr="00207748" w:rsidRDefault="00447357" w:rsidP="004454B6">
            <w:pPr>
              <w:spacing w:after="120"/>
              <w:rPr>
                <w:rFonts w:ascii="Cambria" w:hAnsi="Cambria" w:cs="Arial"/>
                <w:sz w:val="20"/>
                <w:szCs w:val="20"/>
              </w:rPr>
            </w:pPr>
            <w:r w:rsidRPr="00207748">
              <w:rPr>
                <w:rFonts w:ascii="Cambria" w:hAnsi="Cambria" w:cs="Arial"/>
                <w:b/>
                <w:bCs/>
                <w:sz w:val="20"/>
                <w:szCs w:val="20"/>
              </w:rPr>
              <w:t xml:space="preserve">Wir schlagen vor, dass bevorzugt dynamische gegenüber statischen Variablen verwendet werden, um das Ansprechen auf eine Flüssigkeitstherapie vorherzusagen, sofern diese zur Verfügung stehen. </w:t>
            </w:r>
          </w:p>
        </w:tc>
      </w:tr>
      <w:tr w:rsidR="00E11869" w:rsidRPr="00207748" w14:paraId="1C047979" w14:textId="77777777" w:rsidTr="00342FB3">
        <w:trPr>
          <w:trHeight w:val="56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0E86AA06"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554D6"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SSC</w:t>
            </w:r>
            <w:r w:rsidR="00E3644E" w:rsidRPr="00207748">
              <w:rPr>
                <w:rFonts w:ascii="Cambria" w:hAnsi="Cambria" w:cs="Arial"/>
                <w:b/>
                <w:bCs/>
                <w:sz w:val="20"/>
                <w:szCs w:val="20"/>
              </w:rPr>
              <w:t>-</w:t>
            </w:r>
            <w:r w:rsidRPr="00207748">
              <w:rPr>
                <w:rFonts w:ascii="Cambria" w:hAnsi="Cambria" w:cs="Arial"/>
                <w:b/>
                <w:bCs/>
                <w:sz w:val="20"/>
                <w:szCs w:val="20"/>
              </w:rPr>
              <w:t xml:space="preserve">Leitlinienadaptation </w:t>
            </w:r>
          </w:p>
        </w:tc>
      </w:tr>
      <w:tr w:rsidR="00E11869" w:rsidRPr="00207748" w14:paraId="00982C5B"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4E7BA"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AC36F" w14:textId="77777777" w:rsidR="00E11869" w:rsidRPr="00207748" w:rsidRDefault="00447357" w:rsidP="004454B6">
            <w:pPr>
              <w:spacing w:after="0"/>
              <w:rPr>
                <w:rFonts w:ascii="Cambria" w:hAnsi="Cambria" w:cs="Arial"/>
                <w:sz w:val="20"/>
                <w:szCs w:val="20"/>
              </w:rPr>
            </w:pPr>
            <w:r w:rsidRPr="00207748">
              <w:rPr>
                <w:rFonts w:ascii="Cambria" w:hAnsi="Cambria" w:cs="Arial"/>
                <w:sz w:val="20"/>
                <w:szCs w:val="20"/>
              </w:rPr>
              <w:t>Konsensstärke: 79 %</w:t>
            </w:r>
          </w:p>
        </w:tc>
      </w:tr>
    </w:tbl>
    <w:p w14:paraId="68EA46EB" w14:textId="0AD7068E" w:rsidR="00E11869" w:rsidRPr="00207748" w:rsidRDefault="00342FB3" w:rsidP="004454B6">
      <w:pPr>
        <w:spacing w:before="240"/>
        <w:rPr>
          <w:rFonts w:ascii="Cambria" w:eastAsia="Arial" w:hAnsi="Cambria" w:cs="Arial"/>
          <w:sz w:val="20"/>
          <w:szCs w:val="20"/>
        </w:rPr>
      </w:pPr>
      <w:r w:rsidRPr="00207748">
        <w:rPr>
          <w:rFonts w:ascii="Cambria" w:hAnsi="Cambria" w:cs="Arial"/>
          <w:b/>
          <w:bCs/>
          <w:sz w:val="20"/>
          <w:szCs w:val="20"/>
        </w:rPr>
        <w:t>Begründung</w:t>
      </w:r>
      <w:r w:rsidR="00CB3020" w:rsidRPr="00207748">
        <w:rPr>
          <w:rFonts w:ascii="Cambria" w:hAnsi="Cambria" w:cs="Arial"/>
          <w:b/>
          <w:bCs/>
          <w:sz w:val="20"/>
          <w:szCs w:val="20"/>
        </w:rPr>
        <w:t>:</w:t>
      </w:r>
      <w:r w:rsidR="00447357" w:rsidRPr="00207748">
        <w:rPr>
          <w:rFonts w:ascii="Cambria" w:hAnsi="Cambria" w:cs="Arial"/>
          <w:b/>
          <w:bCs/>
          <w:sz w:val="20"/>
          <w:szCs w:val="20"/>
        </w:rPr>
        <w:t xml:space="preserve"> </w:t>
      </w:r>
      <w:r w:rsidR="00447357" w:rsidRPr="00207748">
        <w:rPr>
          <w:rFonts w:ascii="Cambria" w:hAnsi="Cambria" w:cs="Arial"/>
          <w:sz w:val="20"/>
          <w:szCs w:val="20"/>
        </w:rPr>
        <w:t xml:space="preserve">Die ausschließliche Nutzung des zentralvenösen Drucks allein zur Steuerung der Flüssigkeitstherapie kann nicht länger </w:t>
      </w:r>
      <w:r w:rsidR="00D02931">
        <w:rPr>
          <w:rFonts w:ascii="Cambria" w:hAnsi="Cambria" w:cs="Arial"/>
          <w:sz w:val="20"/>
          <w:szCs w:val="20"/>
        </w:rPr>
        <w:t>empfohlen</w:t>
      </w:r>
      <w:r w:rsidR="00447357" w:rsidRPr="00207748">
        <w:rPr>
          <w:rFonts w:ascii="Cambria" w:hAnsi="Cambria" w:cs="Arial"/>
          <w:sz w:val="20"/>
          <w:szCs w:val="20"/>
        </w:rPr>
        <w:t xml:space="preserve"> werden</w:t>
      </w:r>
      <w:r w:rsidR="00EC4A42" w:rsidRPr="00EF1A9E">
        <w:rPr>
          <w:rStyle w:val="EndnoteRealZchn"/>
        </w:rPr>
        <w:fldChar w:fldCharType="begin"/>
      </w:r>
      <w:r w:rsidR="00EC4A42" w:rsidRPr="00EF1A9E">
        <w:rPr>
          <w:rStyle w:val="EndnoteRealZchn"/>
        </w:rPr>
        <w:instrText xml:space="preserve"> NOTEREF _Ref30426721 \h </w:instrText>
      </w:r>
      <w:r w:rsidR="00EF1A9E">
        <w:rPr>
          <w:rStyle w:val="EndnoteRealZchn"/>
        </w:rPr>
        <w:instrText xml:space="preserve"> \* MERGEFORMAT </w:instrText>
      </w:r>
      <w:r w:rsidR="00EC4A42" w:rsidRPr="00EF1A9E">
        <w:rPr>
          <w:rStyle w:val="EndnoteRealZchn"/>
        </w:rPr>
      </w:r>
      <w:r w:rsidR="00EC4A42" w:rsidRPr="00EF1A9E">
        <w:rPr>
          <w:rStyle w:val="EndnoteRealZchn"/>
        </w:rPr>
        <w:fldChar w:fldCharType="separate"/>
      </w:r>
      <w:r w:rsidR="001A283B" w:rsidRPr="00EF1A9E">
        <w:rPr>
          <w:rStyle w:val="EndnoteRealZchn"/>
        </w:rPr>
        <w:t>45</w:t>
      </w:r>
      <w:r w:rsidR="00EC4A42" w:rsidRPr="00EF1A9E">
        <w:rPr>
          <w:rStyle w:val="EndnoteRealZchn"/>
        </w:rPr>
        <w:fldChar w:fldCharType="end"/>
      </w:r>
      <w:r w:rsidR="00447357" w:rsidRPr="00207748">
        <w:rPr>
          <w:rFonts w:ascii="Cambria" w:hAnsi="Cambria" w:cs="Arial"/>
          <w:sz w:val="20"/>
          <w:szCs w:val="20"/>
        </w:rPr>
        <w:t xml:space="preserve"> weil die Fähigkeit zur Prognose der Volumenreagibilität limitiert ist, wenn der </w:t>
      </w:r>
      <w:r w:rsidR="00420A45" w:rsidRPr="00207748">
        <w:rPr>
          <w:rFonts w:ascii="Cambria" w:hAnsi="Cambria" w:cs="Arial"/>
          <w:sz w:val="20"/>
          <w:szCs w:val="20"/>
        </w:rPr>
        <w:t>zentrale Venendruck (</w:t>
      </w:r>
      <w:r w:rsidR="00447357" w:rsidRPr="00207748">
        <w:rPr>
          <w:rFonts w:ascii="Cambria" w:hAnsi="Cambria" w:cs="Arial"/>
          <w:sz w:val="20"/>
          <w:szCs w:val="20"/>
        </w:rPr>
        <w:t>ZVD</w:t>
      </w:r>
      <w:r w:rsidR="00420A45" w:rsidRPr="00207748">
        <w:rPr>
          <w:rFonts w:ascii="Cambria" w:hAnsi="Cambria" w:cs="Arial"/>
          <w:sz w:val="20"/>
          <w:szCs w:val="20"/>
        </w:rPr>
        <w:t>)</w:t>
      </w:r>
      <w:r w:rsidR="00447357" w:rsidRPr="00207748">
        <w:rPr>
          <w:rFonts w:ascii="Cambria" w:hAnsi="Cambria" w:cs="Arial"/>
          <w:sz w:val="20"/>
          <w:szCs w:val="20"/>
        </w:rPr>
        <w:t xml:space="preserve"> innerhalb eines relativ normalen Wertebereichs (8</w:t>
      </w:r>
      <w:r w:rsidR="00EC3DBA" w:rsidRPr="00207748">
        <w:rPr>
          <w:rFonts w:ascii="Cambria" w:hAnsi="Cambria" w:cs="Arial"/>
          <w:sz w:val="20"/>
          <w:szCs w:val="20"/>
        </w:rPr>
        <w:t>-</w:t>
      </w:r>
      <w:r w:rsidR="00447357" w:rsidRPr="00207748">
        <w:rPr>
          <w:rFonts w:ascii="Cambria" w:hAnsi="Cambria" w:cs="Arial"/>
          <w:sz w:val="20"/>
          <w:szCs w:val="20"/>
        </w:rPr>
        <w:t xml:space="preserve">12 mm Hg) liegt. </w:t>
      </w:r>
      <w:r w:rsidR="00447357" w:rsidRPr="00207748">
        <w:rPr>
          <w:rFonts w:ascii="Cambria" w:eastAsia="Arial" w:hAnsi="Cambria" w:cs="Arial"/>
          <w:sz w:val="20"/>
          <w:szCs w:val="20"/>
          <w:vertAlign w:val="superscript"/>
        </w:rPr>
        <w:endnoteReference w:id="48"/>
      </w:r>
      <w:r w:rsidR="00447357" w:rsidRPr="00207748">
        <w:rPr>
          <w:rFonts w:ascii="Cambria" w:hAnsi="Cambria" w:cs="Arial"/>
          <w:sz w:val="20"/>
          <w:szCs w:val="20"/>
        </w:rPr>
        <w:t xml:space="preserve"> Das Gleiche gilt für andere statische Messungen des rechten oder linken Vorhofdrucks oder -volumens. Dynamische Messungen zur Beurteilung, ob ein Patient zusätzliche Flüssigkeit benötigt, wurden mit dem Ziel vorgeschlagen, das Flüssigkeitsmanagement zu verbessern. Diese haben eine bessere diagnostische Genauigkeit bei der Prädiktion von Patienten gezeigt, die wahrscheinlich auf eine Flüssigkeits</w:t>
      </w:r>
      <w:r w:rsidR="00CB3020" w:rsidRPr="00207748">
        <w:rPr>
          <w:rFonts w:ascii="Cambria" w:hAnsi="Cambria" w:cs="Arial"/>
          <w:sz w:val="20"/>
          <w:szCs w:val="20"/>
        </w:rPr>
        <w:t>b</w:t>
      </w:r>
      <w:r w:rsidR="00447357" w:rsidRPr="00207748">
        <w:rPr>
          <w:rFonts w:ascii="Cambria" w:hAnsi="Cambria" w:cs="Arial"/>
          <w:sz w:val="20"/>
          <w:szCs w:val="20"/>
        </w:rPr>
        <w:t>olusgabe mit einem erhöhten Schlagvolumen ansprechen werden. Diese Techniken umfassen die passive Beinhochlagerung, die probatorische Zufuhr definierter Flüssigkeitsboli unter gleichzeitigen Schlagvolumenmessungen oder Variationen des systolischen Drucks, des Pulsdrucks oder des Schlagvolumens auf Änderungen des intrathorakalen Drucks unter invasiver Beatmung.</w:t>
      </w:r>
      <w:bookmarkStart w:id="343" w:name="_Ref30426873"/>
      <w:r w:rsidR="00447357" w:rsidRPr="00207748">
        <w:rPr>
          <w:rFonts w:ascii="Cambria" w:eastAsia="Arial" w:hAnsi="Cambria" w:cs="Arial"/>
          <w:sz w:val="20"/>
          <w:szCs w:val="20"/>
          <w:vertAlign w:val="superscript"/>
        </w:rPr>
        <w:endnoteReference w:id="49"/>
      </w:r>
      <w:bookmarkEnd w:id="343"/>
      <w:r w:rsidR="00447357" w:rsidRPr="00207748">
        <w:rPr>
          <w:rFonts w:ascii="Cambria" w:hAnsi="Cambria" w:cs="Arial"/>
          <w:sz w:val="20"/>
          <w:szCs w:val="20"/>
        </w:rPr>
        <w:t xml:space="preserve"> Ein Review von fünf Studien zur Nutzung einer </w:t>
      </w:r>
      <w:r w:rsidR="00CB3020" w:rsidRPr="00207748">
        <w:rPr>
          <w:rFonts w:ascii="Cambria" w:hAnsi="Cambria" w:cs="Arial"/>
          <w:sz w:val="20"/>
          <w:szCs w:val="20"/>
        </w:rPr>
        <w:t>Pulsdruckvariation (PPV)</w:t>
      </w:r>
      <w:r w:rsidR="00447357" w:rsidRPr="00207748">
        <w:rPr>
          <w:rFonts w:ascii="Cambria" w:hAnsi="Cambria" w:cs="Arial"/>
          <w:sz w:val="20"/>
          <w:szCs w:val="20"/>
        </w:rPr>
        <w:t xml:space="preserve"> zur Prognose des Ansprechens auf eine </w:t>
      </w:r>
      <w:r w:rsidR="00447357" w:rsidRPr="00207748">
        <w:rPr>
          <w:rFonts w:ascii="Cambria" w:hAnsi="Cambria" w:cs="Arial"/>
          <w:sz w:val="20"/>
          <w:szCs w:val="20"/>
        </w:rPr>
        <w:lastRenderedPageBreak/>
        <w:t xml:space="preserve">Flüssigkeitstherapie </w:t>
      </w:r>
      <w:r w:rsidR="00D02931">
        <w:rPr>
          <w:rFonts w:ascii="Cambria" w:hAnsi="Cambria" w:cs="Arial"/>
          <w:sz w:val="20"/>
          <w:szCs w:val="20"/>
        </w:rPr>
        <w:t>bei</w:t>
      </w:r>
      <w:r w:rsidR="00447357" w:rsidRPr="00207748">
        <w:rPr>
          <w:rFonts w:ascii="Cambria" w:hAnsi="Cambria" w:cs="Arial"/>
          <w:sz w:val="20"/>
          <w:szCs w:val="20"/>
        </w:rPr>
        <w:t xml:space="preserve"> Patienten mit Sepsis oder septischem Schock ergab eine Sensitivität von 0,72 (95 % CI, 0,61– 0,81) und eine Spezifität von 0,91 (95 % CI, 0,83–0,95); die Evidenzqualität war niedrig, was auf Ungenauigkeiten und </w:t>
      </w:r>
      <w:r w:rsidR="00D02931">
        <w:rPr>
          <w:rFonts w:ascii="Cambria" w:hAnsi="Cambria" w:cs="Arial"/>
          <w:sz w:val="20"/>
          <w:szCs w:val="20"/>
        </w:rPr>
        <w:t>potentiellen bias</w:t>
      </w:r>
      <w:r w:rsidR="00447357" w:rsidRPr="00207748">
        <w:rPr>
          <w:rFonts w:ascii="Cambria" w:hAnsi="Cambria" w:cs="Arial"/>
          <w:sz w:val="20"/>
          <w:szCs w:val="20"/>
        </w:rPr>
        <w:t xml:space="preserve"> zurückzuführen ist. </w:t>
      </w:r>
      <w:r w:rsidR="007D0AD3" w:rsidRPr="00EF1A9E">
        <w:rPr>
          <w:rStyle w:val="EndnoteRealZchn"/>
        </w:rPr>
        <w:fldChar w:fldCharType="begin"/>
      </w:r>
      <w:r w:rsidR="007D0AD3" w:rsidRPr="00EF1A9E">
        <w:rPr>
          <w:rStyle w:val="EndnoteRealZchn"/>
        </w:rPr>
        <w:instrText xml:space="preserve"> NOTEREF _Ref30426873 \h </w:instrText>
      </w:r>
      <w:r w:rsidR="00EF1A9E">
        <w:rPr>
          <w:rStyle w:val="EndnoteRealZchn"/>
        </w:rPr>
        <w:instrText xml:space="preserve"> \* MERGEFORMAT </w:instrText>
      </w:r>
      <w:r w:rsidR="007D0AD3" w:rsidRPr="00EF1A9E">
        <w:rPr>
          <w:rStyle w:val="EndnoteRealZchn"/>
        </w:rPr>
      </w:r>
      <w:r w:rsidR="007D0AD3" w:rsidRPr="00EF1A9E">
        <w:rPr>
          <w:rStyle w:val="EndnoteRealZchn"/>
        </w:rPr>
        <w:fldChar w:fldCharType="separate"/>
      </w:r>
      <w:r w:rsidR="001A283B" w:rsidRPr="00EF1A9E">
        <w:rPr>
          <w:rStyle w:val="EndnoteRealZchn"/>
        </w:rPr>
        <w:t>48</w:t>
      </w:r>
      <w:r w:rsidR="007D0AD3" w:rsidRPr="00EF1A9E">
        <w:rPr>
          <w:rStyle w:val="EndnoteRealZchn"/>
        </w:rPr>
        <w:fldChar w:fldCharType="end"/>
      </w:r>
      <w:r w:rsidR="007D0AD3">
        <w:rPr>
          <w:rFonts w:ascii="Cambria" w:eastAsia="Arial" w:hAnsi="Cambria" w:cs="Arial"/>
          <w:sz w:val="20"/>
          <w:szCs w:val="20"/>
          <w:vertAlign w:val="superscript"/>
        </w:rPr>
        <w:t xml:space="preserve"> </w:t>
      </w:r>
      <w:r w:rsidR="00447357" w:rsidRPr="00207748">
        <w:rPr>
          <w:rFonts w:ascii="Cambria" w:hAnsi="Cambria" w:cs="Arial"/>
          <w:sz w:val="20"/>
          <w:szCs w:val="20"/>
        </w:rPr>
        <w:t>Eine aktuelle multizentrische Studie demonstrierte eine</w:t>
      </w:r>
      <w:r w:rsidR="00D02931">
        <w:rPr>
          <w:rFonts w:ascii="Cambria" w:hAnsi="Cambria" w:cs="Arial"/>
          <w:sz w:val="20"/>
          <w:szCs w:val="20"/>
        </w:rPr>
        <w:t>n</w:t>
      </w:r>
      <w:r w:rsidR="00447357" w:rsidRPr="00207748">
        <w:rPr>
          <w:rFonts w:ascii="Cambria" w:hAnsi="Cambria" w:cs="Arial"/>
          <w:sz w:val="20"/>
          <w:szCs w:val="20"/>
        </w:rPr>
        <w:t xml:space="preserve"> begrenzte</w:t>
      </w:r>
      <w:r w:rsidR="00D02931">
        <w:rPr>
          <w:rFonts w:ascii="Cambria" w:hAnsi="Cambria" w:cs="Arial"/>
          <w:sz w:val="20"/>
          <w:szCs w:val="20"/>
        </w:rPr>
        <w:t>n</w:t>
      </w:r>
      <w:r w:rsidR="00447357" w:rsidRPr="00207748">
        <w:rPr>
          <w:rFonts w:ascii="Cambria" w:hAnsi="Cambria" w:cs="Arial"/>
          <w:sz w:val="20"/>
          <w:szCs w:val="20"/>
        </w:rPr>
        <w:t xml:space="preserve"> Nutzung </w:t>
      </w:r>
      <w:r w:rsidR="00D02931">
        <w:rPr>
          <w:rFonts w:ascii="Cambria" w:hAnsi="Cambria" w:cs="Arial"/>
          <w:sz w:val="20"/>
          <w:szCs w:val="20"/>
        </w:rPr>
        <w:t>eines hämodynamischen Monitorings</w:t>
      </w:r>
      <w:r w:rsidR="00447357" w:rsidRPr="00207748">
        <w:rPr>
          <w:rFonts w:ascii="Cambria" w:hAnsi="Cambria" w:cs="Arial"/>
          <w:sz w:val="20"/>
          <w:szCs w:val="20"/>
        </w:rPr>
        <w:t xml:space="preserve"> während der Flüssigkeitsverabreichung auf ITS. Obwohl es an Daten bezüglich der Nutzung dieser Monitore auf Notfallstationen mangelt, könnte die Verfügbarkeit dieser Geräte und eine universelle Anwendbarkeit der Parameter die routinemäßige Nutzung von dynamischen Indi</w:t>
      </w:r>
      <w:r w:rsidR="00D02931">
        <w:rPr>
          <w:rFonts w:ascii="Cambria" w:hAnsi="Cambria" w:cs="Arial"/>
          <w:sz w:val="20"/>
          <w:szCs w:val="20"/>
        </w:rPr>
        <w:t>z</w:t>
      </w:r>
      <w:r w:rsidR="00447357" w:rsidRPr="00207748">
        <w:rPr>
          <w:rFonts w:ascii="Cambria" w:hAnsi="Cambria" w:cs="Arial"/>
          <w:sz w:val="20"/>
          <w:szCs w:val="20"/>
        </w:rPr>
        <w:t xml:space="preserve">es beeinflussen. </w:t>
      </w:r>
      <w:r w:rsidR="00EC4A42" w:rsidRPr="00EF1A9E">
        <w:rPr>
          <w:rStyle w:val="EndnoteRealZchn"/>
        </w:rPr>
        <w:fldChar w:fldCharType="begin"/>
      </w:r>
      <w:r w:rsidR="00EC4A42" w:rsidRPr="00EF1A9E">
        <w:rPr>
          <w:rStyle w:val="EndnoteRealZchn"/>
        </w:rPr>
        <w:instrText xml:space="preserve"> NOTEREF _Ref30426721 \h </w:instrText>
      </w:r>
      <w:r w:rsidR="00EF1A9E">
        <w:rPr>
          <w:rStyle w:val="EndnoteRealZchn"/>
        </w:rPr>
        <w:instrText xml:space="preserve"> \* MERGEFORMAT </w:instrText>
      </w:r>
      <w:r w:rsidR="00EC4A42" w:rsidRPr="00EF1A9E">
        <w:rPr>
          <w:rStyle w:val="EndnoteRealZchn"/>
        </w:rPr>
      </w:r>
      <w:r w:rsidR="00EC4A42" w:rsidRPr="00EF1A9E">
        <w:rPr>
          <w:rStyle w:val="EndnoteRealZchn"/>
        </w:rPr>
        <w:fldChar w:fldCharType="separate"/>
      </w:r>
      <w:r w:rsidR="001A283B" w:rsidRPr="00EF1A9E">
        <w:rPr>
          <w:rStyle w:val="EndnoteRealZchn"/>
        </w:rPr>
        <w:t>45</w:t>
      </w:r>
      <w:r w:rsidR="00EC4A42" w:rsidRPr="00EF1A9E">
        <w:rPr>
          <w:rStyle w:val="EndnoteRealZchn"/>
        </w:rPr>
        <w:fldChar w:fldCharType="end"/>
      </w:r>
      <w:r w:rsidR="00447357" w:rsidRPr="00207748">
        <w:rPr>
          <w:rFonts w:ascii="Cambria" w:eastAsia="Arial" w:hAnsi="Cambria" w:cs="Arial"/>
          <w:sz w:val="20"/>
          <w:szCs w:val="20"/>
          <w:vertAlign w:val="superscript"/>
        </w:rPr>
        <w:endnoteReference w:id="50"/>
      </w:r>
    </w:p>
    <w:p w14:paraId="7EAF977C" w14:textId="17E5E987" w:rsidR="00E11869" w:rsidRPr="00207748" w:rsidRDefault="00447357" w:rsidP="004454B6">
      <w:pPr>
        <w:rPr>
          <w:rFonts w:ascii="Cambria" w:hAnsi="Cambria" w:cs="Arial"/>
          <w:sz w:val="20"/>
          <w:szCs w:val="20"/>
        </w:rPr>
      </w:pPr>
      <w:r w:rsidRPr="00207748">
        <w:rPr>
          <w:rFonts w:ascii="Cambria" w:hAnsi="Cambria" w:cs="Arial"/>
          <w:sz w:val="20"/>
          <w:szCs w:val="20"/>
        </w:rPr>
        <w:t xml:space="preserve">Ergänzend zur SSC-Leitlinie schlagen wir mit Bezug auf die S3-Leitlinie intravasale Volumentherapie </w:t>
      </w:r>
      <w:r w:rsidR="003B1537" w:rsidRPr="00EF1A9E">
        <w:rPr>
          <w:rStyle w:val="EndnoteRealZchn"/>
        </w:rPr>
        <w:endnoteReference w:id="51"/>
      </w:r>
      <w:r w:rsidRPr="00EF1A9E">
        <w:rPr>
          <w:rStyle w:val="EndnoteRealZchn"/>
        </w:rPr>
        <w:t xml:space="preserve"> </w:t>
      </w:r>
      <w:r w:rsidRPr="00207748">
        <w:rPr>
          <w:rFonts w:ascii="Cambria" w:hAnsi="Cambria" w:cs="Arial"/>
          <w:sz w:val="20"/>
          <w:szCs w:val="20"/>
        </w:rPr>
        <w:t xml:space="preserve">dynamische Variablen vor. Diese umfasst z.B. die </w:t>
      </w:r>
      <w:r w:rsidR="00CB3020" w:rsidRPr="00207748">
        <w:rPr>
          <w:rFonts w:ascii="Cambria" w:hAnsi="Cambria" w:cs="Arial"/>
          <w:sz w:val="20"/>
          <w:szCs w:val="20"/>
        </w:rPr>
        <w:t>P</w:t>
      </w:r>
      <w:r w:rsidR="00D00070">
        <w:rPr>
          <w:rFonts w:ascii="Cambria" w:hAnsi="Cambria" w:cs="Arial"/>
          <w:sz w:val="20"/>
          <w:szCs w:val="20"/>
        </w:rPr>
        <w:t>ulse Pressure Variation (</w:t>
      </w:r>
      <w:r w:rsidR="00CB3020" w:rsidRPr="00207748">
        <w:rPr>
          <w:rFonts w:ascii="Cambria" w:hAnsi="Cambria" w:cs="Arial"/>
          <w:sz w:val="20"/>
          <w:szCs w:val="20"/>
        </w:rPr>
        <w:t>PPV</w:t>
      </w:r>
      <w:r w:rsidR="00D00070">
        <w:rPr>
          <w:rFonts w:ascii="Cambria" w:hAnsi="Cambria" w:cs="Arial"/>
          <w:sz w:val="20"/>
          <w:szCs w:val="20"/>
        </w:rPr>
        <w:t>)</w:t>
      </w:r>
      <w:r w:rsidRPr="00207748">
        <w:rPr>
          <w:rFonts w:ascii="Cambria" w:hAnsi="Cambria" w:cs="Arial"/>
          <w:sz w:val="20"/>
          <w:szCs w:val="20"/>
        </w:rPr>
        <w:t>, die Schlagvolumenvariation, die systolische Druckvariation, die Vena cava inferior-Variabilität, die passive Beinhochlagerung oder die probatorische Zufuhr definierter Flüssigkeitsboli unter gleichzeitigen Schlagvolumenmessungen. Voraussetzungen für die valide Anwendung der PPV zur Prädiktion der Volumenreagibilität:</w:t>
      </w:r>
    </w:p>
    <w:p w14:paraId="31536DDA" w14:textId="77777777" w:rsidR="00E11869" w:rsidRPr="00207748" w:rsidRDefault="00447357" w:rsidP="004454B6">
      <w:pPr>
        <w:spacing w:after="120"/>
        <w:ind w:firstLine="284"/>
        <w:rPr>
          <w:rFonts w:ascii="Cambria" w:hAnsi="Cambria" w:cs="Arial"/>
          <w:sz w:val="20"/>
          <w:szCs w:val="20"/>
        </w:rPr>
      </w:pPr>
      <w:r w:rsidRPr="00207748">
        <w:rPr>
          <w:rFonts w:ascii="Cambria" w:hAnsi="Cambria" w:cs="Arial"/>
          <w:sz w:val="20"/>
          <w:szCs w:val="20"/>
        </w:rPr>
        <w:t>• Maschinelle Beatmung</w:t>
      </w:r>
    </w:p>
    <w:p w14:paraId="68AA1D22" w14:textId="77777777" w:rsidR="00E11869" w:rsidRPr="00207748" w:rsidRDefault="00447357" w:rsidP="004454B6">
      <w:pPr>
        <w:spacing w:after="120"/>
        <w:ind w:firstLine="284"/>
        <w:rPr>
          <w:rFonts w:ascii="Cambria" w:hAnsi="Cambria" w:cs="Arial"/>
          <w:sz w:val="20"/>
          <w:szCs w:val="20"/>
        </w:rPr>
      </w:pPr>
      <w:r w:rsidRPr="00207748">
        <w:rPr>
          <w:rFonts w:ascii="Cambria" w:hAnsi="Cambria" w:cs="Arial"/>
          <w:sz w:val="20"/>
          <w:szCs w:val="20"/>
        </w:rPr>
        <w:t>• Keine Spontanatmungsanteile</w:t>
      </w:r>
    </w:p>
    <w:p w14:paraId="612C927E" w14:textId="77777777" w:rsidR="00E11869" w:rsidRPr="00207748" w:rsidRDefault="00447357" w:rsidP="004454B6">
      <w:pPr>
        <w:spacing w:after="120"/>
        <w:ind w:firstLine="284"/>
        <w:rPr>
          <w:rFonts w:ascii="Cambria" w:hAnsi="Cambria" w:cs="Arial"/>
          <w:sz w:val="20"/>
          <w:szCs w:val="20"/>
        </w:rPr>
      </w:pPr>
      <w:r w:rsidRPr="00207748">
        <w:rPr>
          <w:rFonts w:ascii="Cambria" w:hAnsi="Cambria" w:cs="Arial"/>
          <w:sz w:val="20"/>
          <w:szCs w:val="20"/>
        </w:rPr>
        <w:t>• Keine Arrhythmie</w:t>
      </w:r>
    </w:p>
    <w:p w14:paraId="05FCD042" w14:textId="77777777" w:rsidR="00E11869" w:rsidRPr="00207748" w:rsidRDefault="00447357" w:rsidP="004454B6">
      <w:pPr>
        <w:spacing w:after="120"/>
        <w:ind w:firstLine="284"/>
        <w:rPr>
          <w:rFonts w:ascii="Cambria" w:hAnsi="Cambria" w:cs="Arial"/>
          <w:sz w:val="20"/>
          <w:szCs w:val="20"/>
        </w:rPr>
      </w:pPr>
      <w:r w:rsidRPr="00207748">
        <w:rPr>
          <w:rFonts w:ascii="Cambria" w:hAnsi="Cambria" w:cs="Arial"/>
          <w:sz w:val="20"/>
          <w:szCs w:val="20"/>
        </w:rPr>
        <w:t>• Tidalvolumen ≥ 8 ml/kg Idealgewicht</w:t>
      </w:r>
    </w:p>
    <w:p w14:paraId="4ECE1758" w14:textId="77777777" w:rsidR="00E11869" w:rsidRPr="00207748" w:rsidRDefault="00447357" w:rsidP="004454B6">
      <w:pPr>
        <w:spacing w:after="120"/>
        <w:ind w:firstLine="284"/>
        <w:rPr>
          <w:rFonts w:ascii="Cambria" w:hAnsi="Cambria" w:cs="Arial"/>
          <w:sz w:val="20"/>
          <w:szCs w:val="20"/>
        </w:rPr>
      </w:pPr>
      <w:r w:rsidRPr="00207748">
        <w:rPr>
          <w:rFonts w:ascii="Cambria" w:hAnsi="Cambria" w:cs="Arial"/>
          <w:sz w:val="20"/>
          <w:szCs w:val="20"/>
        </w:rPr>
        <w:t>• Herzfrequenz/Atemfrequenz &gt;</w:t>
      </w:r>
      <w:r w:rsidR="00CB3020" w:rsidRPr="00207748">
        <w:rPr>
          <w:rFonts w:ascii="Cambria" w:hAnsi="Cambria" w:cs="Arial"/>
          <w:sz w:val="20"/>
          <w:szCs w:val="20"/>
        </w:rPr>
        <w:t xml:space="preserve"> </w:t>
      </w:r>
      <w:r w:rsidRPr="00207748">
        <w:rPr>
          <w:rFonts w:ascii="Cambria" w:hAnsi="Cambria" w:cs="Arial"/>
          <w:sz w:val="20"/>
          <w:szCs w:val="20"/>
        </w:rPr>
        <w:t>3,6</w:t>
      </w:r>
    </w:p>
    <w:p w14:paraId="53625A9E" w14:textId="77777777" w:rsidR="00E11869" w:rsidRPr="00C77BBA" w:rsidRDefault="00447357" w:rsidP="004454B6">
      <w:pPr>
        <w:spacing w:after="120"/>
        <w:ind w:left="284"/>
        <w:rPr>
          <w:rFonts w:ascii="Cambria" w:hAnsi="Cambria" w:cs="Arial"/>
          <w:sz w:val="20"/>
          <w:szCs w:val="20"/>
          <w:lang w:val="en-US"/>
        </w:rPr>
      </w:pPr>
      <w:r w:rsidRPr="00C77BBA">
        <w:rPr>
          <w:rFonts w:ascii="Cambria" w:hAnsi="Cambria" w:cs="Arial"/>
          <w:sz w:val="20"/>
          <w:szCs w:val="20"/>
          <w:lang w:val="en-US"/>
        </w:rPr>
        <w:t>• Totale respiratorische Compliance &gt;</w:t>
      </w:r>
      <w:r w:rsidR="00CB3020" w:rsidRPr="00C77BBA">
        <w:rPr>
          <w:rFonts w:ascii="Cambria" w:hAnsi="Cambria" w:cs="Arial"/>
          <w:sz w:val="20"/>
          <w:szCs w:val="20"/>
          <w:lang w:val="en-US"/>
        </w:rPr>
        <w:t xml:space="preserve"> </w:t>
      </w:r>
      <w:r w:rsidR="00342FB3" w:rsidRPr="00C77BBA">
        <w:rPr>
          <w:rFonts w:ascii="Cambria" w:hAnsi="Cambria" w:cs="Arial"/>
          <w:sz w:val="20"/>
          <w:szCs w:val="20"/>
          <w:lang w:val="en-US"/>
        </w:rPr>
        <w:t xml:space="preserve">30 </w:t>
      </w:r>
      <w:r w:rsidRPr="00C77BBA">
        <w:rPr>
          <w:rFonts w:ascii="Cambria" w:hAnsi="Cambria" w:cs="Arial"/>
          <w:sz w:val="20"/>
          <w:szCs w:val="20"/>
          <w:lang w:val="en-US"/>
        </w:rPr>
        <w:t>ml/cm H2O</w:t>
      </w:r>
    </w:p>
    <w:p w14:paraId="7F3B3C75" w14:textId="77777777" w:rsidR="00C94C56" w:rsidRPr="00207748" w:rsidRDefault="00447357" w:rsidP="004454B6">
      <w:pPr>
        <w:spacing w:after="0"/>
        <w:ind w:firstLine="284"/>
        <w:rPr>
          <w:rFonts w:ascii="Cambria" w:hAnsi="Cambria" w:cs="Arial"/>
          <w:sz w:val="20"/>
          <w:szCs w:val="20"/>
        </w:rPr>
      </w:pPr>
      <w:r w:rsidRPr="00207748">
        <w:rPr>
          <w:rFonts w:ascii="Cambria" w:hAnsi="Cambria" w:cs="Arial"/>
          <w:sz w:val="20"/>
          <w:szCs w:val="20"/>
        </w:rPr>
        <w:t>• Ausreichende Rechtsherzfunktion</w:t>
      </w:r>
    </w:p>
    <w:p w14:paraId="1E8B4546" w14:textId="4CB28022" w:rsidR="00E11869" w:rsidRDefault="00447357" w:rsidP="004454B6">
      <w:pPr>
        <w:spacing w:after="0"/>
        <w:ind w:firstLine="284"/>
        <w:rPr>
          <w:rFonts w:ascii="Cambria" w:hAnsi="Cambria" w:cs="Arial"/>
          <w:sz w:val="20"/>
          <w:szCs w:val="20"/>
        </w:rPr>
      </w:pPr>
      <w:r w:rsidRPr="00207748">
        <w:rPr>
          <w:rFonts w:ascii="Cambria" w:hAnsi="Cambria" w:cs="Arial"/>
          <w:sz w:val="20"/>
          <w:szCs w:val="20"/>
        </w:rPr>
        <w:t xml:space="preserve"> (gemäß Echokardiographie)</w:t>
      </w:r>
    </w:p>
    <w:p w14:paraId="76EA7E67" w14:textId="01EE9B0F" w:rsidR="002B1061" w:rsidRDefault="002B1061" w:rsidP="004454B6">
      <w:pPr>
        <w:spacing w:after="0"/>
        <w:ind w:firstLine="284"/>
        <w:rPr>
          <w:rFonts w:ascii="Cambria" w:hAnsi="Cambria" w:cs="Arial"/>
          <w:sz w:val="20"/>
          <w:szCs w:val="20"/>
        </w:rPr>
      </w:pPr>
    </w:p>
    <w:p w14:paraId="39BF4539" w14:textId="69E74526" w:rsidR="002B1061" w:rsidRDefault="002B1061" w:rsidP="004454B6">
      <w:pPr>
        <w:spacing w:after="0"/>
        <w:ind w:firstLine="284"/>
        <w:rPr>
          <w:rFonts w:ascii="Cambria" w:hAnsi="Cambria" w:cs="Arial"/>
          <w:sz w:val="20"/>
          <w:szCs w:val="20"/>
        </w:rPr>
      </w:pPr>
    </w:p>
    <w:p w14:paraId="6854B43E" w14:textId="077BE92E" w:rsidR="002B1061" w:rsidRDefault="002B1061" w:rsidP="004454B6">
      <w:pPr>
        <w:spacing w:after="0"/>
        <w:ind w:firstLine="284"/>
        <w:rPr>
          <w:rFonts w:ascii="Cambria" w:hAnsi="Cambria" w:cs="Arial"/>
          <w:sz w:val="20"/>
          <w:szCs w:val="20"/>
        </w:rPr>
      </w:pPr>
    </w:p>
    <w:p w14:paraId="37AD45CE" w14:textId="2DAE169C" w:rsidR="002B1061" w:rsidRDefault="002B1061" w:rsidP="004454B6">
      <w:pPr>
        <w:spacing w:after="0"/>
        <w:ind w:firstLine="284"/>
        <w:rPr>
          <w:rFonts w:ascii="Cambria" w:hAnsi="Cambria" w:cs="Arial"/>
          <w:sz w:val="20"/>
          <w:szCs w:val="20"/>
        </w:rPr>
      </w:pPr>
    </w:p>
    <w:p w14:paraId="0AA63CC9" w14:textId="7AAF6A8D" w:rsidR="002B1061" w:rsidRDefault="002B1061" w:rsidP="004454B6">
      <w:pPr>
        <w:spacing w:after="0"/>
        <w:ind w:firstLine="284"/>
        <w:rPr>
          <w:rFonts w:ascii="Cambria" w:hAnsi="Cambria" w:cs="Arial"/>
          <w:sz w:val="20"/>
          <w:szCs w:val="20"/>
        </w:rPr>
      </w:pPr>
    </w:p>
    <w:p w14:paraId="3697AEF7" w14:textId="05FD669A" w:rsidR="002B1061" w:rsidRDefault="002B1061" w:rsidP="004454B6">
      <w:pPr>
        <w:spacing w:after="0"/>
        <w:ind w:firstLine="284"/>
        <w:rPr>
          <w:rFonts w:ascii="Cambria" w:hAnsi="Cambria" w:cs="Arial"/>
          <w:sz w:val="20"/>
          <w:szCs w:val="20"/>
        </w:rPr>
      </w:pPr>
    </w:p>
    <w:p w14:paraId="6555CD67" w14:textId="77777777" w:rsidR="002B1061" w:rsidRPr="00207748" w:rsidRDefault="002B1061" w:rsidP="004454B6">
      <w:pPr>
        <w:spacing w:after="0"/>
        <w:ind w:firstLine="284"/>
        <w:rPr>
          <w:rFonts w:ascii="Cambria" w:hAnsi="Cambria" w:cs="Arial"/>
          <w:sz w:val="20"/>
          <w:szCs w:val="20"/>
        </w:rPr>
      </w:pPr>
    </w:p>
    <w:p w14:paraId="5FED5024" w14:textId="77777777" w:rsidR="00E11869" w:rsidRPr="00207748" w:rsidRDefault="00E11869" w:rsidP="004454B6">
      <w:pPr>
        <w:spacing w:after="0"/>
        <w:ind w:firstLine="284"/>
        <w:rPr>
          <w:rFonts w:ascii="Cambria" w:eastAsia="Arial" w:hAnsi="Cambria" w:cs="Arial"/>
          <w:sz w:val="20"/>
          <w:szCs w:val="20"/>
        </w:rPr>
      </w:pP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762"/>
        <w:gridCol w:w="1654"/>
        <w:gridCol w:w="809"/>
      </w:tblGrid>
      <w:tr w:rsidR="00E11869" w:rsidRPr="00207748" w14:paraId="42EB4D37"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2E285A62"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lastRenderedPageBreak/>
              <w:t>A.6</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D202B41"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36284BA8"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2018</w:t>
            </w:r>
          </w:p>
        </w:tc>
      </w:tr>
      <w:tr w:rsidR="00E11869" w:rsidRPr="00207748" w14:paraId="415F84D4" w14:textId="77777777" w:rsidTr="00342FB3">
        <w:trPr>
          <w:trHeight w:val="196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FE0102"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Expertenkonsens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99540" w14:textId="77777777" w:rsidR="00E11869" w:rsidRPr="00207748" w:rsidRDefault="002F45C9" w:rsidP="004454B6">
            <w:pPr>
              <w:spacing w:after="0"/>
              <w:rPr>
                <w:rFonts w:ascii="Cambria" w:hAnsi="Cambria" w:cs="Arial"/>
                <w:sz w:val="20"/>
                <w:szCs w:val="20"/>
              </w:rPr>
            </w:pPr>
            <w:r w:rsidRPr="00207748">
              <w:rPr>
                <w:rFonts w:ascii="Cambria" w:hAnsi="Cambria" w:cs="Arial"/>
                <w:b/>
                <w:bCs/>
                <w:sz w:val="20"/>
                <w:szCs w:val="20"/>
              </w:rPr>
              <w:t>Wir empfehlen</w:t>
            </w:r>
            <w:r w:rsidR="00447357" w:rsidRPr="00207748">
              <w:rPr>
                <w:rFonts w:ascii="Cambria" w:hAnsi="Cambria" w:cs="Arial"/>
                <w:b/>
                <w:bCs/>
                <w:sz w:val="20"/>
                <w:szCs w:val="20"/>
              </w:rPr>
              <w:t>, eine fortgesetzte Flüssigkeitstherapie nur in Erwägung zu ziehen, wenn Zeichen einer Hypoperfusion vorliegen.</w:t>
            </w:r>
          </w:p>
        </w:tc>
      </w:tr>
      <w:tr w:rsidR="00E11869" w:rsidRPr="00207748" w14:paraId="7C5E9A28" w14:textId="77777777" w:rsidTr="00207748">
        <w:trPr>
          <w:trHeight w:val="757"/>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087784EC"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30548"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Zusätzliche DSG-Leitlinienempfehlung</w:t>
            </w:r>
          </w:p>
        </w:tc>
      </w:tr>
      <w:tr w:rsidR="00E11869" w:rsidRPr="00207748" w14:paraId="43BE6AEA" w14:textId="77777777" w:rsidTr="00342FB3">
        <w:trPr>
          <w:trHeight w:val="56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CEC3D"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FB5CE" w14:textId="77777777" w:rsidR="00E11869" w:rsidRPr="00207748" w:rsidRDefault="00447357" w:rsidP="004454B6">
            <w:pPr>
              <w:spacing w:after="0"/>
              <w:rPr>
                <w:rFonts w:ascii="Cambria" w:hAnsi="Cambria" w:cs="Arial"/>
                <w:sz w:val="20"/>
                <w:szCs w:val="20"/>
              </w:rPr>
            </w:pPr>
            <w:r w:rsidRPr="00207748">
              <w:rPr>
                <w:rFonts w:ascii="Cambria" w:hAnsi="Cambria" w:cs="Arial"/>
                <w:sz w:val="20"/>
                <w:szCs w:val="20"/>
              </w:rPr>
              <w:t>Konsensstärke: 100 %</w:t>
            </w:r>
          </w:p>
        </w:tc>
      </w:tr>
    </w:tbl>
    <w:p w14:paraId="7B186CFE" w14:textId="178B2C47" w:rsidR="002B1061" w:rsidRDefault="00420A45" w:rsidP="004454B6">
      <w:pPr>
        <w:spacing w:before="240"/>
        <w:rPr>
          <w:rFonts w:ascii="Cambria" w:hAnsi="Cambria" w:cs="Arial"/>
          <w:sz w:val="20"/>
          <w:szCs w:val="20"/>
        </w:rPr>
      </w:pPr>
      <w:r w:rsidRPr="00207748">
        <w:rPr>
          <w:rFonts w:ascii="Cambria" w:hAnsi="Cambria" w:cs="Arial"/>
          <w:b/>
          <w:bCs/>
          <w:sz w:val="20"/>
          <w:szCs w:val="20"/>
        </w:rPr>
        <w:t>Begründung:</w:t>
      </w:r>
      <w:r w:rsidR="00447357" w:rsidRPr="00207748">
        <w:rPr>
          <w:rFonts w:ascii="Cambria" w:hAnsi="Cambria" w:cs="Arial"/>
          <w:b/>
          <w:bCs/>
          <w:sz w:val="20"/>
          <w:szCs w:val="20"/>
        </w:rPr>
        <w:t xml:space="preserve"> </w:t>
      </w:r>
      <w:r w:rsidR="00447357" w:rsidRPr="00207748">
        <w:rPr>
          <w:rFonts w:ascii="Cambria" w:hAnsi="Cambria" w:cs="Arial"/>
          <w:sz w:val="20"/>
          <w:szCs w:val="20"/>
        </w:rPr>
        <w:t>Ergänzend wird ferner darauf hingewiesen, dass eine positive Vorhersage der Volumenreagibilität ohne weitere Zeichen der Hypoperfusion alleine keine Indikation zur Flüssigkeitstherapie begründet. In einer retrospektiven Kohortenstudie an 405 Patienten mit Sepsis und septischem Schock war eine Flüssigkeitsüberladung in den ersten Tagen mit einer erhöhten Kranke</w:t>
      </w:r>
      <w:r w:rsidR="00773ECC" w:rsidRPr="00207748">
        <w:rPr>
          <w:rFonts w:ascii="Cambria" w:hAnsi="Cambria" w:cs="Arial"/>
          <w:sz w:val="20"/>
          <w:szCs w:val="20"/>
        </w:rPr>
        <w:t>nhaussterblichkeit assoziiert</w:t>
      </w:r>
      <w:r w:rsidR="00447357" w:rsidRPr="00207748">
        <w:rPr>
          <w:rFonts w:ascii="Cambria" w:hAnsi="Cambria" w:cs="Arial"/>
          <w:sz w:val="20"/>
          <w:szCs w:val="20"/>
        </w:rPr>
        <w:t>.</w:t>
      </w:r>
      <w:r w:rsidR="00447357" w:rsidRPr="00EF1A9E">
        <w:rPr>
          <w:rStyle w:val="EndnoteRealZchn"/>
        </w:rPr>
        <w:endnoteReference w:id="52"/>
      </w:r>
      <w:r w:rsidR="00447357" w:rsidRPr="00EF1A9E">
        <w:rPr>
          <w:rStyle w:val="EndnoteRealZchn"/>
        </w:rPr>
        <w:t xml:space="preserve"> </w:t>
      </w:r>
      <w:r w:rsidR="00447357" w:rsidRPr="00207748">
        <w:rPr>
          <w:rFonts w:ascii="Cambria" w:hAnsi="Cambria" w:cs="Arial"/>
          <w:sz w:val="20"/>
          <w:szCs w:val="20"/>
        </w:rPr>
        <w:t>In einem retrospektiven Review des VASST-Trials korrelierte eine positive Flüssigkeitsbilanz bei Patienten mit septischem Schock nach 12 Stunden bzw. 4 Tagen mit einer e</w:t>
      </w:r>
      <w:r w:rsidR="00773ECC" w:rsidRPr="00207748">
        <w:rPr>
          <w:rFonts w:ascii="Cambria" w:hAnsi="Cambria" w:cs="Arial"/>
          <w:sz w:val="20"/>
          <w:szCs w:val="20"/>
        </w:rPr>
        <w:t>rhöhten 28-Tage-Sterblichkeit</w:t>
      </w:r>
      <w:r w:rsidR="00447357" w:rsidRPr="00207748">
        <w:rPr>
          <w:rFonts w:ascii="Cambria" w:hAnsi="Cambria" w:cs="Arial"/>
          <w:sz w:val="20"/>
          <w:szCs w:val="20"/>
        </w:rPr>
        <w:t>.</w:t>
      </w:r>
      <w:r w:rsidR="00447357" w:rsidRPr="00EF1A9E">
        <w:rPr>
          <w:rStyle w:val="EndnoteRealZchn"/>
        </w:rPr>
        <w:endnoteReference w:id="53"/>
      </w:r>
      <w:r w:rsidR="00447357" w:rsidRPr="00EF1A9E">
        <w:rPr>
          <w:rStyle w:val="EndnoteRealZchn"/>
        </w:rPr>
        <w:t xml:space="preserve"> </w:t>
      </w:r>
      <w:r w:rsidR="00447357" w:rsidRPr="00207748">
        <w:rPr>
          <w:rFonts w:ascii="Cambria" w:hAnsi="Cambria" w:cs="Arial"/>
          <w:sz w:val="20"/>
          <w:szCs w:val="20"/>
        </w:rPr>
        <w:t>In einer prospektiven Studie an 173 konsekutiven Patienten mit Sepsis in den ersten 7 Tagen konnte eine positive Flü</w:t>
      </w:r>
      <w:r w:rsidR="0024733A" w:rsidRPr="00207748">
        <w:rPr>
          <w:rFonts w:ascii="Cambria" w:hAnsi="Cambria" w:cs="Arial"/>
          <w:sz w:val="20"/>
          <w:szCs w:val="20"/>
        </w:rPr>
        <w:t>ssigkeitsbilanz als unabhängige</w:t>
      </w:r>
      <w:r w:rsidR="00460A5E">
        <w:rPr>
          <w:rFonts w:ascii="Cambria" w:hAnsi="Cambria" w:cs="Arial"/>
          <w:sz w:val="20"/>
          <w:szCs w:val="20"/>
        </w:rPr>
        <w:t>r</w:t>
      </w:r>
      <w:r w:rsidR="0024733A" w:rsidRPr="00207748">
        <w:rPr>
          <w:rFonts w:ascii="Cambria" w:hAnsi="Cambria" w:cs="Arial"/>
          <w:sz w:val="20"/>
          <w:szCs w:val="20"/>
        </w:rPr>
        <w:t>n prognostische</w:t>
      </w:r>
      <w:r w:rsidR="00460A5E">
        <w:rPr>
          <w:rFonts w:ascii="Cambria" w:hAnsi="Cambria" w:cs="Arial"/>
          <w:sz w:val="20"/>
          <w:szCs w:val="20"/>
        </w:rPr>
        <w:t>r</w:t>
      </w:r>
      <w:r w:rsidR="00447357" w:rsidRPr="00207748">
        <w:rPr>
          <w:rFonts w:ascii="Cambria" w:hAnsi="Cambria" w:cs="Arial"/>
          <w:sz w:val="20"/>
          <w:szCs w:val="20"/>
        </w:rPr>
        <w:t xml:space="preserve"> Faktor für eine erhöhte Krankenhauss</w:t>
      </w:r>
      <w:r w:rsidR="00773ECC" w:rsidRPr="00207748">
        <w:rPr>
          <w:rFonts w:ascii="Cambria" w:hAnsi="Cambria" w:cs="Arial"/>
          <w:sz w:val="20"/>
          <w:szCs w:val="20"/>
        </w:rPr>
        <w:t>terblichkeit ermittelt werden</w:t>
      </w:r>
      <w:r w:rsidR="00447357" w:rsidRPr="00207748">
        <w:rPr>
          <w:rFonts w:ascii="Cambria" w:hAnsi="Cambria" w:cs="Arial"/>
          <w:sz w:val="20"/>
          <w:szCs w:val="20"/>
        </w:rPr>
        <w:t>.</w:t>
      </w:r>
      <w:r w:rsidR="00447357" w:rsidRPr="00EF1A9E">
        <w:rPr>
          <w:rStyle w:val="EndnoteRealZchn"/>
        </w:rPr>
        <w:endnoteReference w:id="54"/>
      </w:r>
      <w:r w:rsidR="00447357" w:rsidRPr="00EF1A9E">
        <w:rPr>
          <w:rStyle w:val="EndnoteRealZchn"/>
        </w:rPr>
        <w:t xml:space="preserve"> </w:t>
      </w:r>
      <w:r w:rsidR="00447357" w:rsidRPr="00207748">
        <w:rPr>
          <w:rFonts w:ascii="Cambria" w:hAnsi="Cambria" w:cs="Arial"/>
          <w:sz w:val="20"/>
          <w:szCs w:val="20"/>
        </w:rPr>
        <w:t>Eine flüssigkeitsrestriktive Therapie nach dem initialen Flüssigkeitsbolus hatte</w:t>
      </w:r>
      <w:r w:rsidR="00773ECC" w:rsidRPr="00207748">
        <w:rPr>
          <w:rFonts w:ascii="Cambria" w:hAnsi="Cambria" w:cs="Arial"/>
          <w:sz w:val="20"/>
          <w:szCs w:val="20"/>
        </w:rPr>
        <w:t xml:space="preserve"> in einer prospektiven Studie </w:t>
      </w:r>
      <w:r w:rsidR="00447357" w:rsidRPr="00EF1A9E">
        <w:rPr>
          <w:rStyle w:val="EndnoteRealZchn"/>
        </w:rPr>
        <w:endnoteReference w:id="55"/>
      </w:r>
      <w:r w:rsidR="00447357" w:rsidRPr="00207748">
        <w:rPr>
          <w:rFonts w:ascii="Cambria" w:hAnsi="Cambria" w:cs="Arial"/>
          <w:sz w:val="20"/>
          <w:szCs w:val="20"/>
        </w:rPr>
        <w:t xml:space="preserve"> und nachfolgender post-hoc</w:t>
      </w:r>
      <w:r w:rsidR="00CB3020" w:rsidRPr="00207748">
        <w:rPr>
          <w:rFonts w:ascii="Cambria" w:hAnsi="Cambria" w:cs="Arial"/>
          <w:sz w:val="20"/>
          <w:szCs w:val="20"/>
        </w:rPr>
        <w:t>-</w:t>
      </w:r>
      <w:r w:rsidR="00773ECC" w:rsidRPr="00207748">
        <w:rPr>
          <w:rFonts w:ascii="Cambria" w:hAnsi="Cambria" w:cs="Arial"/>
          <w:sz w:val="20"/>
          <w:szCs w:val="20"/>
        </w:rPr>
        <w:t xml:space="preserve">Analyse </w:t>
      </w:r>
      <w:r w:rsidR="00447357" w:rsidRPr="00EF1A9E">
        <w:rPr>
          <w:rStyle w:val="EndnoteZchn"/>
        </w:rPr>
        <w:endnoteReference w:id="56"/>
      </w:r>
      <w:r w:rsidR="00447357" w:rsidRPr="00207748">
        <w:rPr>
          <w:rFonts w:ascii="Cambria" w:hAnsi="Cambria" w:cs="Arial"/>
          <w:sz w:val="20"/>
          <w:szCs w:val="20"/>
        </w:rPr>
        <w:t xml:space="preserve"> von 151 Patienten keine negativen Auswirkungen auf den Lakatverlauf, den Noradrenalinbedarf</w:t>
      </w:r>
      <w:r w:rsidR="00460A5E">
        <w:rPr>
          <w:rFonts w:ascii="Cambria" w:hAnsi="Cambria" w:cs="Arial"/>
          <w:sz w:val="20"/>
          <w:szCs w:val="20"/>
        </w:rPr>
        <w:t>,</w:t>
      </w:r>
      <w:r w:rsidR="002B1061">
        <w:rPr>
          <w:rFonts w:ascii="Cambria" w:hAnsi="Cambria" w:cs="Arial"/>
          <w:sz w:val="20"/>
          <w:szCs w:val="20"/>
        </w:rPr>
        <w:t xml:space="preserve"> </w:t>
      </w:r>
      <w:r w:rsidR="00447357" w:rsidRPr="00207748">
        <w:rPr>
          <w:rFonts w:ascii="Cambria" w:hAnsi="Cambria" w:cs="Arial"/>
          <w:sz w:val="20"/>
          <w:szCs w:val="20"/>
        </w:rPr>
        <w:t xml:space="preserve">die Urinausscheidung in den ersten 24 Stunden </w:t>
      </w:r>
      <w:r w:rsidR="00460A5E">
        <w:rPr>
          <w:rFonts w:ascii="Cambria" w:hAnsi="Cambria" w:cs="Arial"/>
          <w:sz w:val="20"/>
          <w:szCs w:val="20"/>
        </w:rPr>
        <w:t xml:space="preserve">bzw. </w:t>
      </w:r>
      <w:r w:rsidR="00447357" w:rsidRPr="00207748">
        <w:rPr>
          <w:rFonts w:ascii="Cambria" w:hAnsi="Cambria" w:cs="Arial"/>
          <w:sz w:val="20"/>
          <w:szCs w:val="20"/>
        </w:rPr>
        <w:t>oder die Verschlechterung einer akuten Nierenschädigung. Allerdings gab es keinen signifikanten Effekt auf die 90-Tage-Sterblichkeit oder auf ischämische Ereignisse während der Intensivtherapie.</w:t>
      </w:r>
    </w:p>
    <w:p w14:paraId="512E6387" w14:textId="77777777" w:rsidR="002B1061" w:rsidRDefault="002B1061">
      <w:pPr>
        <w:spacing w:after="0" w:line="240" w:lineRule="auto"/>
        <w:rPr>
          <w:rFonts w:ascii="Cambria" w:hAnsi="Cambria" w:cs="Arial"/>
          <w:sz w:val="20"/>
          <w:szCs w:val="20"/>
        </w:rPr>
      </w:pPr>
      <w:r>
        <w:rPr>
          <w:rFonts w:ascii="Cambria" w:hAnsi="Cambria" w:cs="Arial"/>
          <w:sz w:val="20"/>
          <w:szCs w:val="20"/>
        </w:rPr>
        <w:br w:type="page"/>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11"/>
        <w:gridCol w:w="841"/>
      </w:tblGrid>
      <w:tr w:rsidR="00E11869" w:rsidRPr="00207748" w14:paraId="5FF50977"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731A523E"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lastRenderedPageBreak/>
              <w:t>A.7</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3D20C08"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3C248452"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201</w:t>
            </w:r>
            <w:r w:rsidR="002F45C9" w:rsidRPr="00207748">
              <w:rPr>
                <w:rFonts w:ascii="Cambria" w:hAnsi="Cambria" w:cs="Arial"/>
                <w:b/>
                <w:bCs/>
                <w:sz w:val="20"/>
                <w:szCs w:val="20"/>
              </w:rPr>
              <w:t>8</w:t>
            </w:r>
          </w:p>
        </w:tc>
      </w:tr>
      <w:tr w:rsidR="00E11869" w:rsidRPr="00207748" w14:paraId="739DC357" w14:textId="77777777" w:rsidTr="00207748">
        <w:trPr>
          <w:trHeight w:val="261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9059A"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t>Empfehlungsgrad</w:t>
            </w:r>
          </w:p>
          <w:p w14:paraId="7BD8C9F2" w14:textId="77777777" w:rsidR="00E11869" w:rsidRPr="00207748" w:rsidRDefault="00E11869" w:rsidP="004454B6">
            <w:pPr>
              <w:spacing w:after="0"/>
              <w:rPr>
                <w:rFonts w:ascii="Cambria" w:eastAsia="Arial" w:hAnsi="Cambria" w:cs="Arial"/>
                <w:sz w:val="20"/>
                <w:szCs w:val="20"/>
              </w:rPr>
            </w:pPr>
          </w:p>
          <w:p w14:paraId="46C8436C" w14:textId="77777777" w:rsidR="00E11869" w:rsidRPr="00207748" w:rsidRDefault="00447357" w:rsidP="004454B6">
            <w:pPr>
              <w:spacing w:after="0"/>
              <w:rPr>
                <w:rFonts w:ascii="Cambria" w:eastAsia="Arial" w:hAnsi="Cambria" w:cs="Arial"/>
                <w:b/>
                <w:bCs/>
                <w:sz w:val="20"/>
                <w:szCs w:val="20"/>
              </w:rPr>
            </w:pPr>
            <w:r w:rsidRPr="00207748">
              <w:rPr>
                <w:rFonts w:ascii="Cambria" w:hAnsi="Cambria" w:cs="Arial"/>
                <w:b/>
                <w:bCs/>
                <w:sz w:val="20"/>
                <w:szCs w:val="20"/>
              </w:rPr>
              <w:t>schwach</w:t>
            </w:r>
          </w:p>
          <w:p w14:paraId="0BCF5F7A" w14:textId="77777777" w:rsidR="00E11869" w:rsidRPr="00207748" w:rsidRDefault="00E11869" w:rsidP="004454B6">
            <w:pPr>
              <w:spacing w:after="0"/>
              <w:rPr>
                <w:rFonts w:ascii="Cambria" w:eastAsia="Arial" w:hAnsi="Cambria" w:cs="Arial"/>
                <w:sz w:val="20"/>
                <w:szCs w:val="20"/>
              </w:rPr>
            </w:pPr>
          </w:p>
          <w:p w14:paraId="2D8E8B9C"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t>Evidenzgrad</w:t>
            </w:r>
          </w:p>
          <w:p w14:paraId="508EB3AA" w14:textId="77777777" w:rsidR="00E11869" w:rsidRPr="00207748" w:rsidRDefault="00E11869" w:rsidP="004454B6">
            <w:pPr>
              <w:spacing w:after="0"/>
              <w:rPr>
                <w:rFonts w:ascii="Cambria" w:eastAsia="Arial" w:hAnsi="Cambria" w:cs="Arial"/>
                <w:sz w:val="20"/>
                <w:szCs w:val="20"/>
              </w:rPr>
            </w:pPr>
          </w:p>
          <w:p w14:paraId="0D8F725A"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niedrig</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2A842"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Wir schlagen bei Patienten mit septischem Schock, die Vasopressoren benötigen, für den mittleren arteriellen Druck (MAP) einen anfänglichen Zielwert in Höhe von 65 mm Hg vor.</w:t>
            </w:r>
          </w:p>
        </w:tc>
      </w:tr>
      <w:tr w:rsidR="00E11869" w:rsidRPr="00207748" w14:paraId="4CE48C0A" w14:textId="77777777" w:rsidTr="00207748">
        <w:trPr>
          <w:trHeight w:val="667"/>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065BD8DF"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B84A8" w14:textId="180A2A79" w:rsidR="00E11869" w:rsidRPr="00207748" w:rsidRDefault="00447357" w:rsidP="004454B6">
            <w:pPr>
              <w:spacing w:after="0"/>
              <w:rPr>
                <w:rFonts w:ascii="Cambria" w:eastAsia="Arial" w:hAnsi="Cambria" w:cs="Arial"/>
                <w:b/>
                <w:bCs/>
                <w:sz w:val="20"/>
                <w:szCs w:val="20"/>
              </w:rPr>
            </w:pPr>
            <w:r w:rsidRPr="00207748">
              <w:rPr>
                <w:rFonts w:ascii="Cambria" w:hAnsi="Cambria" w:cs="Arial"/>
                <w:b/>
                <w:bCs/>
                <w:sz w:val="20"/>
                <w:szCs w:val="20"/>
              </w:rPr>
              <w:t>SSC</w:t>
            </w:r>
            <w:r w:rsidR="00EC3DBA" w:rsidRPr="00207748">
              <w:rPr>
                <w:rFonts w:ascii="Cambria" w:hAnsi="Cambria" w:cs="Arial"/>
                <w:b/>
                <w:bCs/>
                <w:sz w:val="20"/>
                <w:szCs w:val="20"/>
              </w:rPr>
              <w:t>-</w:t>
            </w:r>
            <w:r w:rsidRPr="00207748">
              <w:rPr>
                <w:rFonts w:ascii="Cambria" w:hAnsi="Cambria" w:cs="Arial"/>
                <w:b/>
                <w:bCs/>
                <w:sz w:val="20"/>
                <w:szCs w:val="20"/>
              </w:rPr>
              <w:t>Leitlinien</w:t>
            </w:r>
            <w:r w:rsidR="00B26F79">
              <w:rPr>
                <w:rFonts w:ascii="Cambria" w:hAnsi="Cambria" w:cs="Arial"/>
                <w:b/>
                <w:bCs/>
                <w:sz w:val="20"/>
                <w:szCs w:val="20"/>
              </w:rPr>
              <w:t>-</w:t>
            </w:r>
            <w:r w:rsidRPr="00207748">
              <w:rPr>
                <w:rFonts w:ascii="Cambria" w:hAnsi="Cambria" w:cs="Arial"/>
                <w:b/>
                <w:bCs/>
                <w:sz w:val="20"/>
                <w:szCs w:val="20"/>
              </w:rPr>
              <w:t>adaptation</w:t>
            </w:r>
            <w:r w:rsidR="002F45C9" w:rsidRPr="00207748">
              <w:rPr>
                <w:rFonts w:ascii="Cambria" w:hAnsi="Cambria" w:cs="Arial"/>
                <w:b/>
                <w:bCs/>
                <w:sz w:val="20"/>
                <w:szCs w:val="20"/>
              </w:rPr>
              <w:t>;</w:t>
            </w:r>
            <w:r w:rsidRPr="00207748">
              <w:rPr>
                <w:rFonts w:ascii="Cambria" w:hAnsi="Cambria" w:cs="Arial"/>
                <w:b/>
                <w:bCs/>
                <w:sz w:val="20"/>
                <w:szCs w:val="20"/>
              </w:rPr>
              <w:t xml:space="preserve"> </w:t>
            </w:r>
          </w:p>
          <w:p w14:paraId="453CE9DD"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Abweichung des Emp</w:t>
            </w:r>
            <w:r w:rsidR="002F45C9" w:rsidRPr="00207748">
              <w:rPr>
                <w:rFonts w:ascii="Cambria" w:hAnsi="Cambria" w:cs="Arial"/>
                <w:b/>
                <w:bCs/>
                <w:sz w:val="20"/>
                <w:szCs w:val="20"/>
              </w:rPr>
              <w:t>fehlungsgrades</w:t>
            </w:r>
          </w:p>
        </w:tc>
      </w:tr>
      <w:tr w:rsidR="00E11869" w:rsidRPr="00207748" w14:paraId="02CDDF13"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D43C8"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E3BEE" w14:textId="77777777" w:rsidR="00E11869" w:rsidRPr="00207748" w:rsidRDefault="00447357" w:rsidP="004454B6">
            <w:pPr>
              <w:spacing w:after="0"/>
              <w:rPr>
                <w:rFonts w:ascii="Cambria" w:hAnsi="Cambria" w:cs="Arial"/>
                <w:sz w:val="20"/>
                <w:szCs w:val="20"/>
              </w:rPr>
            </w:pPr>
            <w:r w:rsidRPr="00207748">
              <w:rPr>
                <w:rFonts w:ascii="Cambria" w:hAnsi="Cambria" w:cs="Arial"/>
                <w:sz w:val="20"/>
                <w:szCs w:val="20"/>
              </w:rPr>
              <w:t>Konsensstärke: 100 %</w:t>
            </w:r>
          </w:p>
        </w:tc>
      </w:tr>
    </w:tbl>
    <w:p w14:paraId="2EF38590" w14:textId="7E6046F2" w:rsidR="00E11869" w:rsidRPr="00207748" w:rsidRDefault="00342FB3" w:rsidP="004454B6">
      <w:pPr>
        <w:spacing w:before="240"/>
        <w:rPr>
          <w:rFonts w:ascii="Cambria" w:hAnsi="Cambria" w:cs="Arial"/>
          <w:sz w:val="20"/>
          <w:szCs w:val="20"/>
        </w:rPr>
      </w:pPr>
      <w:r w:rsidRPr="00207748">
        <w:rPr>
          <w:rFonts w:ascii="Cambria" w:hAnsi="Cambria" w:cs="Arial"/>
          <w:b/>
          <w:bCs/>
          <w:sz w:val="20"/>
          <w:szCs w:val="20"/>
        </w:rPr>
        <w:t>Begründung</w:t>
      </w:r>
      <w:r w:rsidR="00EC3DBA" w:rsidRPr="00207748">
        <w:rPr>
          <w:rFonts w:ascii="Cambria" w:hAnsi="Cambria" w:cs="Arial"/>
          <w:b/>
          <w:bCs/>
          <w:sz w:val="20"/>
          <w:szCs w:val="20"/>
        </w:rPr>
        <w:t>:</w:t>
      </w:r>
      <w:r w:rsidR="00447357" w:rsidRPr="00207748">
        <w:rPr>
          <w:rFonts w:ascii="Cambria" w:hAnsi="Cambria" w:cs="Arial"/>
          <w:b/>
          <w:bCs/>
          <w:sz w:val="20"/>
          <w:szCs w:val="20"/>
        </w:rPr>
        <w:t xml:space="preserve"> </w:t>
      </w:r>
      <w:r w:rsidR="00EC3DBA" w:rsidRPr="00207748">
        <w:rPr>
          <w:rFonts w:ascii="Cambria" w:hAnsi="Cambria" w:cs="Arial"/>
          <w:bCs/>
          <w:sz w:val="20"/>
          <w:szCs w:val="20"/>
        </w:rPr>
        <w:t>Mittlerer arterieller Druck</w:t>
      </w:r>
      <w:r w:rsidR="00447357" w:rsidRPr="00207748">
        <w:rPr>
          <w:rFonts w:ascii="Cambria" w:hAnsi="Cambria" w:cs="Arial"/>
          <w:sz w:val="20"/>
          <w:szCs w:val="20"/>
        </w:rPr>
        <w:t xml:space="preserve"> (</w:t>
      </w:r>
      <w:r w:rsidR="00EC3DBA" w:rsidRPr="00207748">
        <w:rPr>
          <w:rFonts w:ascii="Cambria" w:hAnsi="Cambria" w:cs="Arial"/>
          <w:sz w:val="20"/>
          <w:szCs w:val="20"/>
        </w:rPr>
        <w:t>Mean Arterial P</w:t>
      </w:r>
      <w:r w:rsidR="00447357" w:rsidRPr="00207748">
        <w:rPr>
          <w:rFonts w:ascii="Cambria" w:hAnsi="Cambria" w:cs="Arial"/>
          <w:sz w:val="20"/>
          <w:szCs w:val="20"/>
        </w:rPr>
        <w:t>ressure</w:t>
      </w:r>
      <w:r w:rsidR="00EC3DBA" w:rsidRPr="00207748">
        <w:rPr>
          <w:rFonts w:ascii="Cambria" w:hAnsi="Cambria" w:cs="Arial"/>
          <w:sz w:val="20"/>
          <w:szCs w:val="20"/>
        </w:rPr>
        <w:t xml:space="preserve">, MAP) </w:t>
      </w:r>
      <w:r w:rsidR="00447357" w:rsidRPr="00207748">
        <w:rPr>
          <w:rFonts w:ascii="Cambria" w:hAnsi="Cambria" w:cs="Arial"/>
          <w:sz w:val="20"/>
          <w:szCs w:val="20"/>
        </w:rPr>
        <w:t xml:space="preserve">ist der Druck, der die Gewebeperfusion steuert. Obwohl die Perfusion der wichtigsten Organe wie des Gehirns oder der Niere vor einer systemischen Hypotonie durch eine Autoregulation der regionalen Perfusion </w:t>
      </w:r>
      <w:r w:rsidR="00460A5E">
        <w:rPr>
          <w:rFonts w:ascii="Cambria" w:hAnsi="Cambria" w:cs="Arial"/>
          <w:sz w:val="20"/>
          <w:szCs w:val="20"/>
        </w:rPr>
        <w:t>aufrechterhalten</w:t>
      </w:r>
      <w:r w:rsidR="00447357" w:rsidRPr="00207748">
        <w:rPr>
          <w:rFonts w:ascii="Cambria" w:hAnsi="Cambria" w:cs="Arial"/>
          <w:sz w:val="20"/>
          <w:szCs w:val="20"/>
        </w:rPr>
        <w:t xml:space="preserve"> werden kann, wird die Gewebeperfusion unterhalb eines MAP-Schwellenwerts linear von dem arteriellen Druck abhängig. In einer monozentrischen Studie </w:t>
      </w:r>
      <w:r w:rsidR="00447357" w:rsidRPr="00207748">
        <w:rPr>
          <w:rFonts w:ascii="Cambria" w:eastAsia="Arial" w:hAnsi="Cambria" w:cs="Arial"/>
          <w:sz w:val="20"/>
          <w:szCs w:val="20"/>
          <w:vertAlign w:val="superscript"/>
        </w:rPr>
        <w:endnoteReference w:id="57"/>
      </w:r>
      <w:r w:rsidR="00447357" w:rsidRPr="00207748">
        <w:rPr>
          <w:rFonts w:ascii="Cambria" w:hAnsi="Cambria" w:cs="Arial"/>
          <w:sz w:val="20"/>
          <w:szCs w:val="20"/>
        </w:rPr>
        <w:t xml:space="preserve"> erhöhte die Norepinephrin-Dosistitration von einem MAP von 65 mm Hg auf 75 und 85 mm Hg den Herzindex (von 4,7 ± 0,5 auf 5,5 ± 0,6 l/min/m</w:t>
      </w:r>
      <w:r w:rsidR="00447357" w:rsidRPr="00207748">
        <w:rPr>
          <w:rFonts w:ascii="Cambria" w:hAnsi="Cambria" w:cs="Arial"/>
          <w:sz w:val="20"/>
          <w:szCs w:val="20"/>
          <w:vertAlign w:val="superscript"/>
        </w:rPr>
        <w:t>2</w:t>
      </w:r>
      <w:r w:rsidR="00447357" w:rsidRPr="00207748">
        <w:rPr>
          <w:rFonts w:ascii="Cambria" w:hAnsi="Cambria" w:cs="Arial"/>
          <w:sz w:val="20"/>
          <w:szCs w:val="20"/>
        </w:rPr>
        <w:t>), sie führte aber nicht zu einer Änderung des Harnflusses, der arteriellen Laktatwerte, der Sauerstoffversorgung und des Sauerstoffverbrauchs, des PCO</w:t>
      </w:r>
      <w:r w:rsidR="00447357" w:rsidRPr="00207748">
        <w:rPr>
          <w:rFonts w:ascii="Cambria" w:hAnsi="Cambria" w:cs="Arial"/>
          <w:sz w:val="20"/>
          <w:szCs w:val="20"/>
          <w:vertAlign w:val="subscript"/>
        </w:rPr>
        <w:t>2</w:t>
      </w:r>
      <w:r w:rsidR="00447357" w:rsidRPr="00207748">
        <w:rPr>
          <w:rFonts w:ascii="Cambria" w:hAnsi="Cambria" w:cs="Arial"/>
          <w:sz w:val="20"/>
          <w:szCs w:val="20"/>
        </w:rPr>
        <w:t xml:space="preserve"> der Magenschleimhaut, der RBC-Geschwindigkeit oder der Kapillarströmung der Haut. Eine weitere monozentrische Studie </w:t>
      </w:r>
      <w:r w:rsidR="00447357" w:rsidRPr="00207748">
        <w:rPr>
          <w:rFonts w:ascii="Cambria" w:eastAsia="Arial" w:hAnsi="Cambria" w:cs="Arial"/>
          <w:sz w:val="20"/>
          <w:szCs w:val="20"/>
          <w:vertAlign w:val="superscript"/>
        </w:rPr>
        <w:endnoteReference w:id="58"/>
      </w:r>
      <w:r w:rsidR="00447357" w:rsidRPr="00207748">
        <w:rPr>
          <w:rFonts w:ascii="Cambria" w:hAnsi="Cambria" w:cs="Arial"/>
          <w:sz w:val="20"/>
          <w:szCs w:val="20"/>
        </w:rPr>
        <w:t xml:space="preserve"> </w:t>
      </w:r>
      <w:r w:rsidR="00460A5E">
        <w:rPr>
          <w:rFonts w:ascii="Cambria" w:hAnsi="Cambria" w:cs="Arial"/>
          <w:sz w:val="20"/>
          <w:szCs w:val="20"/>
        </w:rPr>
        <w:t>verglicheine</w:t>
      </w:r>
      <w:r w:rsidR="002B1061">
        <w:rPr>
          <w:rFonts w:ascii="Cambria" w:hAnsi="Cambria" w:cs="Arial"/>
          <w:sz w:val="20"/>
          <w:szCs w:val="20"/>
        </w:rPr>
        <w:t xml:space="preserve"> </w:t>
      </w:r>
      <w:r w:rsidR="00447357" w:rsidRPr="00207748">
        <w:rPr>
          <w:rFonts w:ascii="Cambria" w:hAnsi="Cambria" w:cs="Arial"/>
          <w:sz w:val="20"/>
          <w:szCs w:val="20"/>
        </w:rPr>
        <w:t xml:space="preserve">Dosistitration beim mit Norepinephrin behandelten septischen Schock zur Aufrechterhaltung eines MAP von 65 mm Hg gegenüber dem Erreichen von 85 mm Hg. In dieser Studie erhöhte </w:t>
      </w:r>
      <w:r w:rsidR="00EB5244">
        <w:rPr>
          <w:rFonts w:ascii="Cambria" w:hAnsi="Cambria" w:cs="Arial"/>
          <w:sz w:val="20"/>
          <w:szCs w:val="20"/>
        </w:rPr>
        <w:t>eines höheren</w:t>
      </w:r>
      <w:r w:rsidR="002B1061">
        <w:rPr>
          <w:rFonts w:ascii="Cambria" w:hAnsi="Cambria" w:cs="Arial"/>
          <w:sz w:val="20"/>
          <w:szCs w:val="20"/>
        </w:rPr>
        <w:t xml:space="preserve"> </w:t>
      </w:r>
      <w:r w:rsidR="00447357" w:rsidRPr="00207748">
        <w:rPr>
          <w:rFonts w:ascii="Cambria" w:hAnsi="Cambria" w:cs="Arial"/>
          <w:sz w:val="20"/>
          <w:szCs w:val="20"/>
        </w:rPr>
        <w:t>MAP den Herzindex von 4,8 (3,8–6,0) auf 5,8 (4,3–6,9) l/min/m</w:t>
      </w:r>
      <w:r w:rsidR="00447357" w:rsidRPr="00207748">
        <w:rPr>
          <w:rFonts w:ascii="Cambria" w:hAnsi="Cambria" w:cs="Arial"/>
          <w:sz w:val="20"/>
          <w:szCs w:val="20"/>
          <w:vertAlign w:val="superscript"/>
        </w:rPr>
        <w:t>2</w:t>
      </w:r>
      <w:r w:rsidR="00447357" w:rsidRPr="00207748">
        <w:rPr>
          <w:rFonts w:ascii="Cambria" w:hAnsi="Cambria" w:cs="Arial"/>
          <w:sz w:val="20"/>
          <w:szCs w:val="20"/>
        </w:rPr>
        <w:t xml:space="preserve">, führte jedoch zu keiner Änderung der Nierenfunktion, der arteriellen Laktatwerte oder des Sauerstoffverbrauchs. Eine dritte monozentrische Studie </w:t>
      </w:r>
      <w:r w:rsidR="00447357" w:rsidRPr="00207748">
        <w:rPr>
          <w:rFonts w:ascii="Cambria" w:eastAsia="Arial" w:hAnsi="Cambria" w:cs="Arial"/>
          <w:sz w:val="20"/>
          <w:szCs w:val="20"/>
          <w:vertAlign w:val="superscript"/>
        </w:rPr>
        <w:endnoteReference w:id="59"/>
      </w:r>
      <w:r w:rsidR="00447357" w:rsidRPr="00207748">
        <w:rPr>
          <w:rFonts w:ascii="Cambria" w:hAnsi="Cambria" w:cs="Arial"/>
          <w:sz w:val="20"/>
          <w:szCs w:val="20"/>
        </w:rPr>
        <w:t xml:space="preserve"> wies eine </w:t>
      </w:r>
      <w:r w:rsidR="00447357" w:rsidRPr="00207748">
        <w:rPr>
          <w:rFonts w:ascii="Cambria" w:hAnsi="Cambria" w:cs="Arial"/>
          <w:sz w:val="20"/>
          <w:szCs w:val="20"/>
        </w:rPr>
        <w:lastRenderedPageBreak/>
        <w:t>Verbesserung der Mikrozirkulation nach, entsprechend der Beurteilung anhand der sublingualen Gefäßdichte und der Steigung der Sauerstoffsättigungskurve am Daumenballen nach einem Okklusionstest, indem eine Titration von Norepinephrin auf einen MAP von 85 mm Hg im Vergleich zu 65 mm Hg erfolgte. Nur eine multizentrische Studie, bei der die Norepinephrin-Dosistitration zum Erreichen eines MAP von 65 mm Hg versus 85 mm Hg verglichen wurde, führte die Mortalität als primäres Ergebnis auf.</w:t>
      </w:r>
      <w:bookmarkStart w:id="344" w:name="_Ref30502886"/>
      <w:r w:rsidR="00447357" w:rsidRPr="00207748">
        <w:rPr>
          <w:rFonts w:ascii="Cambria" w:eastAsia="Arial" w:hAnsi="Cambria" w:cs="Arial"/>
          <w:sz w:val="20"/>
          <w:szCs w:val="20"/>
          <w:vertAlign w:val="superscript"/>
        </w:rPr>
        <w:endnoteReference w:id="60"/>
      </w:r>
      <w:bookmarkEnd w:id="344"/>
      <w:r w:rsidR="00447357" w:rsidRPr="00207748">
        <w:rPr>
          <w:rFonts w:ascii="Cambria" w:hAnsi="Cambria" w:cs="Arial"/>
          <w:sz w:val="20"/>
          <w:szCs w:val="20"/>
        </w:rPr>
        <w:t xml:space="preserve"> Es lag kein signifikanter Unterschied bezüglich der Mortalität nach Ablauf von 28 Tagen (36,6 % in der Gruppe mit hohem Zielwert und 34,0 % in der Gruppe mit niedrigem Zielwert) oder 90 Tagen (43,8 % in der Gruppe mit hohem Zielwert und 42,3 % in der Gruppe mit niedrigem Zielwert) vor. Die Anvisierung eines MAP von 85 mm Hg führte zu einem signifikant erhöhten Risiko für Arrhythmien, wobei in </w:t>
      </w:r>
      <w:r w:rsidR="00EB5244">
        <w:rPr>
          <w:rFonts w:ascii="Cambria" w:hAnsi="Cambria" w:cs="Arial"/>
          <w:sz w:val="20"/>
          <w:szCs w:val="20"/>
        </w:rPr>
        <w:t>einer</w:t>
      </w:r>
      <w:r w:rsidR="00447357" w:rsidRPr="00207748">
        <w:rPr>
          <w:rFonts w:ascii="Cambria" w:hAnsi="Cambria" w:cs="Arial"/>
          <w:sz w:val="20"/>
          <w:szCs w:val="20"/>
        </w:rPr>
        <w:t xml:space="preserve"> Untergruppe </w:t>
      </w:r>
      <w:r w:rsidR="00EB5244">
        <w:rPr>
          <w:rFonts w:ascii="Cambria" w:hAnsi="Cambria" w:cs="Arial"/>
          <w:sz w:val="20"/>
          <w:szCs w:val="20"/>
        </w:rPr>
        <w:t>von</w:t>
      </w:r>
      <w:r w:rsidR="00447357" w:rsidRPr="00207748">
        <w:rPr>
          <w:rFonts w:ascii="Cambria" w:hAnsi="Cambria" w:cs="Arial"/>
          <w:sz w:val="20"/>
          <w:szCs w:val="20"/>
        </w:rPr>
        <w:t xml:space="preserve"> Patienten mit </w:t>
      </w:r>
      <w:r w:rsidR="00EB5244">
        <w:rPr>
          <w:rFonts w:ascii="Cambria" w:hAnsi="Cambria" w:cs="Arial"/>
          <w:sz w:val="20"/>
          <w:szCs w:val="20"/>
        </w:rPr>
        <w:t>vorbestehender arterieller Hypertonie</w:t>
      </w:r>
      <w:r w:rsidR="00447357" w:rsidRPr="00207748">
        <w:rPr>
          <w:rFonts w:ascii="Cambria" w:hAnsi="Cambria" w:cs="Arial"/>
          <w:sz w:val="20"/>
          <w:szCs w:val="20"/>
        </w:rPr>
        <w:t xml:space="preserve"> ein reduzierter Bedarf für eine Nierenersatztherapie (Renal </w:t>
      </w:r>
      <w:r w:rsidR="00EC3DBA" w:rsidRPr="00207748">
        <w:rPr>
          <w:rFonts w:ascii="Cambria" w:hAnsi="Cambria" w:cs="Arial"/>
          <w:sz w:val="20"/>
          <w:szCs w:val="20"/>
        </w:rPr>
        <w:t>R</w:t>
      </w:r>
      <w:r w:rsidR="00447357" w:rsidRPr="00207748">
        <w:rPr>
          <w:rFonts w:ascii="Cambria" w:hAnsi="Cambria" w:cs="Arial"/>
          <w:sz w:val="20"/>
          <w:szCs w:val="20"/>
        </w:rPr>
        <w:t xml:space="preserve">eplacement </w:t>
      </w:r>
      <w:r w:rsidR="00EC3DBA" w:rsidRPr="00207748">
        <w:rPr>
          <w:rFonts w:ascii="Cambria" w:hAnsi="Cambria" w:cs="Arial"/>
          <w:sz w:val="20"/>
          <w:szCs w:val="20"/>
        </w:rPr>
        <w:t>T</w:t>
      </w:r>
      <w:r w:rsidR="00447357" w:rsidRPr="00207748">
        <w:rPr>
          <w:rFonts w:ascii="Cambria" w:hAnsi="Cambria" w:cs="Arial"/>
          <w:sz w:val="20"/>
          <w:szCs w:val="20"/>
        </w:rPr>
        <w:t xml:space="preserve">herapy, RRT) bei diesem höheren MAP bestand. Eine aktuelle Pilotstudie an 118 Patienten mit septischem Schock </w:t>
      </w:r>
      <w:bookmarkStart w:id="345" w:name="_Ref30503039"/>
      <w:r w:rsidR="00447357" w:rsidRPr="00207748">
        <w:rPr>
          <w:rFonts w:ascii="Cambria" w:eastAsia="Arial" w:hAnsi="Cambria" w:cs="Arial"/>
          <w:sz w:val="20"/>
          <w:szCs w:val="20"/>
          <w:vertAlign w:val="superscript"/>
        </w:rPr>
        <w:endnoteReference w:id="61"/>
      </w:r>
      <w:bookmarkEnd w:id="345"/>
      <w:r w:rsidR="00447357" w:rsidRPr="00207748">
        <w:rPr>
          <w:rFonts w:ascii="Cambria" w:hAnsi="Cambria" w:cs="Arial"/>
          <w:sz w:val="20"/>
          <w:szCs w:val="20"/>
        </w:rPr>
        <w:t xml:space="preserve"> wies darauf hin, dass bei der Untergruppe der Patienten, die älter als 75 Jahre waren, die Mortalität reduziert war, wenn ein MAP von 60–65 mm Hg im Vergleich zu 75–80 mm Hg anvisiert wurde. Die Evidenzqualität war m</w:t>
      </w:r>
      <w:r w:rsidR="00CB3020" w:rsidRPr="00207748">
        <w:rPr>
          <w:rFonts w:ascii="Cambria" w:hAnsi="Cambria" w:cs="Arial"/>
          <w:sz w:val="20"/>
          <w:szCs w:val="20"/>
        </w:rPr>
        <w:t>oderat</w:t>
      </w:r>
      <w:r w:rsidR="00447357" w:rsidRPr="00207748">
        <w:rPr>
          <w:rFonts w:ascii="Cambria" w:hAnsi="Cambria" w:cs="Arial"/>
          <w:sz w:val="20"/>
          <w:szCs w:val="20"/>
        </w:rPr>
        <w:t xml:space="preserve">, was auf </w:t>
      </w:r>
      <w:r w:rsidR="00EB5244">
        <w:rPr>
          <w:rFonts w:ascii="Cambria" w:hAnsi="Cambria" w:cs="Arial"/>
          <w:sz w:val="20"/>
          <w:szCs w:val="20"/>
        </w:rPr>
        <w:t>potentiellen bias</w:t>
      </w:r>
      <w:r w:rsidR="00447357" w:rsidRPr="00207748">
        <w:rPr>
          <w:rFonts w:ascii="Cambria" w:hAnsi="Cambria" w:cs="Arial"/>
          <w:sz w:val="20"/>
          <w:szCs w:val="20"/>
        </w:rPr>
        <w:t xml:space="preserve"> zurückzuführen ist (große Konfidenzintervalle). Daraus resultierte, dass die positiven Effekte eines Ziel-MAP von 65 mmHg (geringeres Risiko für Vorhofflimmern, geringere Vasopressor-Dosis und ähnliche Mortalität) zu einer starken Empfehlung führten, sodass ein initialer MAP-Zielwert von 65 mm Hg gegenüber höheren MAP-Zielwerten favorisiert wurde. Sobald mehr Erkenntnisse zum Zustand des jeweiligen Patienten gewonnen werden können, sollte dieser Zielwert an die betreffenden Umstände angepasst werden.</w:t>
      </w:r>
    </w:p>
    <w:p w14:paraId="4F57BEDB" w14:textId="337D8D78" w:rsidR="00E11869" w:rsidRPr="00207748" w:rsidRDefault="00447357" w:rsidP="004454B6">
      <w:pPr>
        <w:rPr>
          <w:rFonts w:ascii="Cambria" w:hAnsi="Cambria" w:cs="Arial"/>
          <w:sz w:val="20"/>
          <w:szCs w:val="20"/>
        </w:rPr>
      </w:pPr>
      <w:r w:rsidRPr="00207748">
        <w:rPr>
          <w:rFonts w:ascii="Cambria" w:hAnsi="Cambria" w:cs="Arial"/>
          <w:sz w:val="20"/>
          <w:szCs w:val="20"/>
        </w:rPr>
        <w:t>Auf</w:t>
      </w:r>
      <w:r w:rsidR="00CB3020" w:rsidRPr="00207748">
        <w:rPr>
          <w:rFonts w:ascii="Cambria" w:hAnsi="Cambria" w:cs="Arial"/>
          <w:sz w:val="20"/>
          <w:szCs w:val="20"/>
        </w:rPr>
        <w:t>g</w:t>
      </w:r>
      <w:r w:rsidRPr="00207748">
        <w:rPr>
          <w:rFonts w:ascii="Cambria" w:hAnsi="Cambria" w:cs="Arial"/>
          <w:sz w:val="20"/>
          <w:szCs w:val="20"/>
        </w:rPr>
        <w:t xml:space="preserve">rund einer abweichenden Beurteilung der vorliegenden Literatur wird nur eine schwache Empfehlung für den MAP-Zielwert von 65 mmHg ausgesprochen. Die multizentrische Studie von Asfar et al. </w:t>
      </w:r>
      <w:r w:rsidR="00CB26D4" w:rsidRPr="00CB26D4">
        <w:rPr>
          <w:rStyle w:val="EndnoteZchn"/>
        </w:rPr>
        <w:fldChar w:fldCharType="begin"/>
      </w:r>
      <w:r w:rsidR="00CB26D4" w:rsidRPr="00CB26D4">
        <w:rPr>
          <w:rStyle w:val="EndnoteZchn"/>
        </w:rPr>
        <w:instrText xml:space="preserve"> NOTEREF _Ref30502886 \h </w:instrText>
      </w:r>
      <w:r w:rsidR="00CB26D4">
        <w:rPr>
          <w:rStyle w:val="EndnoteZchn"/>
        </w:rPr>
        <w:instrText xml:space="preserve"> \* MERGEFORMAT </w:instrText>
      </w:r>
      <w:r w:rsidR="00CB26D4" w:rsidRPr="00CB26D4">
        <w:rPr>
          <w:rStyle w:val="EndnoteZchn"/>
        </w:rPr>
      </w:r>
      <w:r w:rsidR="00CB26D4" w:rsidRPr="00CB26D4">
        <w:rPr>
          <w:rStyle w:val="EndnoteZchn"/>
        </w:rPr>
        <w:fldChar w:fldCharType="separate"/>
      </w:r>
      <w:r w:rsidR="001A283B">
        <w:rPr>
          <w:rStyle w:val="EndnoteZchn"/>
        </w:rPr>
        <w:t>59</w:t>
      </w:r>
      <w:r w:rsidR="00CB26D4" w:rsidRPr="00CB26D4">
        <w:rPr>
          <w:rStyle w:val="EndnoteZchn"/>
        </w:rPr>
        <w:fldChar w:fldCharType="end"/>
      </w:r>
      <w:r w:rsidRPr="00207748">
        <w:rPr>
          <w:rFonts w:ascii="Cambria" w:hAnsi="Cambria" w:cs="Arial"/>
          <w:sz w:val="20"/>
          <w:szCs w:val="20"/>
        </w:rPr>
        <w:t xml:space="preserve"> zielte darauf ab, </w:t>
      </w:r>
      <w:r w:rsidRPr="00207748">
        <w:rPr>
          <w:rFonts w:ascii="Cambria" w:hAnsi="Cambria" w:cs="Arial"/>
          <w:sz w:val="20"/>
          <w:szCs w:val="20"/>
        </w:rPr>
        <w:lastRenderedPageBreak/>
        <w:t>Zielblutdruckwerte von 65-70 mmHg bzw. 80-85 mmHg zu vergleichen. Tatsächlich verglich die Studie Zielblutdruckwerte von 75 mmHg bzw. 85 mmHg. Die aktuelle Pilotstudie von</w:t>
      </w:r>
      <w:r w:rsidR="00CB3020" w:rsidRPr="00207748">
        <w:rPr>
          <w:rFonts w:ascii="Cambria" w:hAnsi="Cambria" w:cs="Arial"/>
          <w:sz w:val="20"/>
          <w:szCs w:val="20"/>
        </w:rPr>
        <w:t xml:space="preserve"> </w:t>
      </w:r>
      <w:r w:rsidRPr="00207748">
        <w:rPr>
          <w:rFonts w:ascii="Cambria" w:hAnsi="Cambria" w:cs="Arial"/>
          <w:sz w:val="20"/>
          <w:szCs w:val="20"/>
        </w:rPr>
        <w:t xml:space="preserve">Lamontagne et al. </w:t>
      </w:r>
      <w:r w:rsidR="00CB26D4" w:rsidRPr="00CB26D4">
        <w:rPr>
          <w:rStyle w:val="EndnoteZchn"/>
        </w:rPr>
        <w:fldChar w:fldCharType="begin"/>
      </w:r>
      <w:r w:rsidR="00CB26D4" w:rsidRPr="00CB26D4">
        <w:rPr>
          <w:rStyle w:val="EndnoteZchn"/>
        </w:rPr>
        <w:instrText xml:space="preserve"> NOTEREF _Ref30503039 \h  \* MERGEFORMAT </w:instrText>
      </w:r>
      <w:r w:rsidR="00CB26D4" w:rsidRPr="00CB26D4">
        <w:rPr>
          <w:rStyle w:val="EndnoteZchn"/>
        </w:rPr>
      </w:r>
      <w:r w:rsidR="00CB26D4" w:rsidRPr="00CB26D4">
        <w:rPr>
          <w:rStyle w:val="EndnoteZchn"/>
        </w:rPr>
        <w:fldChar w:fldCharType="separate"/>
      </w:r>
      <w:r w:rsidR="001A283B">
        <w:rPr>
          <w:rStyle w:val="EndnoteZchn"/>
        </w:rPr>
        <w:t>60</w:t>
      </w:r>
      <w:r w:rsidR="00CB26D4" w:rsidRPr="00CB26D4">
        <w:rPr>
          <w:rStyle w:val="EndnoteZchn"/>
        </w:rPr>
        <w:fldChar w:fldCharType="end"/>
      </w:r>
      <w:r w:rsidR="00CB26D4">
        <w:rPr>
          <w:rFonts w:ascii="Cambria" w:hAnsi="Cambria" w:cs="Arial"/>
          <w:sz w:val="20"/>
          <w:szCs w:val="20"/>
        </w:rPr>
        <w:t xml:space="preserve"> </w:t>
      </w:r>
      <w:r w:rsidRPr="00207748">
        <w:rPr>
          <w:rFonts w:ascii="Cambria" w:hAnsi="Cambria" w:cs="Arial"/>
          <w:sz w:val="20"/>
          <w:szCs w:val="20"/>
        </w:rPr>
        <w:t>verfehlte bei Einhaltung des oberen Zielbereichs von 75-80 mmHg den unteren Zielbereich von 60-65 mmHg und verglich 70 mmHg mit 79 mmHg. Somit liegen aktuell keine ausreichenden klinischen Daten vor, die den Zielwert von 65 mmHg für den MAP im Vergleich zu anderen Zielwerten vergleicht, so dass nur eine schwache Empfehlung ausgesprochen werden kann.</w:t>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02"/>
        <w:gridCol w:w="850"/>
      </w:tblGrid>
      <w:tr w:rsidR="00E11869" w:rsidRPr="00207748" w14:paraId="2F40DF50"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7441A45B"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t>A.8</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154B3E3B"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029F2AFD"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2018</w:t>
            </w:r>
          </w:p>
        </w:tc>
      </w:tr>
      <w:tr w:rsidR="00E11869" w:rsidRPr="00207748" w14:paraId="4C870985" w14:textId="77777777" w:rsidTr="00207748">
        <w:trPr>
          <w:trHeight w:val="308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3CAC4"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t>Empfehlungsgrad</w:t>
            </w:r>
          </w:p>
          <w:p w14:paraId="0046B5B9" w14:textId="77777777" w:rsidR="00E11869" w:rsidRPr="00207748" w:rsidRDefault="00E11869" w:rsidP="004454B6">
            <w:pPr>
              <w:spacing w:after="0"/>
              <w:rPr>
                <w:rFonts w:ascii="Cambria" w:eastAsia="Arial" w:hAnsi="Cambria" w:cs="Arial"/>
                <w:sz w:val="20"/>
                <w:szCs w:val="20"/>
              </w:rPr>
            </w:pPr>
          </w:p>
          <w:p w14:paraId="33B618A1" w14:textId="77777777" w:rsidR="00E11869" w:rsidRPr="00207748" w:rsidRDefault="00447357" w:rsidP="004454B6">
            <w:pPr>
              <w:spacing w:after="0"/>
              <w:rPr>
                <w:rFonts w:ascii="Cambria" w:eastAsia="Arial" w:hAnsi="Cambria" w:cs="Arial"/>
                <w:b/>
                <w:bCs/>
                <w:sz w:val="20"/>
                <w:szCs w:val="20"/>
              </w:rPr>
            </w:pPr>
            <w:r w:rsidRPr="00207748">
              <w:rPr>
                <w:rFonts w:ascii="Cambria" w:hAnsi="Cambria" w:cs="Arial"/>
                <w:b/>
                <w:bCs/>
                <w:sz w:val="20"/>
                <w:szCs w:val="20"/>
              </w:rPr>
              <w:t>schwach</w:t>
            </w:r>
          </w:p>
          <w:p w14:paraId="6BDBA896" w14:textId="77777777" w:rsidR="00E11869" w:rsidRPr="00207748" w:rsidRDefault="00E11869" w:rsidP="004454B6">
            <w:pPr>
              <w:spacing w:after="0"/>
              <w:rPr>
                <w:rFonts w:ascii="Cambria" w:eastAsia="Arial" w:hAnsi="Cambria" w:cs="Arial"/>
                <w:sz w:val="20"/>
                <w:szCs w:val="20"/>
              </w:rPr>
            </w:pPr>
          </w:p>
          <w:p w14:paraId="64DF7162"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t>Evidenzgrad</w:t>
            </w:r>
          </w:p>
          <w:p w14:paraId="6B0DB635" w14:textId="77777777" w:rsidR="00E11869" w:rsidRPr="00207748" w:rsidRDefault="00E11869" w:rsidP="004454B6">
            <w:pPr>
              <w:spacing w:after="0"/>
              <w:rPr>
                <w:rFonts w:ascii="Cambria" w:eastAsia="Arial" w:hAnsi="Cambria" w:cs="Arial"/>
                <w:sz w:val="20"/>
                <w:szCs w:val="20"/>
              </w:rPr>
            </w:pPr>
          </w:p>
          <w:p w14:paraId="081407E4"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niedrig</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F7A64"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Wir schlagen vor, bei Patienten, bei denen erhöhte Laktatwerte infolge einer Gewebehypoperfusion vorliegen, die hämodynamische Stabilisierung mit dem Ziel einer Normalisierung der Laktatwerte zu steuern.</w:t>
            </w:r>
          </w:p>
        </w:tc>
      </w:tr>
      <w:tr w:rsidR="00E11869" w:rsidRPr="00207748" w14:paraId="46B77982" w14:textId="77777777" w:rsidTr="00342FB3">
        <w:trPr>
          <w:trHeight w:val="56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7385202F"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0A85A"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SSC</w:t>
            </w:r>
            <w:r w:rsidR="00EC3DBA" w:rsidRPr="00207748">
              <w:rPr>
                <w:rFonts w:ascii="Cambria" w:hAnsi="Cambria" w:cs="Arial"/>
                <w:b/>
                <w:bCs/>
                <w:sz w:val="20"/>
                <w:szCs w:val="20"/>
              </w:rPr>
              <w:t>-</w:t>
            </w:r>
            <w:r w:rsidRPr="00207748">
              <w:rPr>
                <w:rFonts w:ascii="Cambria" w:hAnsi="Cambria" w:cs="Arial"/>
                <w:b/>
                <w:bCs/>
                <w:sz w:val="20"/>
                <w:szCs w:val="20"/>
              </w:rPr>
              <w:t xml:space="preserve">Leitlinienadaptation </w:t>
            </w:r>
          </w:p>
        </w:tc>
      </w:tr>
      <w:tr w:rsidR="00E11869" w:rsidRPr="00207748" w14:paraId="73D8E545"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D50E3"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4D415" w14:textId="77777777" w:rsidR="00E11869" w:rsidRPr="00207748" w:rsidRDefault="00447357" w:rsidP="004454B6">
            <w:pPr>
              <w:spacing w:after="0"/>
              <w:rPr>
                <w:rFonts w:ascii="Cambria" w:hAnsi="Cambria" w:cs="Arial"/>
                <w:sz w:val="20"/>
                <w:szCs w:val="20"/>
              </w:rPr>
            </w:pPr>
            <w:r w:rsidRPr="00207748">
              <w:rPr>
                <w:rFonts w:ascii="Cambria" w:hAnsi="Cambria" w:cs="Arial"/>
                <w:sz w:val="20"/>
                <w:szCs w:val="20"/>
              </w:rPr>
              <w:t>Konsensstärke: 100 %</w:t>
            </w:r>
          </w:p>
        </w:tc>
      </w:tr>
    </w:tbl>
    <w:p w14:paraId="62E07862" w14:textId="77777777" w:rsidR="00342FB3" w:rsidRPr="00207748" w:rsidRDefault="00342FB3" w:rsidP="004454B6">
      <w:pPr>
        <w:rPr>
          <w:rFonts w:ascii="Cambria" w:eastAsia="Arial" w:hAnsi="Cambria" w:cs="Arial"/>
          <w:iCs/>
          <w:sz w:val="20"/>
          <w:szCs w:val="20"/>
        </w:rPr>
      </w:pPr>
    </w:p>
    <w:p w14:paraId="2EFA8FA6" w14:textId="1FA05652" w:rsidR="00963061" w:rsidRPr="00207748" w:rsidRDefault="00420A45" w:rsidP="00FB33A2">
      <w:pPr>
        <w:rPr>
          <w:rFonts w:ascii="Cambria" w:eastAsia="Arial" w:hAnsi="Cambria" w:cs="Arial"/>
          <w:sz w:val="20"/>
          <w:szCs w:val="20"/>
        </w:rPr>
      </w:pPr>
      <w:r w:rsidRPr="00207748">
        <w:rPr>
          <w:rFonts w:ascii="Cambria" w:hAnsi="Cambria" w:cs="Arial"/>
          <w:b/>
          <w:bCs/>
          <w:sz w:val="20"/>
          <w:szCs w:val="20"/>
        </w:rPr>
        <w:t>Begründung:</w:t>
      </w:r>
      <w:r w:rsidR="00447357" w:rsidRPr="00207748">
        <w:rPr>
          <w:rFonts w:ascii="Cambria" w:hAnsi="Cambria" w:cs="Arial"/>
          <w:b/>
          <w:bCs/>
          <w:sz w:val="20"/>
          <w:szCs w:val="20"/>
        </w:rPr>
        <w:t xml:space="preserve"> </w:t>
      </w:r>
      <w:r w:rsidR="00447357" w:rsidRPr="00207748">
        <w:rPr>
          <w:rFonts w:ascii="Cambria" w:hAnsi="Cambria" w:cs="Arial"/>
          <w:sz w:val="20"/>
          <w:szCs w:val="20"/>
        </w:rPr>
        <w:t>Das Serumlaktat ist kein direkter Maßstab für die Gewebeperfusion</w:t>
      </w:r>
      <w:r w:rsidR="00CB3020" w:rsidRPr="00207748">
        <w:rPr>
          <w:rFonts w:ascii="Cambria" w:hAnsi="Cambria" w:cs="Arial"/>
          <w:sz w:val="20"/>
          <w:szCs w:val="20"/>
        </w:rPr>
        <w:t xml:space="preserve">. </w:t>
      </w:r>
      <w:r w:rsidR="00447357" w:rsidRPr="00207748">
        <w:rPr>
          <w:rFonts w:ascii="Cambria" w:eastAsia="Arial" w:hAnsi="Cambria" w:cs="Arial"/>
          <w:sz w:val="20"/>
          <w:szCs w:val="20"/>
          <w:vertAlign w:val="superscript"/>
        </w:rPr>
        <w:endnoteReference w:id="62"/>
      </w:r>
      <w:r w:rsidR="00447357" w:rsidRPr="00207748">
        <w:rPr>
          <w:rFonts w:ascii="Cambria" w:hAnsi="Cambria" w:cs="Arial"/>
          <w:sz w:val="20"/>
          <w:szCs w:val="20"/>
        </w:rPr>
        <w:t xml:space="preserve"> Erhöhungen der Serumlaktatwerte können durch eine Gewebehypoxie, eine beschleunigte aerobe Glykolyse durch übermäßige betaadrenerge Stimulation oder andere Ursachen bedingt sein (z.B. Leberversagen). Unabhängig von der Ursache sind jedoch erhöhte Laktatwerte mit </w:t>
      </w:r>
      <w:r w:rsidR="00EB5244">
        <w:rPr>
          <w:rFonts w:ascii="Cambria" w:hAnsi="Cambria" w:cs="Arial"/>
          <w:sz w:val="20"/>
          <w:szCs w:val="20"/>
        </w:rPr>
        <w:t xml:space="preserve">einem </w:t>
      </w:r>
      <w:r w:rsidR="00447357" w:rsidRPr="00207748">
        <w:rPr>
          <w:rFonts w:ascii="Cambria" w:hAnsi="Cambria" w:cs="Arial"/>
          <w:sz w:val="20"/>
          <w:szCs w:val="20"/>
        </w:rPr>
        <w:t xml:space="preserve">schlechteren </w:t>
      </w:r>
      <w:r w:rsidR="00EB5244">
        <w:rPr>
          <w:rFonts w:ascii="Cambria" w:hAnsi="Cambria" w:cs="Arial"/>
          <w:sz w:val="20"/>
          <w:szCs w:val="20"/>
        </w:rPr>
        <w:t>outcome</w:t>
      </w:r>
      <w:r w:rsidR="00447357" w:rsidRPr="00207748">
        <w:rPr>
          <w:rFonts w:ascii="Cambria" w:hAnsi="Cambria" w:cs="Arial"/>
          <w:sz w:val="20"/>
          <w:szCs w:val="20"/>
        </w:rPr>
        <w:t xml:space="preserve"> verbunden. </w:t>
      </w:r>
      <w:r w:rsidR="00447357" w:rsidRPr="00207748">
        <w:rPr>
          <w:rFonts w:ascii="Cambria" w:eastAsia="Arial" w:hAnsi="Cambria" w:cs="Arial"/>
          <w:sz w:val="20"/>
          <w:szCs w:val="20"/>
          <w:vertAlign w:val="superscript"/>
        </w:rPr>
        <w:endnoteReference w:id="63"/>
      </w:r>
      <w:r w:rsidR="00447357" w:rsidRPr="00207748">
        <w:rPr>
          <w:rFonts w:ascii="Cambria" w:hAnsi="Cambria" w:cs="Arial"/>
          <w:sz w:val="20"/>
          <w:szCs w:val="20"/>
        </w:rPr>
        <w:t xml:space="preserve"> Da es sich bei Laktat um einen Standardlabortest handelt, kann es als objektiveres Surrogat für die Gewebeperfusion im Vergleich zur körperlichen Untersuchung oder der Urinausscheidung dienen. Fünf RCTs (647 Patienten) haben die laktatgesteuerte Flüssigkeitstherapie bei Patienten mit </w:t>
      </w:r>
      <w:r w:rsidR="00447357" w:rsidRPr="00207748">
        <w:rPr>
          <w:rFonts w:ascii="Cambria" w:hAnsi="Cambria" w:cs="Arial"/>
          <w:sz w:val="20"/>
          <w:szCs w:val="20"/>
        </w:rPr>
        <w:lastRenderedPageBreak/>
        <w:t xml:space="preserve">septischem Schock evaluiert. </w:t>
      </w:r>
      <w:r w:rsidR="00447357" w:rsidRPr="00207748">
        <w:rPr>
          <w:rFonts w:ascii="Cambria" w:eastAsia="Arial" w:hAnsi="Cambria" w:cs="Arial"/>
          <w:sz w:val="20"/>
          <w:szCs w:val="20"/>
          <w:vertAlign w:val="superscript"/>
        </w:rPr>
        <w:endnoteReference w:id="64"/>
      </w:r>
      <w:r w:rsidR="00447357" w:rsidRPr="00207748">
        <w:rPr>
          <w:rFonts w:ascii="Cambria" w:hAnsi="Cambria" w:cs="Arial"/>
          <w:sz w:val="20"/>
          <w:szCs w:val="20"/>
        </w:rPr>
        <w:t xml:space="preserve"> </w:t>
      </w:r>
      <w:r w:rsidR="00447357" w:rsidRPr="00207748">
        <w:rPr>
          <w:rFonts w:ascii="Cambria" w:eastAsia="Arial" w:hAnsi="Cambria" w:cs="Arial"/>
          <w:sz w:val="20"/>
          <w:szCs w:val="20"/>
          <w:vertAlign w:val="superscript"/>
        </w:rPr>
        <w:endnoteReference w:id="65"/>
      </w:r>
      <w:r w:rsidR="00447357" w:rsidRPr="00207748">
        <w:rPr>
          <w:rFonts w:ascii="Cambria" w:hAnsi="Cambria" w:cs="Arial"/>
          <w:sz w:val="20"/>
          <w:szCs w:val="20"/>
        </w:rPr>
        <w:t xml:space="preserve"> </w:t>
      </w:r>
      <w:r w:rsidR="00447357" w:rsidRPr="00207748">
        <w:rPr>
          <w:rFonts w:ascii="Cambria" w:eastAsia="Arial" w:hAnsi="Cambria" w:cs="Arial"/>
          <w:sz w:val="20"/>
          <w:szCs w:val="20"/>
          <w:vertAlign w:val="superscript"/>
        </w:rPr>
        <w:endnoteReference w:id="66"/>
      </w:r>
      <w:r w:rsidR="00447357" w:rsidRPr="00207748">
        <w:rPr>
          <w:rFonts w:ascii="Cambria" w:hAnsi="Cambria" w:cs="Arial"/>
          <w:sz w:val="20"/>
          <w:szCs w:val="20"/>
        </w:rPr>
        <w:t xml:space="preserve"> </w:t>
      </w:r>
      <w:r w:rsidR="00447357" w:rsidRPr="00207748">
        <w:rPr>
          <w:rFonts w:ascii="Cambria" w:eastAsia="Arial" w:hAnsi="Cambria" w:cs="Arial"/>
          <w:sz w:val="20"/>
          <w:szCs w:val="20"/>
          <w:vertAlign w:val="superscript"/>
        </w:rPr>
        <w:endnoteReference w:id="67"/>
      </w:r>
      <w:r w:rsidR="00447357" w:rsidRPr="00207748">
        <w:rPr>
          <w:rFonts w:ascii="Cambria" w:hAnsi="Cambria" w:cs="Arial"/>
          <w:sz w:val="20"/>
          <w:szCs w:val="20"/>
        </w:rPr>
        <w:t xml:space="preserve"> </w:t>
      </w:r>
      <w:r w:rsidR="00447357" w:rsidRPr="00207748">
        <w:rPr>
          <w:rFonts w:ascii="Cambria" w:eastAsia="Arial" w:hAnsi="Cambria" w:cs="Arial"/>
          <w:sz w:val="20"/>
          <w:szCs w:val="20"/>
          <w:vertAlign w:val="superscript"/>
        </w:rPr>
        <w:endnoteReference w:id="68"/>
      </w:r>
      <w:r w:rsidR="00447357" w:rsidRPr="00207748">
        <w:rPr>
          <w:rFonts w:ascii="Cambria" w:hAnsi="Cambria" w:cs="Arial"/>
          <w:sz w:val="20"/>
          <w:szCs w:val="20"/>
        </w:rPr>
        <w:t xml:space="preserve"> Eine signifikante Reduzierung der Mortalität wurde bei der laktatgesteuerten Flüssigkeitstherapie im Vergleich zur Flüssigkeitstherapie ohne Laktatüberwachung beobachtet (RR 0,67; 95 % CI, 0,53–0,84; niedrige </w:t>
      </w:r>
      <w:r w:rsidR="009F1AC3">
        <w:rPr>
          <w:rFonts w:ascii="Cambria" w:hAnsi="Cambria" w:cs="Arial"/>
          <w:sz w:val="20"/>
          <w:szCs w:val="20"/>
        </w:rPr>
        <w:t>Evidenz</w:t>
      </w:r>
      <w:r w:rsidR="00447357" w:rsidRPr="00207748">
        <w:rPr>
          <w:rFonts w:ascii="Cambria" w:hAnsi="Cambria" w:cs="Arial"/>
          <w:sz w:val="20"/>
          <w:szCs w:val="20"/>
        </w:rPr>
        <w:t xml:space="preserve">). Es wurden keine Nachweise in Bezug auf einen Unterschied bei der Aufenthaltsdauer auf der ITS (LOS) erbracht (Mittelwertdifferenz –1,51 Tage; 95 % CI, –3,65 bis 0,62; niedrige </w:t>
      </w:r>
      <w:r w:rsidR="009F1AC3">
        <w:rPr>
          <w:rFonts w:ascii="Cambria" w:hAnsi="Cambria" w:cs="Arial"/>
          <w:sz w:val="20"/>
          <w:szCs w:val="20"/>
        </w:rPr>
        <w:t>Evidenz</w:t>
      </w:r>
      <w:r w:rsidR="00447357" w:rsidRPr="00207748">
        <w:rPr>
          <w:rFonts w:ascii="Cambria" w:hAnsi="Cambria" w:cs="Arial"/>
          <w:sz w:val="20"/>
          <w:szCs w:val="20"/>
        </w:rPr>
        <w:t xml:space="preserve">). Zwei andere Meta-Analysen </w:t>
      </w:r>
      <w:r w:rsidR="009F1AC3">
        <w:rPr>
          <w:rFonts w:ascii="Cambria" w:hAnsi="Cambria" w:cs="Arial"/>
          <w:sz w:val="20"/>
          <w:szCs w:val="20"/>
        </w:rPr>
        <w:t>mit</w:t>
      </w:r>
      <w:r w:rsidR="00447357" w:rsidRPr="00207748">
        <w:rPr>
          <w:rFonts w:ascii="Cambria" w:hAnsi="Cambria" w:cs="Arial"/>
          <w:sz w:val="20"/>
          <w:szCs w:val="20"/>
        </w:rPr>
        <w:t xml:space="preserve"> 647 Patienten, die in diese Studien einbezogen wurden, demonstrierten eine mittlere Evidenzqualität im Hinblick auf eine Reduzierung der Mortalität, wenn eine frühzeitige Laktat-Clearance-Strategie genutzt wurde, verglichen mit </w:t>
      </w:r>
      <w:r w:rsidR="009F1AC3">
        <w:rPr>
          <w:rFonts w:ascii="Cambria" w:hAnsi="Cambria" w:cs="Arial"/>
          <w:sz w:val="20"/>
          <w:szCs w:val="20"/>
        </w:rPr>
        <w:t>einer Standardtherapie</w:t>
      </w:r>
      <w:r w:rsidR="00447357" w:rsidRPr="00207748">
        <w:rPr>
          <w:rFonts w:ascii="Cambria" w:hAnsi="Cambria" w:cs="Arial"/>
          <w:sz w:val="20"/>
          <w:szCs w:val="20"/>
        </w:rPr>
        <w:t xml:space="preserve"> (nicht spezifiziert) oder mit einer ScvO</w:t>
      </w:r>
      <w:r w:rsidR="00447357" w:rsidRPr="00207748">
        <w:rPr>
          <w:rFonts w:ascii="Cambria" w:hAnsi="Cambria" w:cs="Arial"/>
          <w:sz w:val="20"/>
          <w:szCs w:val="20"/>
          <w:vertAlign w:val="subscript"/>
        </w:rPr>
        <w:t>2</w:t>
      </w:r>
      <w:r w:rsidR="00447357" w:rsidRPr="00207748">
        <w:rPr>
          <w:rFonts w:ascii="Cambria" w:hAnsi="Cambria" w:cs="Arial"/>
          <w:sz w:val="20"/>
          <w:szCs w:val="20"/>
        </w:rPr>
        <w:t xml:space="preserve">-Normalisierungsstrategie. </w:t>
      </w:r>
      <w:r w:rsidR="00447357" w:rsidRPr="00207748">
        <w:rPr>
          <w:rFonts w:ascii="Cambria" w:eastAsia="Arial" w:hAnsi="Cambria" w:cs="Arial"/>
          <w:sz w:val="20"/>
          <w:szCs w:val="20"/>
          <w:vertAlign w:val="superscript"/>
        </w:rPr>
        <w:endnoteReference w:id="69"/>
      </w:r>
      <w:r w:rsidR="00447357" w:rsidRPr="00207748">
        <w:rPr>
          <w:rFonts w:ascii="Cambria" w:hAnsi="Cambria" w:cs="Arial"/>
          <w:sz w:val="20"/>
          <w:szCs w:val="20"/>
        </w:rPr>
        <w:t xml:space="preserve"> </w:t>
      </w:r>
      <w:r w:rsidR="00447357" w:rsidRPr="00207748">
        <w:rPr>
          <w:rFonts w:ascii="Cambria" w:eastAsia="Arial" w:hAnsi="Cambria" w:cs="Arial"/>
          <w:sz w:val="20"/>
          <w:szCs w:val="20"/>
          <w:vertAlign w:val="superscript"/>
        </w:rPr>
        <w:endnoteReference w:id="70"/>
      </w:r>
      <w:bookmarkStart w:id="346" w:name="_Toc25845109"/>
    </w:p>
    <w:p w14:paraId="6EE8AB19" w14:textId="77777777" w:rsidR="00E11869" w:rsidRPr="00182D07" w:rsidRDefault="00447357" w:rsidP="004454B6">
      <w:pPr>
        <w:pStyle w:val="berschrift2"/>
        <w:rPr>
          <w:b w:val="0"/>
        </w:rPr>
      </w:pPr>
      <w:bookmarkStart w:id="347" w:name="_Toc437861457"/>
      <w:bookmarkStart w:id="348" w:name="_Toc31278495"/>
      <w:r w:rsidRPr="00182D07">
        <w:t>B. Leitlinienimplementierung</w:t>
      </w:r>
      <w:bookmarkEnd w:id="346"/>
      <w:bookmarkEnd w:id="347"/>
      <w:bookmarkEnd w:id="348"/>
    </w:p>
    <w:p w14:paraId="6EF8CBD9" w14:textId="77777777" w:rsidR="00E11869" w:rsidRPr="00207748" w:rsidRDefault="00E11869" w:rsidP="00FB33A2">
      <w:pPr>
        <w:pStyle w:val="KeinLeerraum"/>
      </w:pP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762"/>
        <w:gridCol w:w="1659"/>
        <w:gridCol w:w="804"/>
      </w:tblGrid>
      <w:tr w:rsidR="00E11869" w:rsidRPr="00207748" w14:paraId="3394EC9E"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9B14814"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t>B.1</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01271809"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3D1D2E8"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2018</w:t>
            </w:r>
          </w:p>
        </w:tc>
      </w:tr>
      <w:tr w:rsidR="00E11869" w:rsidRPr="00207748" w14:paraId="20F311CC" w14:textId="77777777" w:rsidTr="00342FB3">
        <w:trPr>
          <w:trHeight w:val="252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4642A3"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Expertenkonsens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74DDD"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Wir empfehlen Krankenhäusern Programme zur Implementierung der Leitlinie zu initiieren und umzusetzen</w:t>
            </w:r>
            <w:r w:rsidR="00342FB3" w:rsidRPr="00207748">
              <w:rPr>
                <w:rFonts w:ascii="Cambria" w:hAnsi="Cambria" w:cs="Arial"/>
                <w:b/>
                <w:bCs/>
                <w:sz w:val="20"/>
                <w:szCs w:val="20"/>
              </w:rPr>
              <w:t>,</w:t>
            </w:r>
            <w:r w:rsidRPr="00207748">
              <w:rPr>
                <w:rFonts w:ascii="Cambria" w:hAnsi="Cambria" w:cs="Arial"/>
                <w:b/>
                <w:bCs/>
                <w:sz w:val="20"/>
                <w:szCs w:val="20"/>
              </w:rPr>
              <w:t xml:space="preserve"> einschließlich eines Screenings für Risikopatienten</w:t>
            </w:r>
            <w:r w:rsidR="00E873A9" w:rsidRPr="00207748">
              <w:rPr>
                <w:rFonts w:ascii="Cambria" w:hAnsi="Cambria" w:cs="Arial"/>
                <w:b/>
                <w:bCs/>
                <w:sz w:val="20"/>
                <w:szCs w:val="20"/>
              </w:rPr>
              <w:t>.</w:t>
            </w:r>
          </w:p>
        </w:tc>
      </w:tr>
      <w:tr w:rsidR="00E11869" w:rsidRPr="00207748" w14:paraId="22A589A2" w14:textId="77777777" w:rsidTr="00342FB3">
        <w:trPr>
          <w:trHeight w:val="56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27FE71EA"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4D753"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SSC</w:t>
            </w:r>
            <w:r w:rsidR="00420A45" w:rsidRPr="00207748">
              <w:rPr>
                <w:rFonts w:ascii="Cambria" w:hAnsi="Cambria" w:cs="Arial"/>
                <w:b/>
                <w:bCs/>
                <w:sz w:val="20"/>
                <w:szCs w:val="20"/>
              </w:rPr>
              <w:t>-</w:t>
            </w:r>
            <w:r w:rsidRPr="00207748">
              <w:rPr>
                <w:rFonts w:ascii="Cambria" w:hAnsi="Cambria" w:cs="Arial"/>
                <w:b/>
                <w:bCs/>
                <w:sz w:val="20"/>
                <w:szCs w:val="20"/>
              </w:rPr>
              <w:t>Leitlinien</w:t>
            </w:r>
            <w:r w:rsidR="00420A45" w:rsidRPr="00207748">
              <w:rPr>
                <w:rFonts w:ascii="Cambria" w:hAnsi="Cambria" w:cs="Arial"/>
                <w:b/>
                <w:bCs/>
                <w:sz w:val="20"/>
                <w:szCs w:val="20"/>
              </w:rPr>
              <w:t>adaptation</w:t>
            </w:r>
          </w:p>
        </w:tc>
      </w:tr>
      <w:tr w:rsidR="00E11869" w:rsidRPr="00207748" w14:paraId="2C6DD7B7"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DD6B4"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2A2D7" w14:textId="77777777" w:rsidR="00E11869" w:rsidRPr="00207748" w:rsidRDefault="00447357" w:rsidP="004454B6">
            <w:pPr>
              <w:spacing w:after="0"/>
              <w:rPr>
                <w:rFonts w:ascii="Cambria" w:hAnsi="Cambria" w:cs="Arial"/>
                <w:sz w:val="20"/>
                <w:szCs w:val="20"/>
              </w:rPr>
            </w:pPr>
            <w:r w:rsidRPr="00207748">
              <w:rPr>
                <w:rFonts w:ascii="Cambria" w:hAnsi="Cambria" w:cs="Arial"/>
                <w:sz w:val="20"/>
                <w:szCs w:val="20"/>
              </w:rPr>
              <w:t xml:space="preserve">Konsensstärke: 100 % </w:t>
            </w:r>
          </w:p>
        </w:tc>
      </w:tr>
    </w:tbl>
    <w:p w14:paraId="549EC967" w14:textId="53203CF9" w:rsidR="00E11869" w:rsidRPr="00207748" w:rsidRDefault="00342FB3" w:rsidP="004454B6">
      <w:pPr>
        <w:spacing w:before="240"/>
        <w:rPr>
          <w:rFonts w:ascii="Cambria" w:eastAsia="Arial" w:hAnsi="Cambria" w:cs="Arial"/>
          <w:sz w:val="20"/>
          <w:szCs w:val="20"/>
        </w:rPr>
      </w:pPr>
      <w:r w:rsidRPr="00207748">
        <w:rPr>
          <w:rFonts w:ascii="Cambria" w:hAnsi="Cambria" w:cs="Arial"/>
          <w:b/>
          <w:bCs/>
          <w:sz w:val="20"/>
          <w:szCs w:val="20"/>
        </w:rPr>
        <w:t>Begründung</w:t>
      </w:r>
      <w:r w:rsidR="00447357" w:rsidRPr="00207748">
        <w:rPr>
          <w:rFonts w:ascii="Cambria" w:hAnsi="Cambria" w:cs="Arial"/>
          <w:b/>
          <w:bCs/>
          <w:sz w:val="20"/>
          <w:szCs w:val="20"/>
        </w:rPr>
        <w:t xml:space="preserve">: </w:t>
      </w:r>
      <w:r w:rsidR="00447357" w:rsidRPr="00207748">
        <w:rPr>
          <w:rFonts w:ascii="Cambria" w:hAnsi="Cambria" w:cs="Arial"/>
          <w:sz w:val="20"/>
          <w:szCs w:val="20"/>
        </w:rPr>
        <w:t>Strategien zur Qualitätssicherung können dabei helfen, d</w:t>
      </w:r>
      <w:r w:rsidR="00AC0413">
        <w:rPr>
          <w:rFonts w:ascii="Cambria" w:hAnsi="Cambria" w:cs="Arial"/>
          <w:sz w:val="20"/>
          <w:szCs w:val="20"/>
        </w:rPr>
        <w:t>as outcome</w:t>
      </w:r>
      <w:r w:rsidR="002B1061">
        <w:rPr>
          <w:rFonts w:ascii="Cambria" w:hAnsi="Cambria" w:cs="Arial"/>
          <w:sz w:val="20"/>
          <w:szCs w:val="20"/>
        </w:rPr>
        <w:t xml:space="preserve"> </w:t>
      </w:r>
      <w:r w:rsidR="00447357" w:rsidRPr="00207748">
        <w:rPr>
          <w:rFonts w:ascii="Cambria" w:hAnsi="Cambria" w:cs="Arial"/>
          <w:sz w:val="20"/>
          <w:szCs w:val="20"/>
        </w:rPr>
        <w:t xml:space="preserve">von Sepsis-Patienten </w:t>
      </w:r>
      <w:r w:rsidR="00AC0413">
        <w:rPr>
          <w:rFonts w:ascii="Cambria" w:hAnsi="Cambria" w:cs="Arial"/>
          <w:sz w:val="20"/>
          <w:szCs w:val="20"/>
        </w:rPr>
        <w:t xml:space="preserve">günstig </w:t>
      </w:r>
      <w:r w:rsidR="00447357" w:rsidRPr="00207748">
        <w:rPr>
          <w:rFonts w:ascii="Cambria" w:hAnsi="Cambria" w:cs="Arial"/>
          <w:sz w:val="20"/>
          <w:szCs w:val="20"/>
        </w:rPr>
        <w:t xml:space="preserve">zu </w:t>
      </w:r>
      <w:r w:rsidR="00AC0413">
        <w:rPr>
          <w:rFonts w:ascii="Cambria" w:hAnsi="Cambria" w:cs="Arial"/>
          <w:sz w:val="20"/>
          <w:szCs w:val="20"/>
        </w:rPr>
        <w:t>beeinflussen</w:t>
      </w:r>
      <w:r w:rsidR="00447357" w:rsidRPr="00207748">
        <w:rPr>
          <w:rFonts w:ascii="Cambria" w:hAnsi="Cambria" w:cs="Arial"/>
          <w:sz w:val="20"/>
          <w:szCs w:val="20"/>
        </w:rPr>
        <w:t xml:space="preserve">. </w:t>
      </w:r>
      <w:r w:rsidR="00447357" w:rsidRPr="00207748">
        <w:rPr>
          <w:rFonts w:ascii="Cambria" w:eastAsia="Arial" w:hAnsi="Cambria" w:cs="Arial"/>
          <w:sz w:val="20"/>
          <w:szCs w:val="20"/>
          <w:vertAlign w:val="superscript"/>
        </w:rPr>
        <w:endnoteReference w:id="71"/>
      </w:r>
      <w:r w:rsidR="00447357" w:rsidRPr="00207748">
        <w:rPr>
          <w:rFonts w:ascii="Cambria" w:hAnsi="Cambria" w:cs="Arial"/>
          <w:sz w:val="20"/>
          <w:szCs w:val="20"/>
        </w:rPr>
        <w:t xml:space="preserve"> Sie fußen im Idealfall auf </w:t>
      </w:r>
      <w:r w:rsidR="00AC0413" w:rsidRPr="00207748">
        <w:rPr>
          <w:rFonts w:ascii="Cambria" w:hAnsi="Cambria" w:cs="Arial"/>
          <w:sz w:val="20"/>
          <w:szCs w:val="20"/>
        </w:rPr>
        <w:t>eine</w:t>
      </w:r>
      <w:r w:rsidR="00AC0413">
        <w:rPr>
          <w:rFonts w:ascii="Cambria" w:hAnsi="Cambria" w:cs="Arial"/>
          <w:sz w:val="20"/>
          <w:szCs w:val="20"/>
        </w:rPr>
        <w:t>r</w:t>
      </w:r>
      <w:r w:rsidR="00447357" w:rsidRPr="00207748">
        <w:rPr>
          <w:rFonts w:ascii="Cambria" w:hAnsi="Cambria" w:cs="Arial"/>
          <w:sz w:val="20"/>
          <w:szCs w:val="20"/>
        </w:rPr>
        <w:t xml:space="preserve">interdisziplinäre Kooperation zwischen allen Fachgebieten. Erfolgreiche Programme zur Qualitätssicherung setzen eine sorgfältige Protokollentwicklung und -umsetzung voraus, </w:t>
      </w:r>
      <w:r w:rsidR="00EC3DBA" w:rsidRPr="00207748">
        <w:rPr>
          <w:rFonts w:ascii="Cambria" w:hAnsi="Cambria" w:cs="Arial"/>
          <w:sz w:val="20"/>
          <w:szCs w:val="20"/>
        </w:rPr>
        <w:t>einschließlich</w:t>
      </w:r>
      <w:r w:rsidR="00447357" w:rsidRPr="00207748">
        <w:rPr>
          <w:rFonts w:ascii="Cambria" w:hAnsi="Cambria" w:cs="Arial"/>
          <w:sz w:val="20"/>
          <w:szCs w:val="20"/>
        </w:rPr>
        <w:t xml:space="preserve"> der zu evaluierenden Messwerte, der Datenerhebung und der </w:t>
      </w:r>
      <w:r w:rsidR="00EC3DBA" w:rsidRPr="00207748">
        <w:rPr>
          <w:rFonts w:ascii="Cambria" w:hAnsi="Cambria" w:cs="Arial"/>
          <w:sz w:val="20"/>
          <w:szCs w:val="20"/>
        </w:rPr>
        <w:t>Maßnahmen</w:t>
      </w:r>
      <w:r w:rsidR="00447357" w:rsidRPr="00207748">
        <w:rPr>
          <w:rFonts w:ascii="Cambria" w:hAnsi="Cambria" w:cs="Arial"/>
          <w:sz w:val="20"/>
          <w:szCs w:val="20"/>
        </w:rPr>
        <w:t xml:space="preserve"> zur Gewährleistung kontinuierlicher Rückmeldung an die Teilnehmer</w:t>
      </w:r>
      <w:r w:rsidR="00C61823" w:rsidRPr="00207748">
        <w:rPr>
          <w:rFonts w:ascii="Cambria" w:hAnsi="Cambria" w:cs="Arial"/>
          <w:sz w:val="20"/>
          <w:szCs w:val="20"/>
        </w:rPr>
        <w:t xml:space="preserve">. </w:t>
      </w:r>
      <w:r w:rsidR="00447357" w:rsidRPr="00207748">
        <w:rPr>
          <w:rFonts w:ascii="Cambria" w:eastAsia="Arial" w:hAnsi="Cambria" w:cs="Arial"/>
          <w:sz w:val="20"/>
          <w:szCs w:val="20"/>
          <w:vertAlign w:val="superscript"/>
        </w:rPr>
        <w:endnoteReference w:id="72"/>
      </w:r>
      <w:r w:rsidR="00447357" w:rsidRPr="00207748">
        <w:rPr>
          <w:rFonts w:ascii="Cambria" w:hAnsi="Cambria" w:cs="Arial"/>
          <w:sz w:val="20"/>
          <w:szCs w:val="20"/>
        </w:rPr>
        <w:t xml:space="preserve"> </w:t>
      </w:r>
      <w:r w:rsidR="00447357" w:rsidRPr="00207748">
        <w:rPr>
          <w:rFonts w:ascii="Cambria" w:eastAsia="Arial" w:hAnsi="Cambria" w:cs="Arial"/>
          <w:sz w:val="20"/>
          <w:szCs w:val="20"/>
          <w:vertAlign w:val="superscript"/>
        </w:rPr>
        <w:endnoteReference w:id="73"/>
      </w:r>
    </w:p>
    <w:p w14:paraId="6AA15094" w14:textId="377667D2" w:rsidR="00E11869" w:rsidRPr="00207748" w:rsidRDefault="00447357" w:rsidP="004454B6">
      <w:pPr>
        <w:rPr>
          <w:rFonts w:ascii="Cambria" w:eastAsia="Arial" w:hAnsi="Cambria" w:cs="Arial"/>
          <w:sz w:val="20"/>
          <w:szCs w:val="20"/>
        </w:rPr>
      </w:pPr>
      <w:r w:rsidRPr="00207748">
        <w:rPr>
          <w:rFonts w:ascii="Cambria" w:hAnsi="Cambria" w:cs="Arial"/>
          <w:sz w:val="20"/>
          <w:szCs w:val="20"/>
        </w:rPr>
        <w:lastRenderedPageBreak/>
        <w:t>Strategien zur Qualitätssicherung können auf eine frühzeitige Erkennung einer Sepsis ausgerichtet sein. Dazu können geeignete Screening-Maßnahmen beitragen</w:t>
      </w:r>
      <w:r w:rsidR="001A58EF" w:rsidRPr="00207748">
        <w:rPr>
          <w:rFonts w:ascii="Cambria" w:hAnsi="Cambria" w:cs="Arial"/>
          <w:sz w:val="20"/>
          <w:szCs w:val="20"/>
        </w:rPr>
        <w:t xml:space="preserve"> </w:t>
      </w:r>
      <w:r w:rsidRPr="00207748">
        <w:rPr>
          <w:rFonts w:ascii="Cambria" w:hAnsi="Cambria" w:cs="Arial"/>
          <w:sz w:val="20"/>
          <w:szCs w:val="20"/>
        </w:rPr>
        <w:t>oder eine Optimierung des Patientenmanagements. Die frühzeitige Identifizierung von Patienten mit Sepsis ist von hoher Bedeutung, da eine unverzügliche Therapie die Überlebenschancen wesentlich verbessern und Folgeschäden reduzieren kann</w:t>
      </w:r>
      <w:r w:rsidR="00C61823" w:rsidRPr="00207748">
        <w:rPr>
          <w:rFonts w:ascii="Cambria" w:hAnsi="Cambria" w:cs="Arial"/>
          <w:sz w:val="20"/>
          <w:szCs w:val="20"/>
        </w:rPr>
        <w:t xml:space="preserve">. </w:t>
      </w:r>
      <w:r w:rsidRPr="00207748">
        <w:rPr>
          <w:rFonts w:ascii="Cambria" w:eastAsia="Arial" w:hAnsi="Cambria" w:cs="Arial"/>
          <w:sz w:val="20"/>
          <w:szCs w:val="20"/>
          <w:vertAlign w:val="superscript"/>
        </w:rPr>
        <w:endnoteReference w:id="74"/>
      </w:r>
      <w:r w:rsidRPr="00207748">
        <w:rPr>
          <w:rFonts w:ascii="Cambria" w:hAnsi="Cambria" w:cs="Arial"/>
          <w:sz w:val="20"/>
          <w:szCs w:val="20"/>
        </w:rPr>
        <w:t xml:space="preserve"> </w:t>
      </w:r>
      <w:r w:rsidRPr="00207748">
        <w:rPr>
          <w:rFonts w:ascii="Cambria" w:eastAsia="Arial" w:hAnsi="Cambria" w:cs="Arial"/>
          <w:sz w:val="20"/>
          <w:szCs w:val="20"/>
          <w:vertAlign w:val="superscript"/>
        </w:rPr>
        <w:endnoteReference w:id="75"/>
      </w:r>
      <w:r w:rsidRPr="00207748">
        <w:rPr>
          <w:rFonts w:ascii="Cambria" w:hAnsi="Cambria" w:cs="Arial"/>
          <w:sz w:val="20"/>
          <w:szCs w:val="20"/>
        </w:rPr>
        <w:t xml:space="preserve"> </w:t>
      </w:r>
      <w:r w:rsidR="000F0DC9" w:rsidRPr="00EF1A9E">
        <w:rPr>
          <w:rStyle w:val="EndnoteRealZchn"/>
        </w:rPr>
        <w:fldChar w:fldCharType="begin"/>
      </w:r>
      <w:r w:rsidR="000F0DC9" w:rsidRPr="00EF1A9E">
        <w:rPr>
          <w:rStyle w:val="EndnoteRealZchn"/>
        </w:rPr>
        <w:instrText xml:space="preserve"> NOTEREF _Ref30426071 \h </w:instrText>
      </w:r>
      <w:r w:rsidR="00EF1A9E">
        <w:rPr>
          <w:rStyle w:val="EndnoteRealZchn"/>
        </w:rPr>
        <w:instrText xml:space="preserve"> \* MERGEFORMAT </w:instrText>
      </w:r>
      <w:r w:rsidR="000F0DC9" w:rsidRPr="00EF1A9E">
        <w:rPr>
          <w:rStyle w:val="EndnoteRealZchn"/>
        </w:rPr>
      </w:r>
      <w:r w:rsidR="000F0DC9" w:rsidRPr="00EF1A9E">
        <w:rPr>
          <w:rStyle w:val="EndnoteRealZchn"/>
        </w:rPr>
        <w:fldChar w:fldCharType="separate"/>
      </w:r>
      <w:r w:rsidR="001A283B" w:rsidRPr="00EF1A9E">
        <w:rPr>
          <w:rStyle w:val="EndnoteRealZchn"/>
        </w:rPr>
        <w:t>37</w:t>
      </w:r>
      <w:r w:rsidR="000F0DC9" w:rsidRPr="00EF1A9E">
        <w:rPr>
          <w:rStyle w:val="EndnoteRealZchn"/>
        </w:rPr>
        <w:fldChar w:fldCharType="end"/>
      </w:r>
      <w:r w:rsidRPr="00207748">
        <w:rPr>
          <w:rFonts w:ascii="Cambria" w:hAnsi="Cambria" w:cs="Arial"/>
          <w:sz w:val="20"/>
          <w:szCs w:val="20"/>
        </w:rPr>
        <w:t xml:space="preserve"> </w:t>
      </w:r>
      <w:r w:rsidRPr="00207748">
        <w:rPr>
          <w:rFonts w:ascii="Cambria" w:eastAsia="Arial" w:hAnsi="Cambria" w:cs="Arial"/>
          <w:sz w:val="20"/>
          <w:szCs w:val="20"/>
          <w:vertAlign w:val="superscript"/>
        </w:rPr>
        <w:endnoteReference w:id="76"/>
      </w:r>
    </w:p>
    <w:p w14:paraId="499D27A4" w14:textId="2E66D602" w:rsidR="00E11869" w:rsidRDefault="00447357" w:rsidP="004454B6">
      <w:pPr>
        <w:rPr>
          <w:rFonts w:ascii="Cambria" w:hAnsi="Cambria" w:cs="Arial"/>
          <w:sz w:val="20"/>
          <w:szCs w:val="20"/>
        </w:rPr>
      </w:pPr>
      <w:r w:rsidRPr="00207748">
        <w:rPr>
          <w:rFonts w:ascii="Cambria" w:hAnsi="Cambria" w:cs="Arial"/>
          <w:sz w:val="20"/>
          <w:szCs w:val="20"/>
        </w:rPr>
        <w:t>Eine Meta-Analyse von 50 Observationsstudien hat gezeigt, dass Programme zur Qualitätssicherung in der Versorgung von Sepsis-Patienten mit einer signifikant verbesserten Compliance mit den Leitlinienempfehlungen der SSC und einer geringeren Krankenhaus</w:t>
      </w:r>
      <w:r w:rsidR="00AC0413">
        <w:rPr>
          <w:rFonts w:ascii="Cambria" w:hAnsi="Cambria" w:cs="Arial"/>
          <w:sz w:val="20"/>
          <w:szCs w:val="20"/>
        </w:rPr>
        <w:t>mortalität</w:t>
      </w:r>
      <w:r w:rsidRPr="00207748">
        <w:rPr>
          <w:rFonts w:ascii="Cambria" w:hAnsi="Cambria" w:cs="Arial"/>
          <w:sz w:val="20"/>
          <w:szCs w:val="20"/>
        </w:rPr>
        <w:t xml:space="preserve"> verbunden waren (OR 0,66; 95 % CI, 0,61–0,72)</w:t>
      </w:r>
      <w:r w:rsidR="00C61823" w:rsidRPr="00207748">
        <w:rPr>
          <w:rFonts w:ascii="Cambria" w:hAnsi="Cambria" w:cs="Arial"/>
          <w:sz w:val="20"/>
          <w:szCs w:val="20"/>
        </w:rPr>
        <w:t xml:space="preserve">. </w:t>
      </w:r>
      <w:r w:rsidRPr="00207748">
        <w:rPr>
          <w:rFonts w:ascii="Cambria" w:eastAsia="Arial" w:hAnsi="Cambria" w:cs="Arial"/>
          <w:sz w:val="20"/>
          <w:szCs w:val="20"/>
          <w:vertAlign w:val="superscript"/>
        </w:rPr>
        <w:endnoteReference w:id="77"/>
      </w:r>
      <w:r w:rsidRPr="00207748">
        <w:rPr>
          <w:rFonts w:ascii="Cambria" w:hAnsi="Cambria" w:cs="Arial"/>
          <w:sz w:val="20"/>
          <w:szCs w:val="20"/>
        </w:rPr>
        <w:t xml:space="preserve"> Die bisher größte Studie, welche die Beziehung zwischen der Compliance mit den SSC-Leitlinien (basierend auf den SSC-Leitlinien aus dem Jahr 2004) und der Krankenhaus</w:t>
      </w:r>
      <w:r w:rsidR="00AC0413">
        <w:rPr>
          <w:rFonts w:ascii="Cambria" w:hAnsi="Cambria" w:cs="Arial"/>
          <w:sz w:val="20"/>
          <w:szCs w:val="20"/>
        </w:rPr>
        <w:t>mortalität</w:t>
      </w:r>
      <w:r w:rsidRPr="00207748">
        <w:rPr>
          <w:rFonts w:ascii="Cambria" w:hAnsi="Cambria" w:cs="Arial"/>
          <w:sz w:val="20"/>
          <w:szCs w:val="20"/>
        </w:rPr>
        <w:t xml:space="preserve"> </w:t>
      </w:r>
      <w:r w:rsidR="002208D2" w:rsidRPr="00207748">
        <w:rPr>
          <w:rFonts w:ascii="Cambria" w:hAnsi="Cambria" w:cs="Arial"/>
          <w:sz w:val="20"/>
          <w:szCs w:val="20"/>
        </w:rPr>
        <w:t>untersuchte, beinhaltete</w:t>
      </w:r>
      <w:r w:rsidRPr="00207748">
        <w:rPr>
          <w:rFonts w:ascii="Cambria" w:hAnsi="Cambria" w:cs="Arial"/>
          <w:sz w:val="20"/>
          <w:szCs w:val="20"/>
        </w:rPr>
        <w:t xml:space="preserve"> 29.470 Patienten in 218 Krankenhäusern in den USA, Europa und Südamerika über einen Zeitraum von 7,5 Jahren</w:t>
      </w:r>
      <w:r w:rsidR="00C61823" w:rsidRPr="00207748">
        <w:rPr>
          <w:rFonts w:ascii="Cambria" w:hAnsi="Cambria" w:cs="Arial"/>
          <w:sz w:val="20"/>
          <w:szCs w:val="20"/>
        </w:rPr>
        <w:t xml:space="preserve">. </w:t>
      </w:r>
      <w:r w:rsidR="000F0DC9">
        <w:rPr>
          <w:rFonts w:ascii="Cambria" w:eastAsia="Arial" w:hAnsi="Cambria" w:cs="Arial"/>
          <w:sz w:val="20"/>
          <w:szCs w:val="20"/>
          <w:vertAlign w:val="superscript"/>
        </w:rPr>
        <w:fldChar w:fldCharType="begin"/>
      </w:r>
      <w:r w:rsidR="000F0DC9">
        <w:rPr>
          <w:rFonts w:ascii="Cambria" w:hAnsi="Cambria" w:cs="Arial"/>
          <w:sz w:val="20"/>
          <w:szCs w:val="20"/>
        </w:rPr>
        <w:instrText xml:space="preserve"> NOTEREF _Ref30426148 \h </w:instrText>
      </w:r>
      <w:r w:rsidR="000F0DC9">
        <w:rPr>
          <w:rFonts w:ascii="Cambria" w:eastAsia="Arial" w:hAnsi="Cambria" w:cs="Arial"/>
          <w:sz w:val="20"/>
          <w:szCs w:val="20"/>
          <w:vertAlign w:val="superscript"/>
        </w:rPr>
      </w:r>
      <w:r w:rsidR="000F0DC9">
        <w:rPr>
          <w:rFonts w:ascii="Cambria" w:eastAsia="Arial" w:hAnsi="Cambria" w:cs="Arial"/>
          <w:sz w:val="20"/>
          <w:szCs w:val="20"/>
          <w:vertAlign w:val="superscript"/>
        </w:rPr>
        <w:fldChar w:fldCharType="separate"/>
      </w:r>
      <w:r w:rsidR="001A283B">
        <w:rPr>
          <w:rFonts w:ascii="Cambria" w:hAnsi="Cambria" w:cs="Arial"/>
          <w:sz w:val="20"/>
          <w:szCs w:val="20"/>
        </w:rPr>
        <w:t>38</w:t>
      </w:r>
      <w:r w:rsidR="000F0DC9">
        <w:rPr>
          <w:rFonts w:ascii="Cambria" w:eastAsia="Arial" w:hAnsi="Cambria" w:cs="Arial"/>
          <w:sz w:val="20"/>
          <w:szCs w:val="20"/>
          <w:vertAlign w:val="superscript"/>
        </w:rPr>
        <w:fldChar w:fldCharType="end"/>
      </w:r>
      <w:r w:rsidR="000F0DC9">
        <w:rPr>
          <w:rFonts w:ascii="Cambria" w:eastAsia="Arial" w:hAnsi="Cambria" w:cs="Arial"/>
          <w:sz w:val="20"/>
          <w:szCs w:val="20"/>
          <w:vertAlign w:val="superscript"/>
        </w:rPr>
        <w:t xml:space="preserve"> </w:t>
      </w:r>
      <w:r w:rsidRPr="00207748">
        <w:rPr>
          <w:rFonts w:ascii="Cambria" w:hAnsi="Cambria" w:cs="Arial"/>
          <w:sz w:val="20"/>
          <w:szCs w:val="20"/>
        </w:rPr>
        <w:t>Die Krankenhaus</w:t>
      </w:r>
      <w:r w:rsidR="00AC0413">
        <w:rPr>
          <w:rFonts w:ascii="Cambria" w:hAnsi="Cambria" w:cs="Arial"/>
          <w:sz w:val="20"/>
          <w:szCs w:val="20"/>
        </w:rPr>
        <w:t>mortalität</w:t>
      </w:r>
      <w:r w:rsidRPr="00207748">
        <w:rPr>
          <w:rFonts w:ascii="Cambria" w:hAnsi="Cambria" w:cs="Arial"/>
          <w:sz w:val="20"/>
          <w:szCs w:val="20"/>
        </w:rPr>
        <w:t xml:space="preserve"> verringerte sich um 0,7 % für alle 3 Monate, in denen ein Krankenhaus die SSC-Leitlinien umsetzte, was mit einem Rückgang der Aufenthaltsdauer auf ITS um 4 % für jede 10 %ige Verbesserung der Compliance in Bezug auf die Empfehlungen verbunden war. Dieser Nutzen wurde zudem in einem breiten geografischen Spektrum nachgewiesen. Eine Studie an 1.794 Patienten aus 62 Ländern mit schwerer Sepsis (die nunmehr als „Sepsis“ gemäß der Sepsis-3-Definition bezeichnet wird </w:t>
      </w:r>
      <w:r w:rsidR="00587AE4" w:rsidRPr="00E15D93">
        <w:rPr>
          <w:rStyle w:val="EndnoteRealZchn"/>
        </w:rPr>
        <w:fldChar w:fldCharType="begin"/>
      </w:r>
      <w:r w:rsidR="00587AE4" w:rsidRPr="00E15D93">
        <w:rPr>
          <w:rStyle w:val="EndnoteRealZchn"/>
        </w:rPr>
        <w:instrText xml:space="preserve"> NOTEREF _Ref30423872 \h </w:instrText>
      </w:r>
      <w:r w:rsidR="00E15D93">
        <w:rPr>
          <w:rStyle w:val="EndnoteRealZchn"/>
        </w:rPr>
        <w:instrText xml:space="preserve"> \* MERGEFORMAT </w:instrText>
      </w:r>
      <w:r w:rsidR="00587AE4" w:rsidRPr="00E15D93">
        <w:rPr>
          <w:rStyle w:val="EndnoteRealZchn"/>
        </w:rPr>
      </w:r>
      <w:r w:rsidR="00587AE4" w:rsidRPr="00E15D93">
        <w:rPr>
          <w:rStyle w:val="EndnoteRealZchn"/>
        </w:rPr>
        <w:fldChar w:fldCharType="separate"/>
      </w:r>
      <w:r w:rsidR="001A283B" w:rsidRPr="00E15D93">
        <w:rPr>
          <w:rStyle w:val="EndnoteRealZchn"/>
        </w:rPr>
        <w:t>1</w:t>
      </w:r>
      <w:r w:rsidR="00587AE4" w:rsidRPr="00E15D93">
        <w:rPr>
          <w:rStyle w:val="EndnoteRealZchn"/>
        </w:rPr>
        <w:fldChar w:fldCharType="end"/>
      </w:r>
      <w:r w:rsidR="00AC0413">
        <w:rPr>
          <w:rFonts w:ascii="Cambria" w:hAnsi="Cambria" w:cs="Arial"/>
          <w:sz w:val="20"/>
          <w:szCs w:val="20"/>
        </w:rPr>
        <w:t>)</w:t>
      </w:r>
      <w:r w:rsidRPr="00207748">
        <w:rPr>
          <w:rFonts w:ascii="Cambria" w:hAnsi="Cambria" w:cs="Arial"/>
          <w:sz w:val="20"/>
          <w:szCs w:val="20"/>
        </w:rPr>
        <w:t xml:space="preserve"> bzw.</w:t>
      </w:r>
      <w:r w:rsidR="00EC3DBA" w:rsidRPr="00207748">
        <w:rPr>
          <w:rFonts w:ascii="Cambria" w:hAnsi="Cambria" w:cs="Arial"/>
          <w:sz w:val="20"/>
          <w:szCs w:val="20"/>
        </w:rPr>
        <w:t xml:space="preserve"> </w:t>
      </w:r>
      <w:r w:rsidRPr="00207748">
        <w:rPr>
          <w:rFonts w:ascii="Cambria" w:hAnsi="Cambria" w:cs="Arial"/>
          <w:sz w:val="20"/>
          <w:szCs w:val="20"/>
        </w:rPr>
        <w:t>septischem Schock zeigte eine Reduzierung der Wahrscheinlichkeit im Krankenhaus zu versterben in Höhe von 36 % - 40 % im Falle einer Compliance mit den SSC-Leitlinien auf</w:t>
      </w:r>
      <w:r w:rsidR="00C61823" w:rsidRPr="00207748">
        <w:rPr>
          <w:rFonts w:ascii="Cambria" w:hAnsi="Cambria" w:cs="Arial"/>
          <w:sz w:val="20"/>
          <w:szCs w:val="20"/>
        </w:rPr>
        <w:t>.</w:t>
      </w:r>
      <w:r w:rsidRPr="00207748">
        <w:rPr>
          <w:rFonts w:ascii="Cambria" w:hAnsi="Cambria" w:cs="Arial"/>
          <w:sz w:val="20"/>
          <w:szCs w:val="20"/>
        </w:rPr>
        <w:t xml:space="preserve"> </w:t>
      </w:r>
      <w:bookmarkStart w:id="349" w:name="_Ref31189487"/>
      <w:r w:rsidRPr="00207748">
        <w:rPr>
          <w:rFonts w:ascii="Cambria" w:eastAsia="Arial" w:hAnsi="Cambria" w:cs="Arial"/>
          <w:sz w:val="20"/>
          <w:szCs w:val="20"/>
          <w:vertAlign w:val="superscript"/>
        </w:rPr>
        <w:endnoteReference w:id="78"/>
      </w:r>
      <w:bookmarkEnd w:id="349"/>
      <w:r w:rsidRPr="00207748">
        <w:rPr>
          <w:rFonts w:ascii="Cambria" w:hAnsi="Cambria" w:cs="Arial"/>
          <w:sz w:val="20"/>
          <w:szCs w:val="20"/>
        </w:rPr>
        <w:t xml:space="preserve"> Die spezifischen einzelnen Maßnahmen, die zu dieser Verbesserung beitrugen, variierten allerdings signifikant zwischen den verschiedenen Studien; somit kann keine einzelne Maßnahme explizit empfohlen werden.</w:t>
      </w:r>
    </w:p>
    <w:p w14:paraId="6E48E382" w14:textId="77777777" w:rsidR="00567851" w:rsidRPr="00207748" w:rsidRDefault="00567851" w:rsidP="004454B6">
      <w:pPr>
        <w:rPr>
          <w:rFonts w:ascii="Cambria" w:eastAsia="Arial" w:hAnsi="Cambria" w:cs="Arial"/>
          <w:iCs/>
          <w:sz w:val="20"/>
          <w:szCs w:val="20"/>
        </w:rPr>
      </w:pPr>
    </w:p>
    <w:tbl>
      <w:tblPr>
        <w:tblStyle w:val="TableNormal"/>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762"/>
        <w:gridCol w:w="2571"/>
      </w:tblGrid>
      <w:tr w:rsidR="00342FB3" w:rsidRPr="00207748" w14:paraId="7B3BD504" w14:textId="77777777" w:rsidTr="00342FB3">
        <w:trPr>
          <w:trHeight w:val="436"/>
        </w:trPr>
        <w:tc>
          <w:tcPr>
            <w:tcW w:w="0" w:type="auto"/>
            <w:tcBorders>
              <w:top w:val="single" w:sz="4" w:space="0" w:color="000000"/>
              <w:left w:val="single" w:sz="4" w:space="0" w:color="000000"/>
              <w:bottom w:val="single" w:sz="4" w:space="0" w:color="000000"/>
              <w:right w:val="single" w:sz="4" w:space="0" w:color="000000"/>
            </w:tcBorders>
            <w:shd w:val="clear" w:color="auto" w:fill="4F81BD" w:themeFill="accent1"/>
            <w:tcMar>
              <w:top w:w="80" w:type="dxa"/>
              <w:left w:w="80" w:type="dxa"/>
              <w:bottom w:w="80" w:type="dxa"/>
              <w:right w:w="80" w:type="dxa"/>
            </w:tcMar>
          </w:tcPr>
          <w:p w14:paraId="2D068B4E" w14:textId="77777777" w:rsidR="001A58EF" w:rsidRPr="00207748" w:rsidRDefault="001A58EF" w:rsidP="004454B6">
            <w:pPr>
              <w:spacing w:after="0"/>
              <w:rPr>
                <w:rFonts w:ascii="Cambria" w:hAnsi="Cambria" w:cs="Arial"/>
                <w:b/>
                <w:bCs/>
                <w:sz w:val="20"/>
                <w:szCs w:val="20"/>
              </w:rPr>
            </w:pPr>
            <w:r w:rsidRPr="00207748">
              <w:rPr>
                <w:rFonts w:ascii="Cambria" w:hAnsi="Cambria" w:cs="Arial"/>
                <w:b/>
                <w:bCs/>
                <w:sz w:val="20"/>
                <w:szCs w:val="20"/>
              </w:rPr>
              <w:lastRenderedPageBreak/>
              <w:t>B.</w:t>
            </w:r>
            <w:r w:rsidR="00342FB3" w:rsidRPr="00207748">
              <w:rPr>
                <w:rFonts w:ascii="Cambria" w:hAnsi="Cambria" w:cs="Arial"/>
                <w:b/>
                <w:bCs/>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4F81BD" w:themeFill="accent1"/>
            <w:tcMar>
              <w:top w:w="80" w:type="dxa"/>
              <w:left w:w="80" w:type="dxa"/>
              <w:bottom w:w="80" w:type="dxa"/>
              <w:right w:w="80" w:type="dxa"/>
            </w:tcMar>
          </w:tcPr>
          <w:p w14:paraId="6F1B092C" w14:textId="77777777" w:rsidR="001A58EF" w:rsidRPr="00207748" w:rsidRDefault="001A58EF" w:rsidP="004454B6">
            <w:pPr>
              <w:spacing w:after="0"/>
              <w:rPr>
                <w:rFonts w:ascii="Cambria" w:hAnsi="Cambria" w:cs="Arial"/>
                <w:b/>
                <w:bCs/>
                <w:sz w:val="20"/>
                <w:szCs w:val="20"/>
              </w:rPr>
            </w:pPr>
            <w:r w:rsidRPr="00207748">
              <w:rPr>
                <w:rFonts w:ascii="Cambria" w:hAnsi="Cambria" w:cs="Arial"/>
                <w:b/>
                <w:bCs/>
                <w:sz w:val="20"/>
                <w:szCs w:val="20"/>
              </w:rPr>
              <w:t>Empfehlung 2018</w:t>
            </w:r>
          </w:p>
        </w:tc>
      </w:tr>
      <w:tr w:rsidR="00E11869" w:rsidRPr="00207748" w14:paraId="06C79B18" w14:textId="77777777" w:rsidTr="00207748">
        <w:trPr>
          <w:trHeight w:val="3747"/>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67FA5B"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Expertenkonsens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C514B" w14:textId="4785701D"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 xml:space="preserve">Wir empfehlen, bei Patienten außerhalb von ITS, bei denen der Verdacht auf eine Infektion besteht, den </w:t>
            </w:r>
            <w:r w:rsidR="00E873A9" w:rsidRPr="00207748">
              <w:rPr>
                <w:rFonts w:ascii="Cambria" w:hAnsi="Cambria" w:cs="Arial"/>
                <w:b/>
                <w:bCs/>
                <w:sz w:val="20"/>
                <w:szCs w:val="20"/>
              </w:rPr>
              <w:t>„</w:t>
            </w:r>
            <w:r w:rsidRPr="00207748">
              <w:rPr>
                <w:rFonts w:ascii="Cambria" w:hAnsi="Cambria" w:cs="Arial"/>
                <w:b/>
                <w:bCs/>
                <w:sz w:val="20"/>
                <w:szCs w:val="20"/>
              </w:rPr>
              <w:t>quick Sequential Organ Failure Assessment</w:t>
            </w:r>
            <w:r w:rsidR="00E873A9" w:rsidRPr="00207748">
              <w:rPr>
                <w:rFonts w:ascii="Cambria" w:hAnsi="Cambria" w:cs="Arial"/>
                <w:b/>
                <w:bCs/>
                <w:sz w:val="20"/>
                <w:szCs w:val="20"/>
              </w:rPr>
              <w:t>“</w:t>
            </w:r>
            <w:r w:rsidRPr="00207748">
              <w:rPr>
                <w:rFonts w:ascii="Cambria" w:hAnsi="Cambria" w:cs="Arial"/>
                <w:b/>
                <w:bCs/>
                <w:sz w:val="20"/>
                <w:szCs w:val="20"/>
              </w:rPr>
              <w:t xml:space="preserve"> (qSOFA)</w:t>
            </w:r>
            <w:r w:rsidR="00EC3DBA" w:rsidRPr="00207748">
              <w:rPr>
                <w:rFonts w:ascii="Cambria" w:hAnsi="Cambria" w:cs="Arial"/>
                <w:b/>
                <w:bCs/>
                <w:sz w:val="20"/>
                <w:szCs w:val="20"/>
              </w:rPr>
              <w:t>-</w:t>
            </w:r>
            <w:r w:rsidRPr="00207748">
              <w:rPr>
                <w:rFonts w:ascii="Cambria" w:hAnsi="Cambria" w:cs="Arial"/>
                <w:b/>
                <w:bCs/>
                <w:sz w:val="20"/>
                <w:szCs w:val="20"/>
              </w:rPr>
              <w:t>Score regelmäßig zu bestimmen, um Risikopatienten mit vitaler B</w:t>
            </w:r>
            <w:r w:rsidR="0024733A" w:rsidRPr="00207748">
              <w:rPr>
                <w:rFonts w:ascii="Cambria" w:hAnsi="Cambria" w:cs="Arial"/>
                <w:b/>
                <w:bCs/>
                <w:sz w:val="20"/>
                <w:szCs w:val="20"/>
              </w:rPr>
              <w:t xml:space="preserve">edrohung frühzeitig zu erkennen. </w:t>
            </w:r>
            <w:r w:rsidRPr="00207748">
              <w:rPr>
                <w:rFonts w:ascii="Cambria" w:hAnsi="Cambria" w:cs="Arial"/>
                <w:b/>
                <w:bCs/>
                <w:sz w:val="20"/>
                <w:szCs w:val="20"/>
              </w:rPr>
              <w:t>(Abbildung</w:t>
            </w:r>
            <w:r w:rsidR="00EC3DBA" w:rsidRPr="00207748">
              <w:rPr>
                <w:rFonts w:ascii="Cambria" w:hAnsi="Cambria" w:cs="Arial"/>
                <w:b/>
                <w:bCs/>
                <w:sz w:val="20"/>
                <w:szCs w:val="20"/>
              </w:rPr>
              <w:t xml:space="preserve"> 1</w:t>
            </w:r>
            <w:r w:rsidR="002F33B3" w:rsidRPr="00207748">
              <w:rPr>
                <w:rFonts w:ascii="Cambria" w:hAnsi="Cambria" w:cs="Arial"/>
                <w:b/>
                <w:bCs/>
                <w:sz w:val="20"/>
                <w:szCs w:val="20"/>
              </w:rPr>
              <w:t>, Anhang</w:t>
            </w:r>
            <w:r w:rsidRPr="00207748">
              <w:rPr>
                <w:rFonts w:ascii="Cambria" w:hAnsi="Cambria" w:cs="Arial"/>
                <w:b/>
                <w:bCs/>
                <w:sz w:val="20"/>
                <w:szCs w:val="20"/>
              </w:rPr>
              <w:t>)</w:t>
            </w:r>
          </w:p>
        </w:tc>
      </w:tr>
      <w:tr w:rsidR="00E11869" w:rsidRPr="00207748" w14:paraId="31EA2E48" w14:textId="77777777" w:rsidTr="00342FB3">
        <w:trPr>
          <w:trHeight w:val="628"/>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329589F6" w14:textId="77777777" w:rsidR="00E11869" w:rsidRPr="00207748" w:rsidRDefault="00E11869" w:rsidP="004454B6">
            <w:pPr>
              <w:rPr>
                <w:rFonts w:ascii="Cambria" w:hAnsi="Cambria" w:cs="Arial"/>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A7C95"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Zusätzliche DSG-Leitlinienempfehlung</w:t>
            </w:r>
          </w:p>
        </w:tc>
      </w:tr>
      <w:tr w:rsidR="00E11869" w:rsidRPr="00207748" w14:paraId="31F13DE3" w14:textId="77777777" w:rsidTr="00342FB3">
        <w:trPr>
          <w:trHeight w:val="379"/>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E44F0" w14:textId="77777777" w:rsidR="00E11869" w:rsidRPr="00207748" w:rsidRDefault="00E11869" w:rsidP="004454B6">
            <w:pPr>
              <w:rPr>
                <w:rFonts w:ascii="Cambria" w:hAnsi="Cambria" w:cs="Arial"/>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7A1A6" w14:textId="77777777" w:rsidR="00E11869" w:rsidRPr="00207748" w:rsidRDefault="00342FB3" w:rsidP="004454B6">
            <w:pPr>
              <w:spacing w:after="0"/>
              <w:rPr>
                <w:rFonts w:ascii="Cambria" w:hAnsi="Cambria" w:cs="Arial"/>
                <w:sz w:val="20"/>
                <w:szCs w:val="20"/>
              </w:rPr>
            </w:pPr>
            <w:r w:rsidRPr="00207748">
              <w:rPr>
                <w:rFonts w:ascii="Cambria" w:hAnsi="Cambria" w:cs="Arial"/>
                <w:sz w:val="20"/>
                <w:szCs w:val="20"/>
              </w:rPr>
              <w:t>Konsensstä</w:t>
            </w:r>
            <w:r w:rsidR="00447357" w:rsidRPr="00207748">
              <w:rPr>
                <w:rFonts w:ascii="Cambria" w:hAnsi="Cambria" w:cs="Arial"/>
                <w:sz w:val="20"/>
                <w:szCs w:val="20"/>
              </w:rPr>
              <w:t xml:space="preserve">rke: 100 % </w:t>
            </w:r>
          </w:p>
        </w:tc>
      </w:tr>
    </w:tbl>
    <w:p w14:paraId="0EE00C7A" w14:textId="77777777" w:rsidR="00E11869" w:rsidRPr="00207748" w:rsidRDefault="00342FB3" w:rsidP="004454B6">
      <w:pPr>
        <w:spacing w:before="240"/>
        <w:rPr>
          <w:rFonts w:ascii="Cambria" w:hAnsi="Cambria" w:cs="Arial"/>
          <w:sz w:val="20"/>
          <w:szCs w:val="20"/>
        </w:rPr>
      </w:pPr>
      <w:r w:rsidRPr="00207748">
        <w:rPr>
          <w:rFonts w:ascii="Cambria" w:hAnsi="Cambria" w:cs="Arial"/>
          <w:b/>
          <w:bCs/>
          <w:sz w:val="20"/>
          <w:szCs w:val="20"/>
        </w:rPr>
        <w:t>Begründung</w:t>
      </w:r>
      <w:r w:rsidR="00447357" w:rsidRPr="00207748">
        <w:rPr>
          <w:rFonts w:ascii="Cambria" w:hAnsi="Cambria" w:cs="Arial"/>
          <w:b/>
          <w:bCs/>
          <w:sz w:val="20"/>
          <w:szCs w:val="20"/>
        </w:rPr>
        <w:t xml:space="preserve">: </w:t>
      </w:r>
      <w:r w:rsidR="00447357" w:rsidRPr="00207748">
        <w:rPr>
          <w:rFonts w:ascii="Cambria" w:hAnsi="Cambria" w:cs="Arial"/>
          <w:sz w:val="20"/>
          <w:szCs w:val="20"/>
        </w:rPr>
        <w:t>Die frühzeitige Identifizierung von Patienten mit Sepsis ist von hoher Bedeutung, da eine frühzeitige Therapie das Überleben wesentlich verbessern kann. Im Gegensatz zu anderen akut lebensbedrohlichen Erkrankungen (wie z.B. dem Herzinfarkt), stehen jedoch derzeit keine diagnostischen bettseitigen Kriterien zur Verfügung, um Patienten mit Sepsis bzw. solche mit hohem Risiko für die Entwicklung einer Sepsis zuverlässig zu identifizieren. Daher hat die Sepsis-3</w:t>
      </w:r>
      <w:r w:rsidR="00EC3DBA" w:rsidRPr="00207748">
        <w:rPr>
          <w:rFonts w:ascii="Cambria" w:hAnsi="Cambria" w:cs="Arial"/>
          <w:sz w:val="20"/>
          <w:szCs w:val="20"/>
        </w:rPr>
        <w:t xml:space="preserve">-Arbeitsgruppe </w:t>
      </w:r>
      <w:r w:rsidRPr="00207748">
        <w:rPr>
          <w:rFonts w:ascii="Cambria" w:hAnsi="Cambria" w:cs="Arial"/>
          <w:sz w:val="20"/>
          <w:szCs w:val="20"/>
        </w:rPr>
        <w:t>einer einfachen diagnostischen Score</w:t>
      </w:r>
      <w:r w:rsidR="00447357" w:rsidRPr="00207748">
        <w:rPr>
          <w:rFonts w:ascii="Cambria" w:hAnsi="Cambria" w:cs="Arial"/>
          <w:sz w:val="20"/>
          <w:szCs w:val="20"/>
        </w:rPr>
        <w:t xml:space="preserve"> (qSOFA</w:t>
      </w:r>
      <w:r w:rsidR="00EC3DBA" w:rsidRPr="00207748">
        <w:rPr>
          <w:rFonts w:ascii="Cambria" w:hAnsi="Cambria" w:cs="Arial"/>
          <w:sz w:val="20"/>
          <w:szCs w:val="20"/>
        </w:rPr>
        <w:t>, siehe auch Kapitel</w:t>
      </w:r>
      <w:r w:rsidR="00EC3DBA" w:rsidRPr="00207748">
        <w:rPr>
          <w:rFonts w:ascii="Cambria" w:hAnsi="Cambria" w:cs="Arial"/>
          <w:sz w:val="20"/>
          <w:szCs w:val="20"/>
          <w:highlight w:val="lightGray"/>
        </w:rPr>
        <w:t xml:space="preserve"> </w:t>
      </w:r>
      <w:r w:rsidR="00EC3DBA" w:rsidRPr="00207748">
        <w:rPr>
          <w:rFonts w:ascii="Cambria" w:hAnsi="Cambria" w:cs="Arial"/>
          <w:sz w:val="20"/>
          <w:szCs w:val="20"/>
        </w:rPr>
        <w:t>„Definitionen“</w:t>
      </w:r>
      <w:r w:rsidR="00447357" w:rsidRPr="00207748">
        <w:rPr>
          <w:rFonts w:ascii="Cambria" w:hAnsi="Cambria" w:cs="Arial"/>
          <w:sz w:val="20"/>
          <w:szCs w:val="20"/>
        </w:rPr>
        <w:t>) entwickelt, um Patienten mit hohem Risiko für eine Sepsis zu identifizieren. Dazu analysierte die Sepsis</w:t>
      </w:r>
      <w:r w:rsidR="00EC3DBA" w:rsidRPr="00207748">
        <w:rPr>
          <w:rFonts w:ascii="Cambria" w:hAnsi="Cambria" w:cs="Arial"/>
          <w:sz w:val="20"/>
          <w:szCs w:val="20"/>
        </w:rPr>
        <w:t>-3-Arbeitsgruppe</w:t>
      </w:r>
      <w:r w:rsidR="00447357" w:rsidRPr="00207748">
        <w:rPr>
          <w:rFonts w:ascii="Cambria" w:hAnsi="Cambria" w:cs="Arial"/>
          <w:sz w:val="20"/>
          <w:szCs w:val="20"/>
        </w:rPr>
        <w:t xml:space="preserve"> mehrere, sehr große Krankenhausdatenbanken von insgesamt 850.000 Patienten unter Infektionsverdacht (definiert durch eine Kombination von Antibiotikagabe und mikrobiologischer Diagnostik innerhalb eines bestimmten Zeitfensters). Eine derartig große Kohorte wurde bei den bisher verwendeten Sepsis</w:t>
      </w:r>
      <w:r w:rsidR="00EC3DBA" w:rsidRPr="00207748">
        <w:rPr>
          <w:rFonts w:ascii="Cambria" w:hAnsi="Cambria" w:cs="Arial"/>
          <w:sz w:val="20"/>
          <w:szCs w:val="20"/>
        </w:rPr>
        <w:t>-D</w:t>
      </w:r>
      <w:r w:rsidR="00447357" w:rsidRPr="00207748">
        <w:rPr>
          <w:rFonts w:ascii="Cambria" w:hAnsi="Cambria" w:cs="Arial"/>
          <w:sz w:val="20"/>
          <w:szCs w:val="20"/>
        </w:rPr>
        <w:t>efinitionen nie untersucht. Ein weiterer großer Unterschied: lediglich 10 % der Patienten befanden sich zum Zeitpunkt des Einschlusses auf ITS.</w:t>
      </w:r>
    </w:p>
    <w:p w14:paraId="444B6416" w14:textId="77777777" w:rsidR="00E11869" w:rsidRPr="00207748" w:rsidRDefault="00447357" w:rsidP="004454B6">
      <w:pPr>
        <w:rPr>
          <w:rFonts w:ascii="Cambria" w:hAnsi="Cambria" w:cs="Arial"/>
          <w:sz w:val="20"/>
          <w:szCs w:val="20"/>
        </w:rPr>
      </w:pPr>
      <w:r w:rsidRPr="00207748">
        <w:rPr>
          <w:rFonts w:ascii="Cambria" w:hAnsi="Cambria" w:cs="Arial"/>
          <w:sz w:val="20"/>
          <w:szCs w:val="20"/>
        </w:rPr>
        <w:lastRenderedPageBreak/>
        <w:t>Der quick Sequential Organ Failure Assessment (qSOFA)</w:t>
      </w:r>
      <w:r w:rsidR="00EC3DBA" w:rsidRPr="00207748">
        <w:rPr>
          <w:rFonts w:ascii="Cambria" w:hAnsi="Cambria" w:cs="Arial"/>
          <w:sz w:val="20"/>
          <w:szCs w:val="20"/>
        </w:rPr>
        <w:t>-</w:t>
      </w:r>
      <w:r w:rsidRPr="00207748">
        <w:rPr>
          <w:rFonts w:ascii="Cambria" w:hAnsi="Cambria" w:cs="Arial"/>
          <w:sz w:val="20"/>
          <w:szCs w:val="20"/>
        </w:rPr>
        <w:t xml:space="preserve">Score nutzt zur Risikoabschätzung die Variablen: veränderter mentaler Status, systolischer Blutdruck &lt; 100 mmHg oder eine Atemfrequenz ≥ 22/min. Verglichen mit einem qSOFA Score von 0 oder 1 Punkt haben Patienten mit einem qSOFA Score von 2 bzw. 3 Punkten ein 3-fach bzw. 14-fach erhöhtes Risiko zu versterben. Die Sepsis-3 Task Force hat empfohlen, die Behandlung nicht zu verzögern, bis die Patienten 2 oder mehr qSOFA-Kriterien erfüllen. </w:t>
      </w:r>
    </w:p>
    <w:p w14:paraId="5D6592EB" w14:textId="17B9F00A" w:rsidR="00963061" w:rsidRDefault="00447357" w:rsidP="00FB33A2">
      <w:pPr>
        <w:rPr>
          <w:rStyle w:val="EndnoteRealZchn"/>
        </w:rPr>
      </w:pPr>
      <w:r w:rsidRPr="00207748">
        <w:rPr>
          <w:rFonts w:ascii="Cambria" w:hAnsi="Cambria" w:cs="Arial"/>
          <w:sz w:val="20"/>
          <w:szCs w:val="20"/>
        </w:rPr>
        <w:t>Die Mehrzahl der seit Februar 2016 publizierten Validierungsstudien bestätigen die Ergebnisse der Sepsis-3 Task Force und belegen, dass der qSOFA Score ein geeigneter Parameter ist, um Patienten mit Infektionsverdacht außerhalb von ITS auf das Vorliegen einer Sepsis zu screenen. Weitere prospektive Studien müssen zeigen, ob eine längsschnittliche und wiederholte Anwendung des qSOFA im intraindividuellen Verlauf sinnvoll ist. Darüber hinaus wäre eine prospektive kontrollierte Studie, die den klinischen Nutzen des qSOFA im Vergleich zu einer Standardbehandlung hinsichtlich harter Outcome-Parameter untersucht, von Bedeutung</w:t>
      </w:r>
      <w:r w:rsidR="003B1537" w:rsidRPr="00207748">
        <w:rPr>
          <w:rFonts w:ascii="Cambria" w:hAnsi="Cambria" w:cs="Arial"/>
          <w:sz w:val="20"/>
          <w:szCs w:val="20"/>
        </w:rPr>
        <w:t>.</w:t>
      </w:r>
      <w:bookmarkStart w:id="350" w:name="_Toc25845110"/>
      <w:r w:rsidR="00587AE4" w:rsidRPr="002B1061">
        <w:rPr>
          <w:rStyle w:val="EndnoteRealZchn"/>
        </w:rPr>
        <w:fldChar w:fldCharType="begin"/>
      </w:r>
      <w:r w:rsidR="00587AE4" w:rsidRPr="002B1061">
        <w:rPr>
          <w:rStyle w:val="EndnoteRealZchn"/>
        </w:rPr>
        <w:instrText xml:space="preserve"> NOTEREF _Ref30423872 \h </w:instrText>
      </w:r>
      <w:r w:rsidR="002B1061">
        <w:rPr>
          <w:rStyle w:val="EndnoteRealZchn"/>
        </w:rPr>
        <w:instrText xml:space="preserve"> \* MERGEFORMAT </w:instrText>
      </w:r>
      <w:r w:rsidR="00587AE4" w:rsidRPr="002B1061">
        <w:rPr>
          <w:rStyle w:val="EndnoteRealZchn"/>
        </w:rPr>
      </w:r>
      <w:r w:rsidR="00587AE4" w:rsidRPr="002B1061">
        <w:rPr>
          <w:rStyle w:val="EndnoteRealZchn"/>
        </w:rPr>
        <w:fldChar w:fldCharType="separate"/>
      </w:r>
      <w:r w:rsidR="001A283B">
        <w:rPr>
          <w:rStyle w:val="EndnoteRealZchn"/>
        </w:rPr>
        <w:t>1</w:t>
      </w:r>
      <w:r w:rsidR="00587AE4" w:rsidRPr="002B1061">
        <w:rPr>
          <w:rStyle w:val="EndnoteRealZchn"/>
        </w:rPr>
        <w:fldChar w:fldCharType="end"/>
      </w:r>
    </w:p>
    <w:p w14:paraId="7668DA9D" w14:textId="41F259D4" w:rsidR="002B1061" w:rsidRDefault="002B1061" w:rsidP="00FB33A2">
      <w:pPr>
        <w:rPr>
          <w:rStyle w:val="EndnoteRealZchn"/>
        </w:rPr>
      </w:pPr>
    </w:p>
    <w:p w14:paraId="096CF432" w14:textId="7A7BB283" w:rsidR="002B1061" w:rsidRDefault="002B1061" w:rsidP="00FB33A2">
      <w:pPr>
        <w:rPr>
          <w:rStyle w:val="EndnoteRealZchn"/>
        </w:rPr>
      </w:pPr>
    </w:p>
    <w:p w14:paraId="767C4977" w14:textId="14B3FC63" w:rsidR="002B1061" w:rsidRDefault="002B1061" w:rsidP="00FB33A2">
      <w:pPr>
        <w:rPr>
          <w:rStyle w:val="EndnoteRealZchn"/>
        </w:rPr>
      </w:pPr>
    </w:p>
    <w:p w14:paraId="57E617FD" w14:textId="2B63EEA2" w:rsidR="002B1061" w:rsidRDefault="002B1061" w:rsidP="00FB33A2">
      <w:pPr>
        <w:rPr>
          <w:rStyle w:val="EndnoteRealZchn"/>
        </w:rPr>
      </w:pPr>
    </w:p>
    <w:p w14:paraId="33C68C80" w14:textId="4746DC09" w:rsidR="002B1061" w:rsidRDefault="002B1061" w:rsidP="00FB33A2">
      <w:pPr>
        <w:rPr>
          <w:rStyle w:val="EndnoteRealZchn"/>
        </w:rPr>
      </w:pPr>
    </w:p>
    <w:p w14:paraId="047423E8" w14:textId="441EB96D" w:rsidR="002B1061" w:rsidRDefault="002B1061" w:rsidP="00FB33A2">
      <w:pPr>
        <w:rPr>
          <w:rStyle w:val="EndnoteRealZchn"/>
        </w:rPr>
      </w:pPr>
    </w:p>
    <w:p w14:paraId="69BC5274" w14:textId="0AF4A805" w:rsidR="002B1061" w:rsidRDefault="002B1061" w:rsidP="00FB33A2">
      <w:pPr>
        <w:rPr>
          <w:rStyle w:val="EndnoteRealZchn"/>
        </w:rPr>
      </w:pPr>
    </w:p>
    <w:p w14:paraId="66DE86E7" w14:textId="3DBDEE72" w:rsidR="002B1061" w:rsidRDefault="002B1061" w:rsidP="00FB33A2">
      <w:pPr>
        <w:rPr>
          <w:rStyle w:val="EndnoteRealZchn"/>
        </w:rPr>
      </w:pPr>
    </w:p>
    <w:p w14:paraId="3A716B79" w14:textId="3B596058" w:rsidR="002B1061" w:rsidRDefault="002B1061" w:rsidP="00FB33A2">
      <w:pPr>
        <w:rPr>
          <w:rStyle w:val="EndnoteRealZchn"/>
        </w:rPr>
      </w:pPr>
    </w:p>
    <w:p w14:paraId="6ED1F305" w14:textId="199D9F63" w:rsidR="002B1061" w:rsidRDefault="002B1061" w:rsidP="00FB33A2">
      <w:pPr>
        <w:rPr>
          <w:rStyle w:val="EndnoteRealZchn"/>
        </w:rPr>
      </w:pPr>
    </w:p>
    <w:p w14:paraId="4EF8488B" w14:textId="1094CBB8" w:rsidR="002B1061" w:rsidRDefault="002B1061" w:rsidP="00FB33A2">
      <w:pPr>
        <w:rPr>
          <w:rFonts w:ascii="Cambria" w:hAnsi="Cambria" w:cs="Arial"/>
          <w:sz w:val="20"/>
          <w:szCs w:val="20"/>
        </w:rPr>
      </w:pPr>
    </w:p>
    <w:p w14:paraId="3758114F" w14:textId="77E856FA" w:rsidR="00EF1A9E" w:rsidRDefault="00EF1A9E" w:rsidP="00FB33A2">
      <w:pPr>
        <w:rPr>
          <w:rFonts w:ascii="Cambria" w:hAnsi="Cambria" w:cs="Arial"/>
          <w:sz w:val="20"/>
          <w:szCs w:val="20"/>
        </w:rPr>
      </w:pPr>
    </w:p>
    <w:p w14:paraId="371DEE1E" w14:textId="5185770E" w:rsidR="00E11869" w:rsidRPr="00182D07" w:rsidRDefault="00447357" w:rsidP="004454B6">
      <w:pPr>
        <w:pStyle w:val="berschrift2"/>
        <w:rPr>
          <w:b w:val="0"/>
        </w:rPr>
      </w:pPr>
      <w:bookmarkStart w:id="351" w:name="_Toc437861458"/>
      <w:bookmarkStart w:id="352" w:name="_Toc31278496"/>
      <w:r w:rsidRPr="00182D07">
        <w:lastRenderedPageBreak/>
        <w:t>C. Diagnose</w:t>
      </w:r>
      <w:bookmarkEnd w:id="350"/>
      <w:bookmarkEnd w:id="351"/>
      <w:bookmarkEnd w:id="352"/>
    </w:p>
    <w:p w14:paraId="1244B3D7" w14:textId="77777777" w:rsidR="00E11869" w:rsidRPr="00207748" w:rsidRDefault="00E11869" w:rsidP="00FB33A2">
      <w:pPr>
        <w:pStyle w:val="KeinLeerraum"/>
      </w:pP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762"/>
        <w:gridCol w:w="1659"/>
        <w:gridCol w:w="804"/>
      </w:tblGrid>
      <w:tr w:rsidR="00E11869" w:rsidRPr="00207748" w14:paraId="5C46DC45"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70B408C2"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t>C.1</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45C0E985"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14CB74A7"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2018</w:t>
            </w:r>
          </w:p>
        </w:tc>
      </w:tr>
      <w:tr w:rsidR="00E11869" w:rsidRPr="00207748" w14:paraId="2644409A" w14:textId="77777777" w:rsidTr="00342FB3">
        <w:trPr>
          <w:trHeight w:val="637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7D2659"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Expertenkonsens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4F1A8" w14:textId="77777777" w:rsidR="00C61823" w:rsidRPr="00207748" w:rsidRDefault="00447357" w:rsidP="004454B6">
            <w:pPr>
              <w:spacing w:after="0"/>
              <w:rPr>
                <w:rFonts w:ascii="Cambria" w:hAnsi="Cambria" w:cs="Arial"/>
                <w:b/>
                <w:bCs/>
                <w:sz w:val="20"/>
                <w:szCs w:val="20"/>
              </w:rPr>
            </w:pPr>
            <w:r w:rsidRPr="00207748">
              <w:rPr>
                <w:rFonts w:ascii="Cambria" w:hAnsi="Cambria" w:cs="Arial"/>
                <w:b/>
                <w:bCs/>
                <w:sz w:val="20"/>
                <w:szCs w:val="20"/>
              </w:rPr>
              <w:t>Wir empfehlen, dass regelhaft geeignete Materialien für die mikrobiologische Diagnostik (einschließlich Blutkulturen) entnommen werden, bevor die antimikrobielle Therapie bei Patienten mit Verdacht auf Sepsis oder septischen Schock begonnen wird. Dies darf zu keiner wesentlichen Verzögerung in Bezug auf den Beginn der antimikrobiellen Therapie führen.</w:t>
            </w:r>
          </w:p>
          <w:p w14:paraId="0327A542" w14:textId="77777777" w:rsidR="00C61823" w:rsidRPr="00207748" w:rsidRDefault="00C61823" w:rsidP="004454B6">
            <w:pPr>
              <w:spacing w:after="0"/>
              <w:rPr>
                <w:rFonts w:ascii="Cambria" w:hAnsi="Cambria" w:cs="Arial"/>
                <w:b/>
                <w:bCs/>
                <w:sz w:val="20"/>
                <w:szCs w:val="20"/>
              </w:rPr>
            </w:pPr>
          </w:p>
          <w:p w14:paraId="22FB85AF" w14:textId="77777777" w:rsidR="00E11869" w:rsidRPr="00207748" w:rsidRDefault="00C61823" w:rsidP="004454B6">
            <w:pPr>
              <w:spacing w:after="0"/>
              <w:rPr>
                <w:rFonts w:ascii="Cambria" w:eastAsia="Arial" w:hAnsi="Cambria" w:cs="Arial"/>
                <w:b/>
                <w:bCs/>
                <w:sz w:val="20"/>
                <w:szCs w:val="20"/>
              </w:rPr>
            </w:pPr>
            <w:r w:rsidRPr="00207748">
              <w:rPr>
                <w:rFonts w:ascii="Cambria" w:hAnsi="Cambria" w:cs="Arial"/>
                <w:b/>
                <w:bCs/>
                <w:sz w:val="20"/>
                <w:szCs w:val="20"/>
              </w:rPr>
              <w:t xml:space="preserve">Bemerkungen: </w:t>
            </w:r>
            <w:r w:rsidRPr="00207748">
              <w:rPr>
                <w:rFonts w:ascii="Cambria" w:hAnsi="Cambria" w:cs="Arial"/>
                <w:sz w:val="20"/>
                <w:szCs w:val="20"/>
              </w:rPr>
              <w:t>Geeignete Materialien für die routinemäßige mikrobiologische Kulturen-Diagnostik umfassen immer mindestens zwei (sowohl aerobe als auch anaerobe) Blutkultur-Sets (bestehend aus mindestens aerober und anaerober Flasche).</w:t>
            </w:r>
          </w:p>
        </w:tc>
      </w:tr>
      <w:tr w:rsidR="00E11869" w:rsidRPr="00207748" w14:paraId="55473D2E" w14:textId="77777777" w:rsidTr="00342FB3">
        <w:trPr>
          <w:trHeight w:val="56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236F1D01"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866A8"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SSC</w:t>
            </w:r>
            <w:r w:rsidR="001A58EF" w:rsidRPr="00207748">
              <w:rPr>
                <w:rFonts w:ascii="Cambria" w:hAnsi="Cambria" w:cs="Arial"/>
                <w:b/>
                <w:bCs/>
                <w:sz w:val="20"/>
                <w:szCs w:val="20"/>
              </w:rPr>
              <w:t>-</w:t>
            </w:r>
            <w:r w:rsidRPr="00207748">
              <w:rPr>
                <w:rFonts w:ascii="Cambria" w:hAnsi="Cambria" w:cs="Arial"/>
                <w:b/>
                <w:bCs/>
                <w:sz w:val="20"/>
                <w:szCs w:val="20"/>
              </w:rPr>
              <w:t xml:space="preserve">Leitlinienadaptation </w:t>
            </w:r>
          </w:p>
        </w:tc>
      </w:tr>
      <w:tr w:rsidR="00E11869" w:rsidRPr="00207748" w14:paraId="0D52D2F0"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2FB2F"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AFC02" w14:textId="16CFFA45" w:rsidR="00E11869" w:rsidRPr="00207748" w:rsidRDefault="00447357" w:rsidP="004454B6">
            <w:pPr>
              <w:spacing w:after="0"/>
              <w:rPr>
                <w:rFonts w:ascii="Cambria" w:hAnsi="Cambria" w:cs="Arial"/>
                <w:sz w:val="20"/>
                <w:szCs w:val="20"/>
              </w:rPr>
            </w:pPr>
            <w:r w:rsidRPr="00207748">
              <w:rPr>
                <w:rFonts w:ascii="Cambria" w:hAnsi="Cambria" w:cs="Arial"/>
                <w:sz w:val="20"/>
                <w:szCs w:val="20"/>
              </w:rPr>
              <w:t>Konsensstärke:</w:t>
            </w:r>
            <w:r w:rsidR="002B1061">
              <w:rPr>
                <w:rFonts w:ascii="Cambria" w:hAnsi="Cambria" w:cs="Arial"/>
                <w:sz w:val="20"/>
                <w:szCs w:val="20"/>
              </w:rPr>
              <w:t xml:space="preserve"> </w:t>
            </w:r>
            <w:r w:rsidRPr="00207748">
              <w:rPr>
                <w:rFonts w:ascii="Cambria" w:hAnsi="Cambria" w:cs="Arial"/>
                <w:sz w:val="20"/>
                <w:szCs w:val="20"/>
              </w:rPr>
              <w:t xml:space="preserve">100 % </w:t>
            </w:r>
          </w:p>
        </w:tc>
      </w:tr>
    </w:tbl>
    <w:p w14:paraId="3D72FE8E" w14:textId="1A29956E" w:rsidR="00E11869" w:rsidRPr="00207748" w:rsidRDefault="00420A45" w:rsidP="004454B6">
      <w:pPr>
        <w:spacing w:before="240"/>
        <w:rPr>
          <w:rFonts w:ascii="Cambria" w:eastAsia="Arial" w:hAnsi="Cambria" w:cs="Arial"/>
          <w:b/>
          <w:bCs/>
          <w:iCs/>
          <w:spacing w:val="-5"/>
          <w:sz w:val="20"/>
          <w:szCs w:val="20"/>
        </w:rPr>
      </w:pPr>
      <w:r w:rsidRPr="00207748">
        <w:rPr>
          <w:rFonts w:ascii="Cambria" w:hAnsi="Cambria" w:cs="Arial"/>
          <w:b/>
          <w:bCs/>
          <w:spacing w:val="-5"/>
          <w:sz w:val="20"/>
          <w:szCs w:val="20"/>
        </w:rPr>
        <w:t>Begründung:</w:t>
      </w:r>
      <w:r w:rsidR="00447357" w:rsidRPr="00207748">
        <w:rPr>
          <w:rFonts w:ascii="Cambria" w:hAnsi="Cambria" w:cs="Arial"/>
          <w:b/>
          <w:bCs/>
          <w:iCs/>
          <w:spacing w:val="-5"/>
          <w:sz w:val="20"/>
          <w:szCs w:val="20"/>
        </w:rPr>
        <w:t xml:space="preserve"> </w:t>
      </w:r>
      <w:r w:rsidR="00447357" w:rsidRPr="00207748">
        <w:rPr>
          <w:rFonts w:ascii="Cambria" w:hAnsi="Cambria" w:cs="Arial"/>
          <w:spacing w:val="-5"/>
          <w:sz w:val="20"/>
          <w:szCs w:val="20"/>
        </w:rPr>
        <w:t xml:space="preserve">Eine Inaktivierung von Mikroorganismen kann innerhalb von Minuten bis zu mehreren Stunden nach der ersten Dosis eines geeigneten antimikrobiellen Wirkstoffs erfolgen, so dass sie möglicherweise nicht mehr mittels mikrobiologischer Kulturverfahren nachweisbar sind. </w:t>
      </w:r>
      <w:r w:rsidR="00447357" w:rsidRPr="00207748">
        <w:rPr>
          <w:rFonts w:ascii="Cambria" w:eastAsia="Arial" w:hAnsi="Cambria" w:cs="Arial"/>
          <w:spacing w:val="-5"/>
          <w:sz w:val="20"/>
          <w:szCs w:val="20"/>
          <w:vertAlign w:val="superscript"/>
        </w:rPr>
        <w:endnoteReference w:id="79"/>
      </w:r>
      <w:r w:rsidR="00447357" w:rsidRPr="00207748">
        <w:rPr>
          <w:rFonts w:ascii="Cambria" w:hAnsi="Cambria" w:cs="Arial"/>
          <w:spacing w:val="-5"/>
          <w:sz w:val="20"/>
          <w:szCs w:val="20"/>
        </w:rPr>
        <w:t xml:space="preserve"> </w:t>
      </w:r>
      <w:r w:rsidR="00447357" w:rsidRPr="00207748">
        <w:rPr>
          <w:rFonts w:ascii="Cambria" w:eastAsia="Arial" w:hAnsi="Cambria" w:cs="Arial"/>
          <w:spacing w:val="-5"/>
          <w:sz w:val="20"/>
          <w:szCs w:val="20"/>
          <w:vertAlign w:val="superscript"/>
        </w:rPr>
        <w:endnoteReference w:id="80"/>
      </w:r>
      <w:r w:rsidR="00447357" w:rsidRPr="00207748">
        <w:rPr>
          <w:rFonts w:ascii="Cambria" w:hAnsi="Cambria" w:cs="Arial"/>
          <w:spacing w:val="-5"/>
          <w:sz w:val="20"/>
          <w:szCs w:val="20"/>
        </w:rPr>
        <w:t xml:space="preserve"> Die Abnahme geeigneter </w:t>
      </w:r>
      <w:r w:rsidR="00447357" w:rsidRPr="00207748">
        <w:rPr>
          <w:rFonts w:ascii="Cambria" w:hAnsi="Cambria" w:cs="Arial"/>
          <w:spacing w:val="-5"/>
          <w:sz w:val="20"/>
          <w:szCs w:val="20"/>
        </w:rPr>
        <w:lastRenderedPageBreak/>
        <w:t xml:space="preserve">Probenmaterialien vor der Verabreichung von antimikrobiellen Substanzen führt zu einer Steigerung der Nachweisrate, sodass die Wahrscheinlichkeit der Identifizierung eines </w:t>
      </w:r>
      <w:r w:rsidR="0024733A" w:rsidRPr="00207748">
        <w:rPr>
          <w:rFonts w:ascii="Cambria" w:hAnsi="Cambria" w:cs="Arial"/>
          <w:spacing w:val="-5"/>
          <w:sz w:val="20"/>
          <w:szCs w:val="20"/>
        </w:rPr>
        <w:t>Pathogen</w:t>
      </w:r>
      <w:r w:rsidR="00EC3DBA" w:rsidRPr="00207748">
        <w:rPr>
          <w:rFonts w:ascii="Cambria" w:hAnsi="Cambria" w:cs="Arial"/>
          <w:spacing w:val="-5"/>
          <w:sz w:val="20"/>
          <w:szCs w:val="20"/>
        </w:rPr>
        <w:t>s</w:t>
      </w:r>
      <w:r w:rsidR="00447357" w:rsidRPr="00207748">
        <w:rPr>
          <w:rFonts w:ascii="Cambria" w:hAnsi="Cambria" w:cs="Arial"/>
          <w:spacing w:val="-5"/>
          <w:sz w:val="20"/>
          <w:szCs w:val="20"/>
        </w:rPr>
        <w:t xml:space="preserve"> höher ist. Die Isolierung eines oder mehrerer infizierender Mikroorganismen ermöglicht die Deeskalation der antimikrobiellen Therapie zunächst zum Zeitpunkt der Identifizierung. Eine weitere Anpassung der Therapie ist bei Vorliegen der Ergebnisse der Empfindlichkeitsprüfung möglich. Die Deeskalation der antimikrobiellen Therapie ist ein Kernbereich von </w:t>
      </w:r>
      <w:r w:rsidR="00EC3DBA" w:rsidRPr="00207748">
        <w:rPr>
          <w:rFonts w:ascii="Cambria" w:hAnsi="Cambria" w:cs="Arial"/>
          <w:spacing w:val="-5"/>
          <w:sz w:val="20"/>
          <w:szCs w:val="20"/>
        </w:rPr>
        <w:t>ABS</w:t>
      </w:r>
      <w:r w:rsidR="00447357" w:rsidRPr="00207748">
        <w:rPr>
          <w:rFonts w:ascii="Cambria" w:hAnsi="Cambria" w:cs="Arial"/>
          <w:spacing w:val="-5"/>
          <w:sz w:val="20"/>
          <w:szCs w:val="20"/>
        </w:rPr>
        <w:t>-Programmen und mit weniger Resistenz-Selektionsdruck, weniger Nebenwirkungen und geringeren Kosten verbunden.</w:t>
      </w:r>
      <w:r w:rsidR="00447357" w:rsidRPr="00207748">
        <w:rPr>
          <w:rFonts w:ascii="Cambria" w:eastAsia="Arial" w:hAnsi="Cambria" w:cs="Arial"/>
          <w:spacing w:val="-5"/>
          <w:sz w:val="20"/>
          <w:szCs w:val="20"/>
          <w:vertAlign w:val="superscript"/>
        </w:rPr>
        <w:endnoteReference w:id="81"/>
      </w:r>
      <w:r w:rsidR="00447357" w:rsidRPr="00207748">
        <w:rPr>
          <w:rFonts w:ascii="Cambria" w:hAnsi="Cambria" w:cs="Arial"/>
          <w:spacing w:val="-5"/>
          <w:sz w:val="20"/>
          <w:szCs w:val="20"/>
        </w:rPr>
        <w:t xml:space="preserve"> Verschiedene retrospektive Studien deuten darauf hin, dass eine Abnahme der Probenmaterialien vor der antimikrobiellen Therapie mit einem verbesserten Outcome verbunden ist.</w:t>
      </w:r>
      <w:r w:rsidR="00447357" w:rsidRPr="00207748">
        <w:rPr>
          <w:rFonts w:ascii="Cambria" w:eastAsia="Arial" w:hAnsi="Cambria" w:cs="Arial"/>
          <w:spacing w:val="-5"/>
          <w:sz w:val="20"/>
          <w:szCs w:val="20"/>
          <w:vertAlign w:val="superscript"/>
        </w:rPr>
        <w:endnoteReference w:id="82"/>
      </w:r>
      <w:r w:rsidR="00447357" w:rsidRPr="00207748">
        <w:rPr>
          <w:rFonts w:ascii="Cambria" w:hAnsi="Cambria" w:cs="Arial"/>
          <w:spacing w:val="-5"/>
          <w:sz w:val="20"/>
          <w:szCs w:val="20"/>
        </w:rPr>
        <w:t xml:space="preserve"> </w:t>
      </w:r>
      <w:r w:rsidR="00447357" w:rsidRPr="00207748">
        <w:rPr>
          <w:rFonts w:ascii="Cambria" w:eastAsia="Arial" w:hAnsi="Cambria" w:cs="Arial"/>
          <w:spacing w:val="-5"/>
          <w:sz w:val="20"/>
          <w:szCs w:val="20"/>
          <w:vertAlign w:val="superscript"/>
        </w:rPr>
        <w:endnoteReference w:id="83"/>
      </w:r>
      <w:r w:rsidR="00447357" w:rsidRPr="00207748">
        <w:rPr>
          <w:rFonts w:ascii="Cambria" w:hAnsi="Cambria" w:cs="Arial"/>
          <w:spacing w:val="-5"/>
          <w:sz w:val="20"/>
          <w:szCs w:val="20"/>
        </w:rPr>
        <w:t xml:space="preserve"> Auch die Deeskalation war in mehreren Beobachtungsstudien mit einer Verbesserung der Überlebensrate assoziiert.</w:t>
      </w:r>
      <w:bookmarkStart w:id="353" w:name="_Ref30585034"/>
      <w:r w:rsidR="00447357" w:rsidRPr="00207748">
        <w:rPr>
          <w:rFonts w:ascii="Cambria" w:eastAsia="Arial" w:hAnsi="Cambria" w:cs="Arial"/>
          <w:spacing w:val="-5"/>
          <w:sz w:val="20"/>
          <w:szCs w:val="20"/>
          <w:vertAlign w:val="superscript"/>
        </w:rPr>
        <w:endnoteReference w:id="84"/>
      </w:r>
      <w:bookmarkEnd w:id="353"/>
      <w:r w:rsidR="00447357" w:rsidRPr="00207748">
        <w:rPr>
          <w:rFonts w:ascii="Cambria" w:hAnsi="Cambria" w:cs="Arial"/>
          <w:spacing w:val="-5"/>
          <w:sz w:val="20"/>
          <w:szCs w:val="20"/>
        </w:rPr>
        <w:t xml:space="preserve"> </w:t>
      </w:r>
      <w:bookmarkStart w:id="354" w:name="_Ref30585854"/>
      <w:r w:rsidR="00447357" w:rsidRPr="00207748">
        <w:rPr>
          <w:rFonts w:ascii="Cambria" w:eastAsia="Arial" w:hAnsi="Cambria" w:cs="Arial"/>
          <w:spacing w:val="-5"/>
          <w:sz w:val="20"/>
          <w:szCs w:val="20"/>
          <w:vertAlign w:val="superscript"/>
        </w:rPr>
        <w:endnoteReference w:id="85"/>
      </w:r>
      <w:bookmarkEnd w:id="354"/>
      <w:r w:rsidR="00447357" w:rsidRPr="00207748">
        <w:rPr>
          <w:rFonts w:ascii="Cambria" w:hAnsi="Cambria" w:cs="Arial"/>
          <w:spacing w:val="-5"/>
          <w:sz w:val="20"/>
          <w:szCs w:val="20"/>
        </w:rPr>
        <w:t xml:space="preserve"> Das Bestreben, die Materialien für die mikrobiologische Diagnostik vor Beginn der antimikrobiellen Therapie zu entnehmen, muss gegen das Letalitätsrisiko bei einer Verzögerung des Beginns der kalkulierten antimikrobiellen Initialtherapie als wichtiger Therapiebaustein bei kritisch kranken Patienten mit dem Verdacht auf Sepsis oder septischen Schock abgewogen werden, bei denen ein signifikantes Sterberisiko besteht. </w:t>
      </w:r>
      <w:r w:rsidR="00447357" w:rsidRPr="00207748">
        <w:rPr>
          <w:rFonts w:ascii="Cambria" w:eastAsia="Arial" w:hAnsi="Cambria" w:cs="Arial"/>
          <w:spacing w:val="-5"/>
          <w:sz w:val="20"/>
          <w:szCs w:val="20"/>
          <w:vertAlign w:val="superscript"/>
        </w:rPr>
        <w:endnoteReference w:id="86"/>
      </w:r>
      <w:bookmarkStart w:id="355" w:name="_Ref30503307"/>
      <w:r w:rsidR="00447357" w:rsidRPr="00207748">
        <w:rPr>
          <w:rFonts w:ascii="Cambria" w:eastAsia="Arial" w:hAnsi="Cambria" w:cs="Arial"/>
          <w:spacing w:val="-5"/>
          <w:sz w:val="20"/>
          <w:szCs w:val="20"/>
          <w:vertAlign w:val="superscript"/>
        </w:rPr>
        <w:endnoteReference w:id="87"/>
      </w:r>
      <w:bookmarkEnd w:id="355"/>
    </w:p>
    <w:p w14:paraId="7F9C5E5B" w14:textId="43C0EC6D" w:rsidR="00E11869" w:rsidRPr="00207748" w:rsidRDefault="00447357" w:rsidP="004454B6">
      <w:pPr>
        <w:rPr>
          <w:rFonts w:ascii="Cambria" w:eastAsia="Arial" w:hAnsi="Cambria" w:cs="Arial"/>
          <w:spacing w:val="-3"/>
          <w:sz w:val="20"/>
          <w:szCs w:val="20"/>
        </w:rPr>
      </w:pPr>
      <w:r w:rsidRPr="00207748">
        <w:rPr>
          <w:rFonts w:ascii="Cambria" w:hAnsi="Cambria" w:cs="Arial"/>
          <w:spacing w:val="-2"/>
          <w:sz w:val="20"/>
          <w:szCs w:val="20"/>
        </w:rPr>
        <w:t xml:space="preserve">Wir empfehlen, dass die Blutkulturen vor Beginn der antimikrobiellen Therapie abgenommen werden, sofern dies ohne wesentliche Zeitverzögerung möglich ist. Das Risiko-Nutzen-Verhältnis spricht jedoch für eine schnelle Verabreichung der antimikrobiellen Medikamente, falls es logistisch nicht möglich ist, die Probenmaterialien schnell abzunehmen. Daher sollten bei Patienten mit einem Verdacht auf Sepsis oder septischen Schock vor Beginn der antimikrobiellen Therapie geeignete Materialien für die mikrobiologische Diagnostik aus allen Lokalisationen abgenommen werden, die als potenzieller Fokus in Frage kommen, soweit dadurch keine wesentliche Verzögerung in Bezug auf den Beginn der antimikrobiellen Therapie resultiert. In diesem Sinne geeignete Probenmaterialien sind zum Beispiel Blutkulturen, Liquor, Urin, Wund- und </w:t>
      </w:r>
      <w:r w:rsidRPr="00207748">
        <w:rPr>
          <w:rFonts w:ascii="Cambria" w:hAnsi="Cambria" w:cs="Arial"/>
          <w:spacing w:val="-2"/>
          <w:sz w:val="20"/>
          <w:szCs w:val="20"/>
        </w:rPr>
        <w:lastRenderedPageBreak/>
        <w:t>Atemwegssekrete und andere Körperflüssigkeiten. Probenmaterialien, deren Entnahme einen invasiven Eingriff erfordert wie z.B. eine Bronchoskopie oder einen offenen chirurgischen Eingriff, sind initial in der Regel wegen der damit verbundenen Zeitverzögerung bis zum Beginn der initialen antimikrobiellen Therapie nicht indiziert. Die Entscheidung, von welchen Lokalisationen Material abgenommen werden sollte, erfordert sorgfältige Überlegungen auf Seiten des Behandlungsteams. Von einer „Pan-Kultur“ aller möglichen Lokalisationen, von denen potenziell Proben entnommen werden können, wird</w:t>
      </w:r>
      <w:r w:rsidR="002B1061">
        <w:rPr>
          <w:rFonts w:ascii="Cambria" w:hAnsi="Cambria" w:cs="Arial"/>
          <w:spacing w:val="-2"/>
          <w:sz w:val="20"/>
          <w:szCs w:val="20"/>
        </w:rPr>
        <w:t xml:space="preserve"> </w:t>
      </w:r>
      <w:r w:rsidRPr="00207748">
        <w:rPr>
          <w:rFonts w:ascii="Cambria" w:hAnsi="Cambria" w:cs="Arial"/>
          <w:spacing w:val="-2"/>
          <w:sz w:val="20"/>
          <w:szCs w:val="20"/>
        </w:rPr>
        <w:t>abgeraten (es sei denn, der Sepsis</w:t>
      </w:r>
      <w:r w:rsidR="00EC3DBA" w:rsidRPr="00207748">
        <w:rPr>
          <w:rFonts w:ascii="Cambria" w:hAnsi="Cambria" w:cs="Arial"/>
          <w:spacing w:val="-2"/>
          <w:sz w:val="20"/>
          <w:szCs w:val="20"/>
        </w:rPr>
        <w:t>-H</w:t>
      </w:r>
      <w:r w:rsidRPr="00207748">
        <w:rPr>
          <w:rFonts w:ascii="Cambria" w:hAnsi="Cambria" w:cs="Arial"/>
          <w:spacing w:val="-2"/>
          <w:sz w:val="20"/>
          <w:szCs w:val="20"/>
        </w:rPr>
        <w:t>erd ist klinisch nicht erkennbar), weil diese Praxis zu einem unangemessenen Einsatz von antimikrobiellen Substanzen führen kann</w:t>
      </w:r>
      <w:r w:rsidRPr="00207748">
        <w:rPr>
          <w:rFonts w:ascii="Cambria" w:eastAsia="Arial" w:hAnsi="Cambria" w:cs="Arial"/>
          <w:spacing w:val="-2"/>
          <w:sz w:val="20"/>
          <w:szCs w:val="20"/>
          <w:vertAlign w:val="superscript"/>
        </w:rPr>
        <w:endnoteReference w:id="88"/>
      </w:r>
      <w:r w:rsidRPr="00207748">
        <w:rPr>
          <w:rFonts w:ascii="Cambria" w:hAnsi="Cambria" w:cs="Arial"/>
          <w:spacing w:val="-2"/>
          <w:sz w:val="20"/>
          <w:szCs w:val="20"/>
        </w:rPr>
        <w:t>. Falls die Anamnese oder klinische Untersuchung eindeutig auf eine spezifische anatomische Lokalisation des Infektionsherdes hindeutet</w:t>
      </w:r>
      <w:r w:rsidRPr="00207748">
        <w:rPr>
          <w:rFonts w:ascii="Cambria" w:hAnsi="Cambria" w:cs="Arial"/>
          <w:spacing w:val="-3"/>
          <w:sz w:val="20"/>
          <w:szCs w:val="20"/>
        </w:rPr>
        <w:t>, sind Materialien von anderen Lokalisationen (mit Ausnahme der Blutkulturen) im Allgemeinen nicht sinnvoll und nicht notwendig. Wir schlagen einen Zeitraum von 45 Minuten für die Entnahme mikrobiologisch-diagnostischer Proben vor, der als keine wesentliche Verzögerung in Bezug auf den Beginn der antimikrobiellen Therapie betrachtet werden kann.</w:t>
      </w:r>
    </w:p>
    <w:p w14:paraId="2CDCC1EB" w14:textId="03186DEA" w:rsidR="00E11869" w:rsidRPr="00207748" w:rsidRDefault="00447357" w:rsidP="004454B6">
      <w:pPr>
        <w:rPr>
          <w:rFonts w:ascii="Cambria" w:eastAsia="Arial" w:hAnsi="Cambria" w:cs="Arial"/>
          <w:sz w:val="20"/>
          <w:szCs w:val="20"/>
        </w:rPr>
      </w:pPr>
      <w:r w:rsidRPr="00207748">
        <w:rPr>
          <w:rFonts w:ascii="Cambria" w:hAnsi="Cambria" w:cs="Arial"/>
          <w:sz w:val="20"/>
          <w:szCs w:val="20"/>
        </w:rPr>
        <w:t>Zwei oder mehr Blutkultur-Sets (bestehend aus mindestens aerober und anaerober Flasche) werden vor Beginn jeder neuen antimikrobiellen Therapie bei allen Patienten mit Verdacht auf Sepsis empfohlen</w:t>
      </w:r>
      <w:r w:rsidRPr="00207748">
        <w:rPr>
          <w:rFonts w:ascii="Cambria" w:eastAsia="Arial" w:hAnsi="Cambria" w:cs="Arial"/>
          <w:sz w:val="20"/>
          <w:szCs w:val="20"/>
          <w:vertAlign w:val="superscript"/>
        </w:rPr>
        <w:endnoteReference w:id="89"/>
      </w:r>
      <w:r w:rsidRPr="00207748">
        <w:rPr>
          <w:rFonts w:ascii="Cambria" w:hAnsi="Cambria" w:cs="Arial"/>
          <w:sz w:val="20"/>
          <w:szCs w:val="20"/>
        </w:rPr>
        <w:t>. Alle erforderlichen Blutkulturen können zum gleichen Zeitpunkt entnommen werden. Es gibt keinen Nachweis dafür, dass die Nachweisrate von Blutkulturen bei sequenziellen Entnahmen oder bei Abnahme im Temperaturanstieg höher ist.</w:t>
      </w:r>
      <w:r w:rsidRPr="00207748">
        <w:rPr>
          <w:rFonts w:ascii="Cambria" w:eastAsia="Arial" w:hAnsi="Cambria" w:cs="Arial"/>
          <w:sz w:val="20"/>
          <w:szCs w:val="20"/>
          <w:vertAlign w:val="superscript"/>
        </w:rPr>
        <w:endnoteReference w:id="90"/>
      </w:r>
      <w:r w:rsidRPr="00207748">
        <w:rPr>
          <w:rFonts w:ascii="Cambria" w:hAnsi="Cambria" w:cs="Arial"/>
          <w:sz w:val="20"/>
          <w:szCs w:val="20"/>
        </w:rPr>
        <w:t xml:space="preserve"> </w:t>
      </w:r>
      <w:bookmarkStart w:id="356" w:name="_Ref30503182"/>
      <w:r w:rsidRPr="00207748">
        <w:rPr>
          <w:rFonts w:ascii="Cambria" w:eastAsia="Arial" w:hAnsi="Cambria" w:cs="Arial"/>
          <w:sz w:val="20"/>
          <w:szCs w:val="20"/>
          <w:vertAlign w:val="superscript"/>
        </w:rPr>
        <w:endnoteReference w:id="91"/>
      </w:r>
      <w:bookmarkEnd w:id="356"/>
      <w:r w:rsidRPr="00207748">
        <w:rPr>
          <w:rFonts w:ascii="Cambria" w:hAnsi="Cambria" w:cs="Arial"/>
          <w:sz w:val="20"/>
          <w:szCs w:val="20"/>
        </w:rPr>
        <w:t xml:space="preserve"> Detaillierte Angaben zu geeigneten Entnahme- und Transportmethoden für Blutkulturproben sind in anderen Leitlinien enthalten. </w:t>
      </w:r>
      <w:r w:rsidR="00CB26D4" w:rsidRPr="00CB26D4">
        <w:rPr>
          <w:rStyle w:val="EndnoteZchn"/>
        </w:rPr>
        <w:fldChar w:fldCharType="begin"/>
      </w:r>
      <w:r w:rsidR="00CB26D4" w:rsidRPr="00CB26D4">
        <w:rPr>
          <w:rStyle w:val="EndnoteZchn"/>
        </w:rPr>
        <w:instrText xml:space="preserve"> NOTEREF _Ref30503182 \h </w:instrText>
      </w:r>
      <w:r w:rsidR="00CB26D4">
        <w:rPr>
          <w:rStyle w:val="EndnoteZchn"/>
        </w:rPr>
        <w:instrText xml:space="preserve"> \* MERGEFORMAT </w:instrText>
      </w:r>
      <w:r w:rsidR="00CB26D4" w:rsidRPr="00CB26D4">
        <w:rPr>
          <w:rStyle w:val="EndnoteZchn"/>
        </w:rPr>
      </w:r>
      <w:r w:rsidR="00CB26D4" w:rsidRPr="00CB26D4">
        <w:rPr>
          <w:rStyle w:val="EndnoteZchn"/>
        </w:rPr>
        <w:fldChar w:fldCharType="separate"/>
      </w:r>
      <w:r w:rsidR="001A283B">
        <w:rPr>
          <w:rStyle w:val="EndnoteZchn"/>
        </w:rPr>
        <w:t>91</w:t>
      </w:r>
      <w:r w:rsidR="00CB26D4" w:rsidRPr="00CB26D4">
        <w:rPr>
          <w:rStyle w:val="EndnoteZchn"/>
        </w:rPr>
        <w:fldChar w:fldCharType="end"/>
      </w:r>
      <w:r w:rsidR="00CB26D4">
        <w:rPr>
          <w:rStyle w:val="EndnoteZchn"/>
        </w:rPr>
        <w:t xml:space="preserve"> </w:t>
      </w:r>
      <w:r w:rsidRPr="00CB26D4">
        <w:rPr>
          <w:rStyle w:val="EndnoteRealZchn"/>
        </w:rPr>
        <w:endnoteReference w:id="92"/>
      </w:r>
    </w:p>
    <w:p w14:paraId="2C082DC3" w14:textId="77777777" w:rsidR="00E11869" w:rsidRPr="00207748" w:rsidRDefault="00447357" w:rsidP="004454B6">
      <w:pPr>
        <w:rPr>
          <w:rFonts w:ascii="Cambria" w:eastAsia="Arial" w:hAnsi="Cambria" w:cs="Arial"/>
          <w:spacing w:val="-1"/>
          <w:sz w:val="20"/>
          <w:szCs w:val="20"/>
        </w:rPr>
      </w:pPr>
      <w:r w:rsidRPr="00207748">
        <w:rPr>
          <w:rFonts w:ascii="Cambria" w:hAnsi="Cambria" w:cs="Arial"/>
          <w:spacing w:val="-1"/>
          <w:sz w:val="20"/>
          <w:szCs w:val="20"/>
        </w:rPr>
        <w:t xml:space="preserve">Bei potenziell septischen Patienten mit einem intravaskulären Katheter (der mehr als 48 Stunden in situ ist), bei denen die Infektionslokalisation nicht klinisch erkennbar ist oder bei denen ein Verdacht auf eine intravaskuläre, Katheter-assoziierte Infektion besteht, sollte mindestens ein Blutkultur-Set aus dem Katheter entnommen werden (neben den </w:t>
      </w:r>
      <w:r w:rsidRPr="00207748">
        <w:rPr>
          <w:rFonts w:ascii="Cambria" w:hAnsi="Cambria" w:cs="Arial"/>
          <w:spacing w:val="-1"/>
          <w:sz w:val="20"/>
          <w:szCs w:val="20"/>
        </w:rPr>
        <w:lastRenderedPageBreak/>
        <w:t xml:space="preserve">gleichzeitig entnommenen peripheren Blutkulturen). Diese kann die Diagnose einer potenziell </w:t>
      </w:r>
      <w:r w:rsidR="00EC3DBA" w:rsidRPr="00207748">
        <w:rPr>
          <w:rFonts w:ascii="Cambria" w:hAnsi="Cambria" w:cs="Arial"/>
          <w:spacing w:val="-1"/>
          <w:sz w:val="20"/>
          <w:szCs w:val="20"/>
        </w:rPr>
        <w:t>K</w:t>
      </w:r>
      <w:r w:rsidRPr="00207748">
        <w:rPr>
          <w:rFonts w:ascii="Cambria" w:hAnsi="Cambria" w:cs="Arial"/>
          <w:spacing w:val="-1"/>
          <w:sz w:val="20"/>
          <w:szCs w:val="20"/>
        </w:rPr>
        <w:t xml:space="preserve">atheter-assoziierten Blutstrom-Infektionen stützen. Die Daten bezüglich des Nutzens der als „Differential </w:t>
      </w:r>
      <w:r w:rsidR="001A58EF" w:rsidRPr="00207748">
        <w:rPr>
          <w:rFonts w:ascii="Cambria" w:hAnsi="Cambria" w:cs="Arial"/>
          <w:spacing w:val="-1"/>
          <w:sz w:val="20"/>
          <w:szCs w:val="20"/>
        </w:rPr>
        <w:t>T</w:t>
      </w:r>
      <w:r w:rsidRPr="00207748">
        <w:rPr>
          <w:rFonts w:ascii="Cambria" w:hAnsi="Cambria" w:cs="Arial"/>
          <w:spacing w:val="-1"/>
          <w:sz w:val="20"/>
          <w:szCs w:val="20"/>
        </w:rPr>
        <w:t xml:space="preserve">ime to </w:t>
      </w:r>
      <w:r w:rsidR="001A58EF" w:rsidRPr="00207748">
        <w:rPr>
          <w:rFonts w:ascii="Cambria" w:hAnsi="Cambria" w:cs="Arial"/>
          <w:spacing w:val="-1"/>
          <w:sz w:val="20"/>
          <w:szCs w:val="20"/>
        </w:rPr>
        <w:t>P</w:t>
      </w:r>
      <w:r w:rsidRPr="00207748">
        <w:rPr>
          <w:rFonts w:ascii="Cambria" w:hAnsi="Cambria" w:cs="Arial"/>
          <w:spacing w:val="-1"/>
          <w:sz w:val="20"/>
          <w:szCs w:val="20"/>
        </w:rPr>
        <w:t>ositivity“ (</w:t>
      </w:r>
      <w:r w:rsidRPr="00207748">
        <w:rPr>
          <w:rFonts w:ascii="Cambria" w:hAnsi="Cambria" w:cs="Arial"/>
          <w:bCs/>
          <w:sz w:val="20"/>
          <w:szCs w:val="20"/>
        </w:rPr>
        <w:t xml:space="preserve">DTP) bekannten Untersuchungsmethode </w:t>
      </w:r>
      <w:r w:rsidRPr="00207748">
        <w:rPr>
          <w:rFonts w:ascii="Cambria" w:hAnsi="Cambria" w:cs="Arial"/>
          <w:spacing w:val="-1"/>
          <w:sz w:val="20"/>
          <w:szCs w:val="20"/>
        </w:rPr>
        <w:t>sind inkonsistent, was die Wahrscheinlichkeit betrifft, dass der vaskuläre Zugang den Infektionsherd darstellt.</w:t>
      </w:r>
      <w:r w:rsidRPr="00207748">
        <w:rPr>
          <w:rFonts w:ascii="Cambria" w:eastAsia="Arial" w:hAnsi="Cambria" w:cs="Arial"/>
          <w:spacing w:val="-1"/>
          <w:sz w:val="20"/>
          <w:szCs w:val="20"/>
          <w:vertAlign w:val="superscript"/>
        </w:rPr>
        <w:endnoteReference w:id="93"/>
      </w:r>
      <w:r w:rsidRPr="00207748">
        <w:rPr>
          <w:rFonts w:ascii="Cambria" w:hAnsi="Cambria" w:cs="Arial"/>
          <w:spacing w:val="-1"/>
          <w:sz w:val="20"/>
          <w:szCs w:val="20"/>
        </w:rPr>
        <w:t xml:space="preserve"> </w:t>
      </w:r>
      <w:r w:rsidRPr="00207748">
        <w:rPr>
          <w:rFonts w:ascii="Cambria" w:eastAsia="Arial" w:hAnsi="Cambria" w:cs="Arial"/>
          <w:spacing w:val="-1"/>
          <w:sz w:val="20"/>
          <w:szCs w:val="20"/>
          <w:vertAlign w:val="superscript"/>
        </w:rPr>
        <w:endnoteReference w:id="94"/>
      </w:r>
      <w:r w:rsidRPr="00207748">
        <w:rPr>
          <w:rFonts w:ascii="Cambria" w:hAnsi="Cambria" w:cs="Arial"/>
          <w:spacing w:val="-1"/>
          <w:sz w:val="20"/>
          <w:szCs w:val="20"/>
        </w:rPr>
        <w:t xml:space="preserve"> </w:t>
      </w:r>
      <w:r w:rsidRPr="00207748">
        <w:rPr>
          <w:rFonts w:ascii="Cambria" w:eastAsia="Arial" w:hAnsi="Cambria" w:cs="Arial"/>
          <w:spacing w:val="-1"/>
          <w:sz w:val="20"/>
          <w:szCs w:val="20"/>
          <w:vertAlign w:val="superscript"/>
        </w:rPr>
        <w:endnoteReference w:id="95"/>
      </w:r>
      <w:r w:rsidRPr="00207748">
        <w:rPr>
          <w:rFonts w:ascii="Cambria" w:hAnsi="Cambria" w:cs="Arial"/>
          <w:spacing w:val="-1"/>
          <w:sz w:val="20"/>
          <w:szCs w:val="20"/>
        </w:rPr>
        <w:t xml:space="preserve"> Die Entnahme von Blutkulturen aus einem intravaskulären Katheter zur Diagnose einer Katheter-assoziierten Infektion soll nicht verhindern oder verzögern, dass der Katheter als potenzielle Infektionsquelle sofort nach der Probenahme entfernt wird (insbesondere bei nicht-getunnelten Kathetern).</w:t>
      </w:r>
    </w:p>
    <w:p w14:paraId="50D06010" w14:textId="6231599B" w:rsidR="00E11869" w:rsidRPr="00207748" w:rsidRDefault="00447357" w:rsidP="004454B6">
      <w:pPr>
        <w:rPr>
          <w:rFonts w:ascii="Cambria" w:eastAsia="Arial" w:hAnsi="Cambria" w:cs="Arial"/>
          <w:spacing w:val="-1"/>
          <w:sz w:val="20"/>
          <w:szCs w:val="20"/>
        </w:rPr>
      </w:pPr>
      <w:r w:rsidRPr="00207748">
        <w:rPr>
          <w:rFonts w:ascii="Cambria" w:hAnsi="Cambria" w:cs="Arial"/>
          <w:spacing w:val="-1"/>
          <w:sz w:val="20"/>
          <w:szCs w:val="20"/>
        </w:rPr>
        <w:t xml:space="preserve">Besteht beim Patienten kein Verdacht auf eine </w:t>
      </w:r>
      <w:r w:rsidR="00EC3DBA" w:rsidRPr="00207748">
        <w:rPr>
          <w:rFonts w:ascii="Cambria" w:hAnsi="Cambria" w:cs="Arial"/>
          <w:spacing w:val="-1"/>
          <w:sz w:val="20"/>
          <w:szCs w:val="20"/>
        </w:rPr>
        <w:t>K</w:t>
      </w:r>
      <w:r w:rsidRPr="00207748">
        <w:rPr>
          <w:rFonts w:ascii="Cambria" w:hAnsi="Cambria" w:cs="Arial"/>
          <w:spacing w:val="-1"/>
          <w:sz w:val="20"/>
          <w:szCs w:val="20"/>
        </w:rPr>
        <w:t>atheter-assoziierte Infektion, wird jedoch ein anderer klinischer Infektionsherd vermutet, sollte mindestens eine Blutkultur (der zwei oder mehr Blutkulturen, die benötigt werden) peripher entnommen werden. Für die Entnahme der weiteren Blutkulturen kann keine Empfehlung gegeben werden, wo diese zu entnehmen sind. Die folgenden Optionen stehen zur Verfügung: a) alle Blutkulturen werden peripher über eine Venenpunktion entnommen, b) die Kulturen werden über jeden einzelnen intravaskulären Zugang, aber nicht über mehrere Lumina ein und desselben intravaskulären Katheters entnommen, oder c) die Kulturen werden über mehrere Lumina eines intravaskulären Zugangs entnommen.</w:t>
      </w:r>
      <w:r w:rsidRPr="00207748">
        <w:rPr>
          <w:rFonts w:ascii="Cambria" w:eastAsia="Arial" w:hAnsi="Cambria" w:cs="Arial"/>
          <w:spacing w:val="-1"/>
          <w:sz w:val="20"/>
          <w:szCs w:val="20"/>
          <w:vertAlign w:val="superscript"/>
        </w:rPr>
        <w:endnoteReference w:id="96"/>
      </w:r>
      <w:r w:rsidRPr="00207748">
        <w:rPr>
          <w:rFonts w:ascii="Cambria" w:hAnsi="Cambria" w:cs="Arial"/>
          <w:spacing w:val="-1"/>
          <w:sz w:val="20"/>
          <w:szCs w:val="20"/>
        </w:rPr>
        <w:t xml:space="preserve"> </w:t>
      </w:r>
      <w:r w:rsidRPr="00207748">
        <w:rPr>
          <w:rFonts w:ascii="Cambria" w:eastAsia="Arial" w:hAnsi="Cambria" w:cs="Arial"/>
          <w:spacing w:val="-1"/>
          <w:sz w:val="20"/>
          <w:szCs w:val="20"/>
          <w:vertAlign w:val="superscript"/>
        </w:rPr>
        <w:endnoteReference w:id="97"/>
      </w:r>
      <w:r w:rsidRPr="00207748">
        <w:rPr>
          <w:rFonts w:ascii="Cambria" w:hAnsi="Cambria" w:cs="Arial"/>
          <w:spacing w:val="-1"/>
          <w:sz w:val="20"/>
          <w:szCs w:val="20"/>
        </w:rPr>
        <w:t xml:space="preserve"> </w:t>
      </w:r>
      <w:r w:rsidRPr="00207748">
        <w:rPr>
          <w:rFonts w:ascii="Cambria" w:eastAsia="Arial" w:hAnsi="Cambria" w:cs="Arial"/>
          <w:spacing w:val="-1"/>
          <w:sz w:val="20"/>
          <w:szCs w:val="20"/>
          <w:vertAlign w:val="superscript"/>
        </w:rPr>
        <w:endnoteReference w:id="98"/>
      </w:r>
      <w:r w:rsidRPr="00207748">
        <w:rPr>
          <w:rFonts w:ascii="Cambria" w:hAnsi="Cambria" w:cs="Arial"/>
          <w:spacing w:val="-1"/>
          <w:sz w:val="20"/>
          <w:szCs w:val="20"/>
        </w:rPr>
        <w:t xml:space="preserve"> </w:t>
      </w:r>
      <w:r w:rsidRPr="00207748">
        <w:rPr>
          <w:rFonts w:ascii="Cambria" w:eastAsia="Arial" w:hAnsi="Cambria" w:cs="Arial"/>
          <w:spacing w:val="-1"/>
          <w:sz w:val="20"/>
          <w:szCs w:val="20"/>
          <w:vertAlign w:val="superscript"/>
        </w:rPr>
        <w:endnoteReference w:id="99"/>
      </w:r>
      <w:r w:rsidR="00EF1A9E">
        <w:rPr>
          <w:rFonts w:ascii="Cambria" w:hAnsi="Cambria" w:cs="Arial"/>
          <w:spacing w:val="-1"/>
          <w:sz w:val="20"/>
          <w:szCs w:val="20"/>
        </w:rPr>
        <w:t xml:space="preserve"> </w:t>
      </w:r>
      <w:r w:rsidRPr="00207748">
        <w:rPr>
          <w:rFonts w:ascii="Cambria" w:eastAsia="Arial" w:hAnsi="Cambria" w:cs="Arial"/>
          <w:spacing w:val="-1"/>
          <w:sz w:val="20"/>
          <w:szCs w:val="20"/>
          <w:vertAlign w:val="superscript"/>
        </w:rPr>
        <w:endnoteReference w:id="100"/>
      </w:r>
    </w:p>
    <w:p w14:paraId="650237ED" w14:textId="77777777" w:rsidR="00E11869" w:rsidRPr="00207748" w:rsidRDefault="00447357" w:rsidP="004454B6">
      <w:pPr>
        <w:rPr>
          <w:rFonts w:ascii="Cambria" w:eastAsia="Arial" w:hAnsi="Cambria" w:cs="Arial"/>
          <w:b/>
          <w:bCs/>
          <w:spacing w:val="-2"/>
          <w:sz w:val="20"/>
          <w:szCs w:val="20"/>
        </w:rPr>
      </w:pPr>
      <w:r w:rsidRPr="00207748">
        <w:rPr>
          <w:rFonts w:ascii="Cambria" w:hAnsi="Cambria" w:cs="Arial"/>
          <w:sz w:val="20"/>
          <w:szCs w:val="20"/>
        </w:rPr>
        <w:t xml:space="preserve">In der nahen Zukunft könnten molekulardiagnostische Methoden die Möglichkeit bieten, Infektionen schneller und präziser zu diagnostizieren, als es mit den derzeit verfügbaren Methoden möglich ist. Obwohl unterschiedliche Technologien beschrieben worden sind, ist die klinische Erfahrung diesbezüglich bisher begrenzt und es werden zusätzliche Validierungen benötigt, bevor diese Methoden als Ergänzung oder Ersatz im Hinblick auf die Standard-Blutkulturtechniken empfohlen werden können. </w:t>
      </w:r>
      <w:r w:rsidRPr="00207748">
        <w:rPr>
          <w:rFonts w:ascii="Cambria" w:eastAsia="Arial" w:hAnsi="Cambria" w:cs="Arial"/>
          <w:sz w:val="20"/>
          <w:szCs w:val="20"/>
          <w:vertAlign w:val="superscript"/>
        </w:rPr>
        <w:endnoteReference w:id="101"/>
      </w:r>
      <w:r w:rsidRPr="00207748">
        <w:rPr>
          <w:rFonts w:ascii="Cambria" w:hAnsi="Cambria" w:cs="Arial"/>
          <w:sz w:val="20"/>
          <w:szCs w:val="20"/>
        </w:rPr>
        <w:t xml:space="preserve"> </w:t>
      </w:r>
      <w:r w:rsidRPr="00207748">
        <w:rPr>
          <w:rFonts w:ascii="Cambria" w:eastAsia="Arial" w:hAnsi="Cambria" w:cs="Arial"/>
          <w:sz w:val="20"/>
          <w:szCs w:val="20"/>
          <w:vertAlign w:val="superscript"/>
        </w:rPr>
        <w:endnoteReference w:id="102"/>
      </w:r>
      <w:r w:rsidRPr="00207748">
        <w:rPr>
          <w:rFonts w:ascii="Cambria" w:hAnsi="Cambria" w:cs="Arial"/>
          <w:sz w:val="20"/>
          <w:szCs w:val="20"/>
        </w:rPr>
        <w:t xml:space="preserve"> </w:t>
      </w:r>
      <w:r w:rsidRPr="00207748">
        <w:rPr>
          <w:rFonts w:ascii="Cambria" w:eastAsia="Arial" w:hAnsi="Cambria" w:cs="Arial"/>
          <w:sz w:val="20"/>
          <w:szCs w:val="20"/>
          <w:vertAlign w:val="superscript"/>
        </w:rPr>
        <w:endnoteReference w:id="103"/>
      </w:r>
      <w:r w:rsidRPr="00207748">
        <w:rPr>
          <w:rFonts w:ascii="Cambria" w:hAnsi="Cambria" w:cs="Arial"/>
          <w:sz w:val="20"/>
          <w:szCs w:val="20"/>
        </w:rPr>
        <w:t xml:space="preserve"> Außerdem werden die Empfindlichkeitsprüfungen der Mikroorganismen gegenüber den Antiinfektiva zumindest in der näheren Zukunft weiterhin erfordern, dass der Erreger angezüchtet und </w:t>
      </w:r>
      <w:r w:rsidRPr="00207748">
        <w:rPr>
          <w:rFonts w:ascii="Cambria" w:hAnsi="Cambria" w:cs="Arial"/>
          <w:sz w:val="20"/>
          <w:szCs w:val="20"/>
        </w:rPr>
        <w:lastRenderedPageBreak/>
        <w:t>mittels phänotypischer Methoden direkt getestet wird.</w:t>
      </w: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866"/>
        <w:gridCol w:w="1645"/>
        <w:gridCol w:w="822"/>
      </w:tblGrid>
      <w:tr w:rsidR="00E11869" w:rsidRPr="00207748" w14:paraId="45BCEA98" w14:textId="77777777" w:rsidTr="002B1061">
        <w:trPr>
          <w:trHeight w:val="282"/>
        </w:trPr>
        <w:tc>
          <w:tcPr>
            <w:tcW w:w="2154"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21287171"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t xml:space="preserve">C.2 </w:t>
            </w:r>
          </w:p>
        </w:tc>
        <w:tc>
          <w:tcPr>
            <w:tcW w:w="1898"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2794B692"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 xml:space="preserve">Empfehlung </w:t>
            </w:r>
          </w:p>
        </w:tc>
        <w:tc>
          <w:tcPr>
            <w:tcW w:w="948"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0F2CD390"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2018</w:t>
            </w:r>
          </w:p>
        </w:tc>
      </w:tr>
      <w:tr w:rsidR="00E11869" w:rsidRPr="00207748" w14:paraId="5D382A44" w14:textId="77777777" w:rsidTr="002B1061">
        <w:trPr>
          <w:trHeight w:val="5128"/>
        </w:trPr>
        <w:tc>
          <w:tcPr>
            <w:tcW w:w="2154"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80944B"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Expertenkonsens</w:t>
            </w:r>
          </w:p>
        </w:tc>
        <w:tc>
          <w:tcPr>
            <w:tcW w:w="284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6019A"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Hyper- oder Hypothermie gehören zu den Kardinalsymptomen für das Vorliegen einer Infektion. Wir empfehlen für den Nachweis einer Hyper- oder Hypothermie die Verwendung von kalibrierten Methoden, entweder über zentrale Messungen der Körperkerntemperatur (rektal, zentralvenös, Harnblase, Ösophagus) oder, falls nicht verfügbar, mittels Infrarotthermometer in Ohr oder Mund.</w:t>
            </w:r>
          </w:p>
        </w:tc>
      </w:tr>
      <w:tr w:rsidR="00E11869" w:rsidRPr="00207748" w14:paraId="1AFEC187" w14:textId="77777777" w:rsidTr="002B1061">
        <w:trPr>
          <w:trHeight w:val="562"/>
        </w:trPr>
        <w:tc>
          <w:tcPr>
            <w:tcW w:w="2154" w:type="pct"/>
            <w:vMerge/>
            <w:tcBorders>
              <w:top w:val="single" w:sz="4" w:space="0" w:color="000000"/>
              <w:left w:val="single" w:sz="4" w:space="0" w:color="000000"/>
              <w:bottom w:val="single" w:sz="4" w:space="0" w:color="000000"/>
              <w:right w:val="single" w:sz="4" w:space="0" w:color="000000"/>
            </w:tcBorders>
            <w:shd w:val="clear" w:color="auto" w:fill="auto"/>
          </w:tcPr>
          <w:p w14:paraId="4EBA4AD1" w14:textId="77777777" w:rsidR="00E11869" w:rsidRPr="00207748" w:rsidRDefault="00E11869" w:rsidP="004454B6">
            <w:pPr>
              <w:rPr>
                <w:rFonts w:ascii="Cambria" w:hAnsi="Cambria" w:cs="Arial"/>
                <w:sz w:val="20"/>
                <w:szCs w:val="20"/>
              </w:rPr>
            </w:pPr>
          </w:p>
        </w:tc>
        <w:tc>
          <w:tcPr>
            <w:tcW w:w="284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52524"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Zusätzliche DSG-Leitlinienempfehlung</w:t>
            </w:r>
          </w:p>
        </w:tc>
      </w:tr>
      <w:tr w:rsidR="00E11869" w:rsidRPr="00207748" w14:paraId="6054E2D7" w14:textId="77777777" w:rsidTr="002B1061">
        <w:trPr>
          <w:trHeight w:val="282"/>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31DA7" w14:textId="77777777" w:rsidR="00E11869" w:rsidRPr="00207748" w:rsidRDefault="00E11869" w:rsidP="004454B6">
            <w:pPr>
              <w:rPr>
                <w:rFonts w:ascii="Cambria" w:hAnsi="Cambria" w:cs="Arial"/>
                <w:sz w:val="20"/>
                <w:szCs w:val="20"/>
              </w:rPr>
            </w:pPr>
          </w:p>
        </w:tc>
        <w:tc>
          <w:tcPr>
            <w:tcW w:w="284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55FB2" w14:textId="77777777" w:rsidR="00E11869" w:rsidRPr="00207748" w:rsidRDefault="00447357" w:rsidP="004454B6">
            <w:pPr>
              <w:spacing w:after="0"/>
              <w:rPr>
                <w:rFonts w:ascii="Cambria" w:hAnsi="Cambria" w:cs="Arial"/>
                <w:sz w:val="20"/>
                <w:szCs w:val="20"/>
              </w:rPr>
            </w:pPr>
            <w:r w:rsidRPr="00207748">
              <w:rPr>
                <w:rFonts w:ascii="Cambria" w:hAnsi="Cambria" w:cs="Arial"/>
                <w:sz w:val="20"/>
                <w:szCs w:val="20"/>
              </w:rPr>
              <w:t>Konsensstärke 100 %</w:t>
            </w:r>
          </w:p>
        </w:tc>
      </w:tr>
    </w:tbl>
    <w:p w14:paraId="338F2E45" w14:textId="77777777" w:rsidR="00342FB3" w:rsidRPr="00207748" w:rsidRDefault="00342FB3" w:rsidP="004454B6">
      <w:pPr>
        <w:rPr>
          <w:rFonts w:ascii="Cambria" w:eastAsia="Arial" w:hAnsi="Cambria" w:cs="Arial"/>
          <w:b/>
          <w:bCs/>
          <w:sz w:val="20"/>
          <w:szCs w:val="20"/>
        </w:rPr>
      </w:pPr>
    </w:p>
    <w:p w14:paraId="62C48A7E" w14:textId="03A9F702" w:rsidR="00E11869" w:rsidRPr="00207748" w:rsidRDefault="00420A45" w:rsidP="004454B6">
      <w:pPr>
        <w:rPr>
          <w:rFonts w:ascii="Cambria" w:hAnsi="Cambria" w:cs="Arial"/>
          <w:sz w:val="20"/>
          <w:szCs w:val="20"/>
        </w:rPr>
      </w:pPr>
      <w:r w:rsidRPr="00207748">
        <w:rPr>
          <w:rFonts w:ascii="Cambria" w:hAnsi="Cambria" w:cs="Arial"/>
          <w:b/>
          <w:bCs/>
          <w:spacing w:val="-4"/>
          <w:sz w:val="20"/>
          <w:szCs w:val="20"/>
        </w:rPr>
        <w:t>Begründung:</w:t>
      </w:r>
      <w:r w:rsidR="00447357" w:rsidRPr="00207748">
        <w:rPr>
          <w:rFonts w:ascii="Cambria" w:hAnsi="Cambria" w:cs="Arial"/>
          <w:spacing w:val="-4"/>
          <w:sz w:val="20"/>
          <w:szCs w:val="20"/>
        </w:rPr>
        <w:t xml:space="preserve"> </w:t>
      </w:r>
      <w:r w:rsidR="00447357" w:rsidRPr="00207748">
        <w:rPr>
          <w:rFonts w:ascii="Cambria" w:hAnsi="Cambria" w:cs="Arial"/>
          <w:sz w:val="20"/>
          <w:szCs w:val="20"/>
        </w:rPr>
        <w:t xml:space="preserve">Kalibrierte Trommelfellthermometer oder orale Thermometer, die auf Infrarotmethoden beruhen, sind hinreichend genau. Periphere Thermometer haben allerdings keine klinisch akzeptable Genauigkeit zur Messung der Kerntemperatur im Vergleich zu zentralen Thermometern. In einer jüngsten Meta-Analyse erfüllten nur </w:t>
      </w:r>
      <w:r w:rsidR="00EC3DBA" w:rsidRPr="00207748">
        <w:rPr>
          <w:rFonts w:ascii="Cambria" w:hAnsi="Cambria" w:cs="Arial"/>
          <w:sz w:val="20"/>
          <w:szCs w:val="20"/>
        </w:rPr>
        <w:t>kalibrierte</w:t>
      </w:r>
      <w:r w:rsidR="00447357" w:rsidRPr="00207748">
        <w:rPr>
          <w:rFonts w:ascii="Cambria" w:hAnsi="Cambria" w:cs="Arial"/>
          <w:sz w:val="20"/>
          <w:szCs w:val="20"/>
        </w:rPr>
        <w:t xml:space="preserve"> Trommelfellthermometer oder Mundthermometer die Limits of Agreement (LOA), aber alle anderen Arten von peripheren Thermometern übertrafen die LOA im Vergleich zu zentralen Thermometern. Zum Nachweis von Fieber bei Erwachsenen und Kindern mit peripheren Thermometern betrug die gepoolte Sensitivität 64 % (95 % CI, 55 bis 72, I2 = 96 %), Spezifität 96 % (CI 93 bis 97, I2 = 96 %). Die Likelihood Ratio (LR) für einen positiven Test</w:t>
      </w:r>
      <w:r w:rsidR="00447357" w:rsidRPr="00207748">
        <w:rPr>
          <w:rFonts w:ascii="Cambria" w:hAnsi="Cambria" w:cs="Arial"/>
          <w:spacing w:val="-4"/>
          <w:sz w:val="20"/>
          <w:szCs w:val="20"/>
          <w:highlight w:val="lightGray"/>
        </w:rPr>
        <w:t xml:space="preserve"> </w:t>
      </w:r>
      <w:r w:rsidR="00447357" w:rsidRPr="00207748">
        <w:rPr>
          <w:rFonts w:ascii="Cambria" w:hAnsi="Cambria" w:cs="Arial"/>
          <w:sz w:val="20"/>
          <w:szCs w:val="20"/>
        </w:rPr>
        <w:lastRenderedPageBreak/>
        <w:t xml:space="preserve">betrug 14,5 (I2 = 94 %) und das Wahrscheinlichkeitsverhältnis für einen negativen Test betrug 0,38 (I2 = 97 %). </w:t>
      </w:r>
      <w:r w:rsidR="00447357" w:rsidRPr="00CB26D4">
        <w:rPr>
          <w:rStyle w:val="EndnoteRealZchn"/>
        </w:rPr>
        <w:endnoteReference w:id="104"/>
      </w:r>
    </w:p>
    <w:p w14:paraId="2901DD9D" w14:textId="77777777" w:rsidR="00E11869" w:rsidRPr="00182D07" w:rsidRDefault="00447357" w:rsidP="004454B6">
      <w:pPr>
        <w:pStyle w:val="berschrift2"/>
        <w:rPr>
          <w:b w:val="0"/>
        </w:rPr>
      </w:pPr>
      <w:bookmarkStart w:id="357" w:name="_Toc25845111"/>
      <w:bookmarkStart w:id="358" w:name="_Toc437861459"/>
      <w:bookmarkStart w:id="359" w:name="_Toc31278497"/>
      <w:r w:rsidRPr="00182D07">
        <w:t>D. Antimikrobielle Therapie</w:t>
      </w:r>
      <w:bookmarkEnd w:id="357"/>
      <w:bookmarkEnd w:id="358"/>
      <w:bookmarkEnd w:id="359"/>
    </w:p>
    <w:p w14:paraId="479FA1B5" w14:textId="77777777" w:rsidR="00E11869" w:rsidRPr="00207748" w:rsidRDefault="00E11869" w:rsidP="00FB33A2">
      <w:pPr>
        <w:pStyle w:val="KeinLeerraum"/>
      </w:pP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18"/>
        <w:gridCol w:w="834"/>
      </w:tblGrid>
      <w:tr w:rsidR="00E11869" w:rsidRPr="00207748" w14:paraId="308B6B5B"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20B7625"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t>D.1</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1CC037AB"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152466E0"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2018</w:t>
            </w:r>
          </w:p>
        </w:tc>
      </w:tr>
      <w:tr w:rsidR="00E11869" w:rsidRPr="00207748" w14:paraId="5AC6D396" w14:textId="77777777" w:rsidTr="00342FB3">
        <w:trPr>
          <w:trHeight w:val="308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23C93"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t>Empfehlungsgrad</w:t>
            </w:r>
          </w:p>
          <w:p w14:paraId="3DFACE49" w14:textId="77777777" w:rsidR="00E11869" w:rsidRPr="00207748" w:rsidRDefault="00E11869" w:rsidP="004454B6">
            <w:pPr>
              <w:spacing w:after="0"/>
              <w:rPr>
                <w:rFonts w:ascii="Cambria" w:eastAsia="Arial" w:hAnsi="Cambria" w:cs="Arial"/>
                <w:sz w:val="20"/>
                <w:szCs w:val="20"/>
              </w:rPr>
            </w:pPr>
          </w:p>
          <w:p w14:paraId="59C89C29" w14:textId="77777777" w:rsidR="00E11869" w:rsidRPr="00207748" w:rsidRDefault="00447357" w:rsidP="004454B6">
            <w:pPr>
              <w:spacing w:after="0"/>
              <w:rPr>
                <w:rFonts w:ascii="Cambria" w:eastAsia="Arial" w:hAnsi="Cambria" w:cs="Arial"/>
                <w:b/>
                <w:bCs/>
                <w:sz w:val="20"/>
                <w:szCs w:val="20"/>
              </w:rPr>
            </w:pPr>
            <w:r w:rsidRPr="00207748">
              <w:rPr>
                <w:rFonts w:ascii="Cambria" w:hAnsi="Cambria" w:cs="Arial"/>
                <w:b/>
                <w:bCs/>
                <w:sz w:val="20"/>
                <w:szCs w:val="20"/>
              </w:rPr>
              <w:t>stark</w:t>
            </w:r>
          </w:p>
          <w:p w14:paraId="001BC257" w14:textId="77777777" w:rsidR="00E11869" w:rsidRPr="00207748" w:rsidRDefault="00E11869" w:rsidP="004454B6">
            <w:pPr>
              <w:spacing w:after="0"/>
              <w:rPr>
                <w:rFonts w:ascii="Cambria" w:eastAsia="Arial" w:hAnsi="Cambria" w:cs="Arial"/>
                <w:sz w:val="20"/>
                <w:szCs w:val="20"/>
              </w:rPr>
            </w:pPr>
          </w:p>
          <w:p w14:paraId="43FB373B"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t>Evidenzgrad</w:t>
            </w:r>
          </w:p>
          <w:p w14:paraId="1782B20C" w14:textId="77777777" w:rsidR="00E11869" w:rsidRPr="00207748" w:rsidRDefault="00E11869" w:rsidP="004454B6">
            <w:pPr>
              <w:spacing w:after="0"/>
              <w:rPr>
                <w:rFonts w:ascii="Cambria" w:eastAsia="Arial" w:hAnsi="Cambria" w:cs="Arial"/>
                <w:b/>
                <w:bCs/>
                <w:sz w:val="20"/>
                <w:szCs w:val="20"/>
              </w:rPr>
            </w:pPr>
          </w:p>
          <w:p w14:paraId="0BF52F88"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 xml:space="preserve">moderat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D3E96"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 xml:space="preserve">Wir empfehlen, dass die Verabreichung von intravenösen Antiinfektiva so schnell wie möglich, idealerweise innerhalb einer Stunde, nach der Diagnose einer Sepsis oder eines septischen Schocks erfolgt. </w:t>
            </w:r>
          </w:p>
        </w:tc>
      </w:tr>
      <w:tr w:rsidR="00E11869" w:rsidRPr="00207748" w14:paraId="3DDCB503" w14:textId="77777777" w:rsidTr="00342FB3">
        <w:trPr>
          <w:trHeight w:val="56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18B00C31"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08074" w14:textId="5B3AF6C0"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SSC</w:t>
            </w:r>
            <w:r w:rsidR="001A58EF" w:rsidRPr="00207748">
              <w:rPr>
                <w:rFonts w:ascii="Cambria" w:hAnsi="Cambria" w:cs="Arial"/>
                <w:b/>
                <w:bCs/>
                <w:sz w:val="20"/>
                <w:szCs w:val="20"/>
              </w:rPr>
              <w:t>-</w:t>
            </w:r>
            <w:r w:rsidRPr="00207748">
              <w:rPr>
                <w:rFonts w:ascii="Cambria" w:hAnsi="Cambria" w:cs="Arial"/>
                <w:b/>
                <w:bCs/>
                <w:sz w:val="20"/>
                <w:szCs w:val="20"/>
              </w:rPr>
              <w:t>Leitlinienadaptation</w:t>
            </w:r>
            <w:r w:rsidR="002B1061">
              <w:rPr>
                <w:rFonts w:ascii="Cambria" w:hAnsi="Cambria" w:cs="Arial"/>
                <w:b/>
                <w:bCs/>
                <w:sz w:val="20"/>
                <w:szCs w:val="20"/>
              </w:rPr>
              <w:t xml:space="preserve"> </w:t>
            </w:r>
          </w:p>
        </w:tc>
      </w:tr>
      <w:tr w:rsidR="00E11869" w:rsidRPr="00207748" w14:paraId="7F80DCA4"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909E2"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CFC1D" w14:textId="77777777" w:rsidR="00E11869" w:rsidRPr="00207748" w:rsidRDefault="00447357" w:rsidP="004454B6">
            <w:pPr>
              <w:spacing w:after="0"/>
              <w:rPr>
                <w:rFonts w:ascii="Cambria" w:hAnsi="Cambria" w:cs="Arial"/>
                <w:sz w:val="20"/>
                <w:szCs w:val="20"/>
              </w:rPr>
            </w:pPr>
            <w:r w:rsidRPr="00207748">
              <w:rPr>
                <w:rFonts w:ascii="Cambria" w:hAnsi="Cambria" w:cs="Arial"/>
                <w:sz w:val="20"/>
                <w:szCs w:val="20"/>
              </w:rPr>
              <w:t>Konsens</w:t>
            </w:r>
            <w:r w:rsidR="003B1537" w:rsidRPr="00207748">
              <w:rPr>
                <w:rFonts w:ascii="Cambria" w:hAnsi="Cambria" w:cs="Arial"/>
                <w:sz w:val="20"/>
                <w:szCs w:val="20"/>
              </w:rPr>
              <w:t>stärke</w:t>
            </w:r>
            <w:r w:rsidRPr="00207748">
              <w:rPr>
                <w:rFonts w:ascii="Cambria" w:hAnsi="Cambria" w:cs="Arial"/>
                <w:sz w:val="20"/>
                <w:szCs w:val="20"/>
              </w:rPr>
              <w:t>: 100 %</w:t>
            </w:r>
          </w:p>
        </w:tc>
      </w:tr>
    </w:tbl>
    <w:p w14:paraId="0D9D8661" w14:textId="77777777" w:rsidR="00E11869" w:rsidRPr="00207748" w:rsidRDefault="00E11869" w:rsidP="004454B6">
      <w:pPr>
        <w:widowControl w:val="0"/>
        <w:rPr>
          <w:rFonts w:ascii="Cambria" w:eastAsia="Arial" w:hAnsi="Cambria" w:cs="Arial"/>
          <w:iCs/>
          <w:sz w:val="20"/>
          <w:szCs w:val="20"/>
        </w:rPr>
      </w:pPr>
    </w:p>
    <w:p w14:paraId="6F38E205" w14:textId="2B456B5A" w:rsidR="00E11869" w:rsidRPr="002B1061" w:rsidRDefault="00342FB3" w:rsidP="002B1061">
      <w:pPr>
        <w:rPr>
          <w:rFonts w:ascii="Cambria" w:hAnsi="Cambria"/>
          <w:sz w:val="20"/>
          <w:szCs w:val="20"/>
        </w:rPr>
      </w:pPr>
      <w:r w:rsidRPr="002B1061">
        <w:rPr>
          <w:rFonts w:ascii="Cambria" w:hAnsi="Cambria"/>
          <w:sz w:val="20"/>
          <w:szCs w:val="20"/>
        </w:rPr>
        <w:t>Begründung</w:t>
      </w:r>
      <w:r w:rsidR="00447357" w:rsidRPr="002B1061">
        <w:rPr>
          <w:rFonts w:ascii="Cambria" w:hAnsi="Cambria"/>
          <w:sz w:val="20"/>
          <w:szCs w:val="20"/>
        </w:rPr>
        <w:t xml:space="preserve">: Bei Vorliegen einer Sepsis oder eines septischen Schocks ist jede Stunde Verzögerung in Bezug auf die Verabreichung geeigneter antimikrobieller Mittel mit einer messbaren Steigerung der Mortalität verbunden. </w:t>
      </w:r>
      <w:r w:rsidR="00CB26D4" w:rsidRPr="00EF1A9E">
        <w:rPr>
          <w:rStyle w:val="EndnoteRealZchn"/>
        </w:rPr>
        <w:fldChar w:fldCharType="begin"/>
      </w:r>
      <w:r w:rsidR="00CB26D4" w:rsidRPr="00EF1A9E">
        <w:rPr>
          <w:rStyle w:val="EndnoteRealZchn"/>
        </w:rPr>
        <w:instrText xml:space="preserve"> NOTEREF _Ref30503307 \h </w:instrText>
      </w:r>
      <w:r w:rsidR="002B1061" w:rsidRPr="00EF1A9E">
        <w:rPr>
          <w:rStyle w:val="EndnoteRealZchn"/>
        </w:rPr>
        <w:instrText xml:space="preserve"> \* MERGEFORMAT </w:instrText>
      </w:r>
      <w:r w:rsidR="00CB26D4" w:rsidRPr="00EF1A9E">
        <w:rPr>
          <w:rStyle w:val="EndnoteRealZchn"/>
        </w:rPr>
      </w:r>
      <w:r w:rsidR="00CB26D4" w:rsidRPr="00EF1A9E">
        <w:rPr>
          <w:rStyle w:val="EndnoteRealZchn"/>
        </w:rPr>
        <w:fldChar w:fldCharType="separate"/>
      </w:r>
      <w:r w:rsidR="001A283B" w:rsidRPr="00EF1A9E">
        <w:rPr>
          <w:rStyle w:val="EndnoteRealZchn"/>
        </w:rPr>
        <w:t>87</w:t>
      </w:r>
      <w:r w:rsidR="00CB26D4" w:rsidRPr="00EF1A9E">
        <w:rPr>
          <w:rStyle w:val="EndnoteRealZchn"/>
        </w:rPr>
        <w:fldChar w:fldCharType="end"/>
      </w:r>
      <w:r w:rsidR="00CB26D4" w:rsidRPr="00EF1A9E">
        <w:rPr>
          <w:rStyle w:val="EndnoteRealZchn"/>
        </w:rPr>
        <w:t xml:space="preserve"> </w:t>
      </w:r>
      <w:bookmarkStart w:id="360" w:name="_Ref30503434"/>
      <w:r w:rsidR="00447357" w:rsidRPr="00EF1A9E">
        <w:rPr>
          <w:rStyle w:val="EndnoteRealZchn"/>
        </w:rPr>
        <w:endnoteReference w:id="105"/>
      </w:r>
      <w:bookmarkEnd w:id="360"/>
      <w:r w:rsidR="00447357" w:rsidRPr="00EF1A9E">
        <w:rPr>
          <w:rStyle w:val="EndnoteRealZchn"/>
        </w:rPr>
        <w:t xml:space="preserve"> </w:t>
      </w:r>
      <w:r w:rsidR="00447357" w:rsidRPr="002B1061">
        <w:rPr>
          <w:rFonts w:ascii="Cambria" w:hAnsi="Cambria"/>
          <w:sz w:val="20"/>
          <w:szCs w:val="20"/>
        </w:rPr>
        <w:t>Außerdem haben diverse Studien die negativen Auswirkungen von zunehmenden Verzögerungen auf die sekundären Endpunkte nachgewiesen (z.B. auf die Aufenthaltsdauer im Krankenhaus bzw. auf ITS,</w:t>
      </w:r>
      <w:r w:rsidR="00447357" w:rsidRPr="00EF1A9E">
        <w:rPr>
          <w:rStyle w:val="EndnoteRealZchn"/>
        </w:rPr>
        <w:endnoteReference w:id="106"/>
      </w:r>
      <w:r w:rsidR="00447357" w:rsidRPr="002B1061">
        <w:rPr>
          <w:rFonts w:ascii="Cambria" w:hAnsi="Cambria"/>
          <w:sz w:val="20"/>
          <w:szCs w:val="20"/>
        </w:rPr>
        <w:t xml:space="preserve"> akute Nierenschädigungen,</w:t>
      </w:r>
      <w:r w:rsidR="00447357" w:rsidRPr="00EF1A9E">
        <w:rPr>
          <w:rStyle w:val="EndnoteRealZchn"/>
        </w:rPr>
        <w:endnoteReference w:id="107"/>
      </w:r>
      <w:r w:rsidR="00447357" w:rsidRPr="002B1061">
        <w:rPr>
          <w:rFonts w:ascii="Cambria" w:hAnsi="Cambria"/>
          <w:sz w:val="20"/>
          <w:szCs w:val="20"/>
        </w:rPr>
        <w:t xml:space="preserve"> akute Lungenschädigungen </w:t>
      </w:r>
      <w:r w:rsidR="00447357" w:rsidRPr="00EF1A9E">
        <w:rPr>
          <w:rStyle w:val="EndnoteRealZchn"/>
        </w:rPr>
        <w:endnoteReference w:id="108"/>
      </w:r>
      <w:r w:rsidR="00447357" w:rsidRPr="002B1061">
        <w:rPr>
          <w:rFonts w:ascii="Cambria" w:hAnsi="Cambria"/>
          <w:sz w:val="20"/>
          <w:szCs w:val="20"/>
        </w:rPr>
        <w:t xml:space="preserve"> und Organschädigungen entsprechend der Beurteilung gemäß dem Se</w:t>
      </w:r>
      <w:r w:rsidR="00FF440B" w:rsidRPr="002B1061">
        <w:rPr>
          <w:rFonts w:ascii="Cambria" w:hAnsi="Cambria"/>
          <w:sz w:val="20"/>
          <w:szCs w:val="20"/>
        </w:rPr>
        <w:t xml:space="preserve">quental </w:t>
      </w:r>
      <w:r w:rsidR="00447357" w:rsidRPr="002B1061">
        <w:rPr>
          <w:rFonts w:ascii="Cambria" w:hAnsi="Cambria"/>
          <w:sz w:val="20"/>
          <w:szCs w:val="20"/>
        </w:rPr>
        <w:t>Organ</w:t>
      </w:r>
      <w:r w:rsidR="00FF440B" w:rsidRPr="002B1061">
        <w:rPr>
          <w:rFonts w:ascii="Cambria" w:hAnsi="Cambria"/>
          <w:sz w:val="20"/>
          <w:szCs w:val="20"/>
        </w:rPr>
        <w:t xml:space="preserve"> Failure </w:t>
      </w:r>
      <w:r w:rsidR="00447357" w:rsidRPr="002B1061">
        <w:rPr>
          <w:rFonts w:ascii="Cambria" w:hAnsi="Cambria"/>
          <w:sz w:val="20"/>
          <w:szCs w:val="20"/>
        </w:rPr>
        <w:t>Assessment-Score</w:t>
      </w:r>
      <w:r w:rsidR="00447357" w:rsidRPr="00EF1A9E">
        <w:rPr>
          <w:rStyle w:val="EndnoteRealZchn"/>
        </w:rPr>
        <w:endnoteReference w:id="109"/>
      </w:r>
      <w:r w:rsidR="00447357" w:rsidRPr="002B1061">
        <w:rPr>
          <w:rFonts w:ascii="Cambria" w:hAnsi="Cambria"/>
          <w:sz w:val="20"/>
          <w:szCs w:val="20"/>
        </w:rPr>
        <w:t>). Trotz einer Meta-Analyse von Studien meist niedriger Qualität, die keinen Nutzen einer schnellen antimikrobiellen Therapie nachgewiesen haben, unterstützen die größten Studien und die Studien mit der höchsten Qualität die möglichst schnelle Verabreichung von geeigneten antimikrobiellen Mitteln bei Patienten mit Sepsis mit oder ohne septischem Schock</w:t>
      </w:r>
      <w:r w:rsidR="00CB26D4" w:rsidRPr="002B1061">
        <w:rPr>
          <w:rFonts w:ascii="Cambria" w:hAnsi="Cambria"/>
          <w:sz w:val="20"/>
          <w:szCs w:val="20"/>
        </w:rPr>
        <w:t xml:space="preserve"> </w:t>
      </w:r>
      <w:r w:rsidR="00CB26D4" w:rsidRPr="00EF1A9E">
        <w:rPr>
          <w:rStyle w:val="EndnoteRealZchn"/>
        </w:rPr>
        <w:fldChar w:fldCharType="begin"/>
      </w:r>
      <w:r w:rsidR="00CB26D4" w:rsidRPr="00EF1A9E">
        <w:rPr>
          <w:rStyle w:val="EndnoteRealZchn"/>
        </w:rPr>
        <w:instrText xml:space="preserve"> NOTEREF _Ref30503307 \h </w:instrText>
      </w:r>
      <w:r w:rsidR="002B1061" w:rsidRPr="00EF1A9E">
        <w:rPr>
          <w:rStyle w:val="EndnoteRealZchn"/>
        </w:rPr>
        <w:instrText xml:space="preserve"> \* MERGEFORMAT </w:instrText>
      </w:r>
      <w:r w:rsidR="00CB26D4" w:rsidRPr="00EF1A9E">
        <w:rPr>
          <w:rStyle w:val="EndnoteRealZchn"/>
        </w:rPr>
      </w:r>
      <w:r w:rsidR="00CB26D4" w:rsidRPr="00EF1A9E">
        <w:rPr>
          <w:rStyle w:val="EndnoteRealZchn"/>
        </w:rPr>
        <w:fldChar w:fldCharType="separate"/>
      </w:r>
      <w:r w:rsidR="001A283B" w:rsidRPr="00EF1A9E">
        <w:rPr>
          <w:rStyle w:val="EndnoteRealZchn"/>
        </w:rPr>
        <w:t>87</w:t>
      </w:r>
      <w:r w:rsidR="00CB26D4" w:rsidRPr="00EF1A9E">
        <w:rPr>
          <w:rStyle w:val="EndnoteRealZchn"/>
        </w:rPr>
        <w:fldChar w:fldCharType="end"/>
      </w:r>
      <w:r w:rsidR="00EF1A9E">
        <w:rPr>
          <w:rStyle w:val="EndnoteRealZchn"/>
        </w:rPr>
        <w:t xml:space="preserve"> </w:t>
      </w:r>
      <w:r w:rsidR="00CB26D4" w:rsidRPr="00EF1A9E">
        <w:rPr>
          <w:rStyle w:val="EndnoteRealZchn"/>
        </w:rPr>
        <w:fldChar w:fldCharType="begin"/>
      </w:r>
      <w:r w:rsidR="00CB26D4" w:rsidRPr="00EF1A9E">
        <w:rPr>
          <w:rStyle w:val="EndnoteRealZchn"/>
        </w:rPr>
        <w:instrText xml:space="preserve"> NOTEREF _Ref30503434 \h </w:instrText>
      </w:r>
      <w:r w:rsidR="002B1061" w:rsidRPr="00EF1A9E">
        <w:rPr>
          <w:rStyle w:val="EndnoteRealZchn"/>
        </w:rPr>
        <w:instrText xml:space="preserve"> \* MERGEFORMAT </w:instrText>
      </w:r>
      <w:r w:rsidR="00CB26D4" w:rsidRPr="00EF1A9E">
        <w:rPr>
          <w:rStyle w:val="EndnoteRealZchn"/>
        </w:rPr>
      </w:r>
      <w:r w:rsidR="00CB26D4" w:rsidRPr="00EF1A9E">
        <w:rPr>
          <w:rStyle w:val="EndnoteRealZchn"/>
        </w:rPr>
        <w:fldChar w:fldCharType="separate"/>
      </w:r>
      <w:r w:rsidR="001A283B" w:rsidRPr="00EF1A9E">
        <w:rPr>
          <w:rStyle w:val="EndnoteRealZchn"/>
        </w:rPr>
        <w:t>105</w:t>
      </w:r>
      <w:r w:rsidR="00CB26D4" w:rsidRPr="00EF1A9E">
        <w:rPr>
          <w:rStyle w:val="EndnoteRealZchn"/>
        </w:rPr>
        <w:fldChar w:fldCharType="end"/>
      </w:r>
      <w:r w:rsidR="00447357" w:rsidRPr="00EF1A9E">
        <w:rPr>
          <w:rStyle w:val="EndnoteRealZchn"/>
        </w:rPr>
        <w:t xml:space="preserve"> </w:t>
      </w:r>
      <w:r w:rsidR="00447357" w:rsidRPr="00EF1A9E">
        <w:rPr>
          <w:rStyle w:val="EndnoteRealZchn"/>
        </w:rPr>
        <w:endnoteReference w:id="110"/>
      </w:r>
      <w:r w:rsidR="00447357" w:rsidRPr="00EF1A9E">
        <w:rPr>
          <w:rStyle w:val="EndnoteRealZchn"/>
        </w:rPr>
        <w:t xml:space="preserve"> </w:t>
      </w:r>
      <w:r w:rsidR="00447357" w:rsidRPr="00EF1A9E">
        <w:rPr>
          <w:rStyle w:val="EndnoteRealZchn"/>
        </w:rPr>
        <w:endnoteReference w:id="111"/>
      </w:r>
      <w:r w:rsidR="00447357" w:rsidRPr="00EF1A9E">
        <w:rPr>
          <w:rStyle w:val="EndnoteRealZchn"/>
        </w:rPr>
        <w:t xml:space="preserve"> </w:t>
      </w:r>
      <w:r w:rsidR="00447357" w:rsidRPr="00EF1A9E">
        <w:rPr>
          <w:rStyle w:val="EndnoteRealZchn"/>
        </w:rPr>
        <w:endnoteReference w:id="112"/>
      </w:r>
      <w:r w:rsidR="00447357" w:rsidRPr="002B1061">
        <w:rPr>
          <w:rFonts w:ascii="Cambria" w:hAnsi="Cambria"/>
          <w:sz w:val="20"/>
          <w:szCs w:val="20"/>
        </w:rPr>
        <w:t xml:space="preserve"> Die Mehrheit </w:t>
      </w:r>
      <w:r w:rsidR="00447357" w:rsidRPr="002B1061">
        <w:rPr>
          <w:rFonts w:ascii="Cambria" w:hAnsi="Cambria"/>
          <w:sz w:val="20"/>
          <w:szCs w:val="20"/>
        </w:rPr>
        <w:lastRenderedPageBreak/>
        <w:t xml:space="preserve">der Studien im Rahmen der Meta-Analyse waren von niedriger Qualität, was auf eine Reihe von Mängeln zurückzuführen ist, einschließlich der geringen </w:t>
      </w:r>
      <w:r w:rsidR="00FF440B" w:rsidRPr="002B1061">
        <w:rPr>
          <w:rFonts w:ascii="Cambria" w:hAnsi="Cambria"/>
          <w:sz w:val="20"/>
          <w:szCs w:val="20"/>
        </w:rPr>
        <w:t>Fallzahlen</w:t>
      </w:r>
      <w:r w:rsidR="00447357" w:rsidRPr="002B1061">
        <w:rPr>
          <w:rFonts w:ascii="Cambria" w:hAnsi="Cambria"/>
          <w:sz w:val="20"/>
          <w:szCs w:val="20"/>
        </w:rPr>
        <w:t>, der Verwendung einer initialen Indexzeit mit einem willkürlichen Zeitpunkt wie der Ankunft in der Notaufnahme und der Indizierung des Ergebnisses in Bezug auf die zeitliche Verzögerung bis zum Ansetzen des ersten antimikrobiellen Mittels (ungeachtet der Wirksamkeit gegen das mutmaßliche Pathogen).</w:t>
      </w:r>
      <w:r w:rsidR="00EF1A9E">
        <w:rPr>
          <w:rFonts w:ascii="Cambria" w:hAnsi="Cambria"/>
          <w:sz w:val="20"/>
          <w:szCs w:val="20"/>
        </w:rPr>
        <w:t xml:space="preserve"> </w:t>
      </w:r>
      <w:r w:rsidR="00447357" w:rsidRPr="00EF1A9E">
        <w:rPr>
          <w:rStyle w:val="EndnoteRealZchn"/>
        </w:rPr>
        <w:endnoteReference w:id="113"/>
      </w:r>
      <w:r w:rsidR="00447357" w:rsidRPr="00EF1A9E">
        <w:rPr>
          <w:rStyle w:val="EndnoteRealZchn"/>
        </w:rPr>
        <w:t xml:space="preserve"> </w:t>
      </w:r>
      <w:r w:rsidR="00447357" w:rsidRPr="00EF1A9E">
        <w:rPr>
          <w:rStyle w:val="EndnoteRealZchn"/>
        </w:rPr>
        <w:endnoteReference w:id="114"/>
      </w:r>
      <w:r w:rsidR="00447357" w:rsidRPr="002B1061">
        <w:rPr>
          <w:rFonts w:ascii="Cambria" w:hAnsi="Cambria"/>
          <w:sz w:val="20"/>
          <w:szCs w:val="20"/>
        </w:rPr>
        <w:t xml:space="preserve"> Andere negative Studien, die nicht in diese Meta-Analyse einbezogen wurden, sind durch </w:t>
      </w:r>
      <w:r w:rsidR="00EF1A9E" w:rsidRPr="002B1061">
        <w:rPr>
          <w:rFonts w:ascii="Cambria" w:hAnsi="Cambria"/>
          <w:sz w:val="20"/>
          <w:szCs w:val="20"/>
        </w:rPr>
        <w:t>das Gleichsetzen</w:t>
      </w:r>
      <w:r w:rsidR="00447357" w:rsidRPr="002B1061">
        <w:rPr>
          <w:rFonts w:ascii="Cambria" w:hAnsi="Cambria"/>
          <w:sz w:val="20"/>
          <w:szCs w:val="20"/>
        </w:rPr>
        <w:t xml:space="preserve"> einer Bakteriämie mit einer Sepsis (die laut der aktuellen Definition ein Organversagen beinhalten muss) und einem septischen Schock </w:t>
      </w:r>
      <w:r w:rsidR="00FF440B" w:rsidRPr="002B1061">
        <w:rPr>
          <w:rFonts w:ascii="Cambria" w:hAnsi="Cambria"/>
          <w:sz w:val="20"/>
          <w:szCs w:val="20"/>
        </w:rPr>
        <w:t>von eingeschränkter Aussagekraft</w:t>
      </w:r>
      <w:r w:rsidR="00447357" w:rsidRPr="002B1061">
        <w:rPr>
          <w:rFonts w:ascii="Cambria" w:hAnsi="Cambria"/>
          <w:sz w:val="20"/>
          <w:szCs w:val="20"/>
        </w:rPr>
        <w:t xml:space="preserve">. </w:t>
      </w:r>
      <w:r w:rsidR="00447357" w:rsidRPr="00EF1A9E">
        <w:rPr>
          <w:rStyle w:val="EndnoteZchn"/>
        </w:rPr>
        <w:endnoteReference w:id="115"/>
      </w:r>
      <w:r w:rsidR="00447357" w:rsidRPr="00EF1A9E">
        <w:rPr>
          <w:rStyle w:val="EndnoteZchn"/>
        </w:rPr>
        <w:t xml:space="preserve"> </w:t>
      </w:r>
      <w:r w:rsidR="00447357" w:rsidRPr="00EF1A9E">
        <w:rPr>
          <w:rStyle w:val="EndnoteZchn"/>
        </w:rPr>
        <w:endnoteReference w:id="116"/>
      </w:r>
      <w:r w:rsidR="00447357" w:rsidRPr="00EF1A9E">
        <w:rPr>
          <w:rStyle w:val="EndnoteZchn"/>
        </w:rPr>
        <w:t xml:space="preserve"> </w:t>
      </w:r>
      <w:r w:rsidR="00447357" w:rsidRPr="00EF1A9E">
        <w:rPr>
          <w:rStyle w:val="EndnoteZchn"/>
        </w:rPr>
        <w:endnoteReference w:id="117"/>
      </w:r>
      <w:r w:rsidR="00447357" w:rsidRPr="00EF1A9E">
        <w:rPr>
          <w:rStyle w:val="EndnoteZchn"/>
        </w:rPr>
        <w:t xml:space="preserve"> </w:t>
      </w:r>
      <w:r w:rsidR="00447357" w:rsidRPr="00EF1A9E">
        <w:rPr>
          <w:rStyle w:val="EndnoteZchn"/>
        </w:rPr>
        <w:endnoteReference w:id="118"/>
      </w:r>
      <w:r w:rsidR="00447357" w:rsidRPr="00EF1A9E">
        <w:rPr>
          <w:rStyle w:val="EndnoteZchn"/>
        </w:rPr>
        <w:t xml:space="preserve"> </w:t>
      </w:r>
      <w:r w:rsidR="00447357" w:rsidRPr="002B1061">
        <w:rPr>
          <w:rFonts w:ascii="Cambria" w:hAnsi="Cambria"/>
          <w:sz w:val="20"/>
          <w:szCs w:val="20"/>
        </w:rPr>
        <w:t>Viele dieser Studien werden auch durch die Indizierung der Verzögerung in Bezug auf leicht verfügbare, aber nicht-physiologische Variablen kompromittiert, wie z.B. dem Zeitpunkt der initialen Probenahme von Blutkulturen (ein Ereignis, das wahrscheinlich eine hohe Variabilität aufweis</w:t>
      </w:r>
      <w:r w:rsidR="005D2A57" w:rsidRPr="002B1061">
        <w:rPr>
          <w:rFonts w:ascii="Cambria" w:hAnsi="Cambria"/>
          <w:sz w:val="20"/>
          <w:szCs w:val="20"/>
        </w:rPr>
        <w:t>t</w:t>
      </w:r>
      <w:r w:rsidR="00447357" w:rsidRPr="002B1061">
        <w:rPr>
          <w:rFonts w:ascii="Cambria" w:hAnsi="Cambria"/>
          <w:sz w:val="20"/>
          <w:szCs w:val="20"/>
        </w:rPr>
        <w:t>, was den zeitlichen Faktor betrifft).</w:t>
      </w:r>
    </w:p>
    <w:p w14:paraId="7443CF27" w14:textId="00219B1A" w:rsidR="00E11869" w:rsidRPr="00207748" w:rsidRDefault="00447357" w:rsidP="004454B6">
      <w:pPr>
        <w:rPr>
          <w:rFonts w:ascii="Cambria" w:eastAsia="Arial" w:hAnsi="Cambria" w:cs="Arial"/>
          <w:sz w:val="20"/>
          <w:szCs w:val="20"/>
        </w:rPr>
      </w:pPr>
      <w:r w:rsidRPr="00207748">
        <w:rPr>
          <w:rFonts w:ascii="Cambria" w:hAnsi="Cambria" w:cs="Arial"/>
          <w:sz w:val="20"/>
          <w:szCs w:val="20"/>
        </w:rPr>
        <w:t xml:space="preserve">Während die verfügbaren Daten nahelegen, dass die frühestmögliche intravenöse Verabreichung geeigneter antimikrobieller Mittel nach der Identifizierung einer Sepsis oder eines septischen Schocks zu optimalen Ergebnissen führt, wird eine Stunde als angemessenes Mindestziel empfohlen. Die Umsetzbarkeit bezüglich des konsistenten Erreichens dieses Ziels ist jedoch noch nicht ausreichend analysiert worden. Praktische Betrachtungen, wie z.B. die Herausforderungen in Bezug auf die frühzeitige Identifizierung der Patienten durch die Kliniker oder operative </w:t>
      </w:r>
      <w:r w:rsidR="005D2A57">
        <w:rPr>
          <w:rFonts w:ascii="Cambria" w:hAnsi="Cambria" w:cs="Arial"/>
          <w:sz w:val="20"/>
          <w:szCs w:val="20"/>
        </w:rPr>
        <w:t>Probleme</w:t>
      </w:r>
      <w:r w:rsidRPr="00207748">
        <w:rPr>
          <w:rFonts w:ascii="Cambria" w:hAnsi="Cambria" w:cs="Arial"/>
          <w:sz w:val="20"/>
          <w:szCs w:val="20"/>
        </w:rPr>
        <w:t xml:space="preserve"> in der </w:t>
      </w:r>
      <w:r w:rsidR="005D2A57">
        <w:rPr>
          <w:rFonts w:ascii="Cambria" w:hAnsi="Cambria" w:cs="Arial"/>
          <w:sz w:val="20"/>
          <w:szCs w:val="20"/>
        </w:rPr>
        <w:t>Verfügbarkeit von Antiinfektiva</w:t>
      </w:r>
      <w:r w:rsidRPr="00207748">
        <w:rPr>
          <w:rFonts w:ascii="Cambria" w:hAnsi="Cambria" w:cs="Arial"/>
          <w:sz w:val="20"/>
          <w:szCs w:val="20"/>
        </w:rPr>
        <w:t xml:space="preserve"> stellen wenig untersuchte Variablen dar, welche das Erreichen dieses Ziels beeinträchtigen könnten. Eine Reihe von patienten- und organisationsbezogenen Faktoren scheinen die Verzögerungen der Verabreichung von geeigneten antimikrobiellen Mitteln zu beeinflussen.</w:t>
      </w:r>
      <w:r w:rsidRPr="00207748">
        <w:rPr>
          <w:rFonts w:ascii="Cambria" w:eastAsia="Arial" w:hAnsi="Cambria" w:cs="Arial"/>
          <w:sz w:val="20"/>
          <w:szCs w:val="20"/>
          <w:vertAlign w:val="superscript"/>
        </w:rPr>
        <w:endnoteReference w:id="119"/>
      </w:r>
    </w:p>
    <w:p w14:paraId="686EF663" w14:textId="2F0BA962" w:rsidR="003B1537" w:rsidRPr="00207748" w:rsidRDefault="00447357" w:rsidP="004454B6">
      <w:pPr>
        <w:rPr>
          <w:rFonts w:ascii="Cambria" w:hAnsi="Cambria" w:cs="Arial"/>
          <w:sz w:val="20"/>
          <w:szCs w:val="20"/>
        </w:rPr>
      </w:pPr>
      <w:r w:rsidRPr="00207748">
        <w:rPr>
          <w:rFonts w:ascii="Cambria" w:hAnsi="Cambria" w:cs="Arial"/>
          <w:sz w:val="20"/>
          <w:szCs w:val="20"/>
        </w:rPr>
        <w:t>Eine Optimierung der Compliance mit dieser Empfehlung setzt eine Analyse der Ursachen von Verzögerungen auf institutioneller Seite voraus.</w:t>
      </w:r>
      <w:r w:rsidRPr="00207748">
        <w:rPr>
          <w:rFonts w:ascii="Cambria" w:eastAsia="Arial" w:hAnsi="Cambria" w:cs="Arial"/>
          <w:sz w:val="20"/>
          <w:szCs w:val="20"/>
          <w:vertAlign w:val="superscript"/>
        </w:rPr>
        <w:endnoteReference w:id="120"/>
      </w:r>
      <w:r w:rsidRPr="00207748">
        <w:rPr>
          <w:rFonts w:ascii="Cambria" w:hAnsi="Cambria" w:cs="Arial"/>
          <w:sz w:val="20"/>
          <w:szCs w:val="20"/>
        </w:rPr>
        <w:t xml:space="preserve"> Eine inakzeptabel hohe Häufigkeit des </w:t>
      </w:r>
      <w:r w:rsidRPr="00207748">
        <w:rPr>
          <w:rFonts w:ascii="Cambria" w:hAnsi="Cambria" w:cs="Arial"/>
          <w:sz w:val="20"/>
          <w:szCs w:val="20"/>
        </w:rPr>
        <w:lastRenderedPageBreak/>
        <w:t xml:space="preserve">Nichterkennens des potenziellen Vorliegens einer Sepsis oder eines septischen Schocks oder das Ansetzen einer nicht geeigneten empirischen antimikrobiellen Therapie (z.B. infolge einer Nichtbeachtung des Potenzials einer mikrobiellen Resistenz oder der kürzlichen Verwendung eines </w:t>
      </w:r>
      <w:r w:rsidR="005D2A57">
        <w:rPr>
          <w:rFonts w:ascii="Cambria" w:hAnsi="Cambria" w:cs="Arial"/>
          <w:sz w:val="20"/>
          <w:szCs w:val="20"/>
        </w:rPr>
        <w:t xml:space="preserve">Antiinfektivums </w:t>
      </w:r>
      <w:r w:rsidRPr="00207748">
        <w:rPr>
          <w:rFonts w:ascii="Cambria" w:hAnsi="Cambria" w:cs="Arial"/>
          <w:sz w:val="20"/>
          <w:szCs w:val="20"/>
        </w:rPr>
        <w:t xml:space="preserve">) können als Hinweise auf Defizite gewertet werden. </w:t>
      </w:r>
    </w:p>
    <w:p w14:paraId="03EF3179" w14:textId="601E96CD" w:rsidR="00E11869" w:rsidRPr="00207748" w:rsidRDefault="00447357" w:rsidP="004454B6">
      <w:pPr>
        <w:rPr>
          <w:rFonts w:ascii="Cambria" w:eastAsia="Arial" w:hAnsi="Cambria" w:cs="Arial"/>
          <w:b/>
          <w:bCs/>
          <w:sz w:val="20"/>
          <w:szCs w:val="20"/>
          <w:u w:val="single"/>
        </w:rPr>
      </w:pPr>
      <w:r w:rsidRPr="00207748">
        <w:rPr>
          <w:rFonts w:ascii="Cambria" w:hAnsi="Cambria" w:cs="Arial"/>
          <w:spacing w:val="-3"/>
          <w:sz w:val="20"/>
          <w:szCs w:val="20"/>
        </w:rPr>
        <w:t xml:space="preserve">Die Einrichtung eines vaskulären Zugangs und das Ansetzen einer aggressiven Flüssigkeitstherapie sind von </w:t>
      </w:r>
      <w:r w:rsidR="005D2A57">
        <w:rPr>
          <w:rFonts w:ascii="Cambria" w:hAnsi="Cambria" w:cs="Arial"/>
          <w:spacing w:val="-3"/>
          <w:sz w:val="20"/>
          <w:szCs w:val="20"/>
        </w:rPr>
        <w:t>hoher</w:t>
      </w:r>
      <w:r w:rsidRPr="00207748">
        <w:rPr>
          <w:rFonts w:ascii="Cambria" w:hAnsi="Cambria" w:cs="Arial"/>
          <w:spacing w:val="-3"/>
          <w:sz w:val="20"/>
          <w:szCs w:val="20"/>
        </w:rPr>
        <w:t xml:space="preserve"> Bedeutung bei der Behandlung von Patienten mit Sepsis oder septischem Schock. Eine unverzügliche intravenöse Infusion mit antimikrobiellen Mitteln hat ebenfalls höchste Priorität. Dazu könnten zusätzliche vaskuläre Zugänge erforderlich sein. Ein intraossärer Zugang, der schnell und verlässlich eingerichtet werden kann (auch bei Erwachsenen), kann verwendet werden, um die </w:t>
      </w:r>
      <w:r w:rsidR="005D2A57">
        <w:rPr>
          <w:rFonts w:ascii="Cambria" w:hAnsi="Cambria" w:cs="Arial"/>
          <w:spacing w:val="-3"/>
          <w:sz w:val="20"/>
          <w:szCs w:val="20"/>
        </w:rPr>
        <w:t>Initial</w:t>
      </w:r>
      <w:r w:rsidR="005D2A57" w:rsidRPr="00207748">
        <w:rPr>
          <w:rFonts w:ascii="Cambria" w:hAnsi="Cambria" w:cs="Arial"/>
          <w:spacing w:val="-3"/>
          <w:sz w:val="20"/>
          <w:szCs w:val="20"/>
        </w:rPr>
        <w:t>dosen</w:t>
      </w:r>
      <w:r w:rsidRPr="00207748">
        <w:rPr>
          <w:rFonts w:ascii="Cambria" w:hAnsi="Cambria" w:cs="Arial"/>
          <w:spacing w:val="-3"/>
          <w:sz w:val="20"/>
          <w:szCs w:val="20"/>
        </w:rPr>
        <w:t xml:space="preserve"> jedweder antimikrobieller Mittel zu verabreichen.</w:t>
      </w:r>
      <w:r w:rsidRPr="00207748">
        <w:rPr>
          <w:rFonts w:ascii="Cambria" w:eastAsia="Arial" w:hAnsi="Cambria" w:cs="Arial"/>
          <w:spacing w:val="-3"/>
          <w:sz w:val="20"/>
          <w:szCs w:val="20"/>
          <w:vertAlign w:val="superscript"/>
        </w:rPr>
        <w:endnoteReference w:id="121"/>
      </w:r>
      <w:r w:rsidRPr="00207748">
        <w:rPr>
          <w:rFonts w:ascii="Cambria" w:hAnsi="Cambria" w:cs="Arial"/>
          <w:spacing w:val="-3"/>
          <w:sz w:val="20"/>
          <w:szCs w:val="20"/>
        </w:rPr>
        <w:t xml:space="preserve"> </w:t>
      </w:r>
      <w:r w:rsidRPr="00207748">
        <w:rPr>
          <w:rFonts w:ascii="Cambria" w:eastAsia="Arial" w:hAnsi="Cambria" w:cs="Arial"/>
          <w:spacing w:val="-3"/>
          <w:sz w:val="20"/>
          <w:szCs w:val="20"/>
          <w:vertAlign w:val="superscript"/>
        </w:rPr>
        <w:endnoteReference w:id="122"/>
      </w:r>
      <w:r w:rsidRPr="00207748">
        <w:rPr>
          <w:rFonts w:ascii="Cambria" w:hAnsi="Cambria" w:cs="Arial"/>
          <w:spacing w:val="-3"/>
          <w:sz w:val="20"/>
          <w:szCs w:val="20"/>
        </w:rPr>
        <w:t xml:space="preserve"> Außerdem sind einige intramuskuläre Präparate zugelassen und verfügbar, was diverse β-Laktame zur Erstlinientherapie betrifft, zu denen Imipenem/Cilastatin, Cefepim, Ceftriaxon und Ertapenem gehören. Einige weitere β-Laktame zur Erstlinientherapie können in Notfallsituationen ebenfalls wirksam intramuskulär verabreicht werden, falls kein vaskulärer oder intraossärer Zugang zur Verfügung steht, obwohl eine regulatorische Zulassung der intramuskulären Verabreichung dieser Medikamente nicht vorliegt.</w:t>
      </w:r>
      <w:r w:rsidRPr="00207748">
        <w:rPr>
          <w:rFonts w:ascii="Cambria" w:eastAsia="Arial" w:hAnsi="Cambria" w:cs="Arial"/>
          <w:spacing w:val="-3"/>
          <w:sz w:val="20"/>
          <w:szCs w:val="20"/>
          <w:vertAlign w:val="superscript"/>
        </w:rPr>
        <w:endnoteReference w:id="123"/>
      </w:r>
      <w:r w:rsidRPr="00207748">
        <w:rPr>
          <w:rFonts w:ascii="Cambria" w:hAnsi="Cambria" w:cs="Arial"/>
          <w:spacing w:val="-3"/>
          <w:sz w:val="20"/>
          <w:szCs w:val="20"/>
        </w:rPr>
        <w:t xml:space="preserve"> </w:t>
      </w:r>
      <w:r w:rsidRPr="00207748">
        <w:rPr>
          <w:rFonts w:ascii="Cambria" w:eastAsia="Arial" w:hAnsi="Cambria" w:cs="Arial"/>
          <w:spacing w:val="-3"/>
          <w:sz w:val="20"/>
          <w:szCs w:val="20"/>
          <w:vertAlign w:val="superscript"/>
        </w:rPr>
        <w:endnoteReference w:id="124"/>
      </w:r>
      <w:r w:rsidRPr="00207748">
        <w:rPr>
          <w:rFonts w:ascii="Cambria" w:hAnsi="Cambria" w:cs="Arial"/>
          <w:spacing w:val="-3"/>
          <w:sz w:val="20"/>
          <w:szCs w:val="20"/>
        </w:rPr>
        <w:t xml:space="preserve"> </w:t>
      </w:r>
      <w:r w:rsidRPr="00207748">
        <w:rPr>
          <w:rFonts w:ascii="Cambria" w:eastAsia="Arial" w:hAnsi="Cambria" w:cs="Arial"/>
          <w:spacing w:val="-3"/>
          <w:sz w:val="20"/>
          <w:szCs w:val="20"/>
          <w:vertAlign w:val="superscript"/>
        </w:rPr>
        <w:endnoteReference w:id="125"/>
      </w:r>
      <w:r w:rsidRPr="00207748">
        <w:rPr>
          <w:rFonts w:ascii="Cambria" w:hAnsi="Cambria" w:cs="Arial"/>
          <w:spacing w:val="-3"/>
          <w:sz w:val="20"/>
          <w:szCs w:val="20"/>
        </w:rPr>
        <w:t xml:space="preserve"> Die intramuskuläre Absorption und Verteilung einiger dieser Wirkstoffe bei schweren Erkrankungen ist noch nicht erforscht, daher sollte die intramuskuläre Verabreichung nur in Betracht gezogen werden, wenn eine zeitgerechte Einrichtung eines vaskulären Zugangs nicht möglich ist.</w:t>
      </w: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14"/>
        <w:gridCol w:w="1622"/>
        <w:gridCol w:w="797"/>
      </w:tblGrid>
      <w:tr w:rsidR="00342FB3" w:rsidRPr="00207748" w14:paraId="48DCE985" w14:textId="77777777" w:rsidTr="002B1061">
        <w:trPr>
          <w:trHeight w:val="282"/>
        </w:trPr>
        <w:tc>
          <w:tcPr>
            <w:tcW w:w="2208"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0A49ABF4"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t>D.2</w:t>
            </w:r>
          </w:p>
        </w:tc>
        <w:tc>
          <w:tcPr>
            <w:tcW w:w="1872"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47565D92"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 xml:space="preserve">Empfehlung </w:t>
            </w:r>
          </w:p>
        </w:tc>
        <w:tc>
          <w:tcPr>
            <w:tcW w:w="920"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7509124"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2018</w:t>
            </w:r>
          </w:p>
        </w:tc>
      </w:tr>
      <w:tr w:rsidR="00342FB3" w:rsidRPr="00207748" w14:paraId="58F07F35" w14:textId="77777777" w:rsidTr="002B1061">
        <w:trPr>
          <w:trHeight w:val="345"/>
        </w:trPr>
        <w:tc>
          <w:tcPr>
            <w:tcW w:w="2208"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76C2E"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t>Empfehlungsgrad</w:t>
            </w:r>
          </w:p>
          <w:p w14:paraId="77FE0AE2" w14:textId="77777777" w:rsidR="00E11869" w:rsidRPr="00207748" w:rsidRDefault="00E11869" w:rsidP="004454B6">
            <w:pPr>
              <w:spacing w:after="0"/>
              <w:rPr>
                <w:rFonts w:ascii="Cambria" w:eastAsia="Arial" w:hAnsi="Cambria" w:cs="Arial"/>
                <w:sz w:val="20"/>
                <w:szCs w:val="20"/>
              </w:rPr>
            </w:pPr>
          </w:p>
          <w:p w14:paraId="67F468B3" w14:textId="77777777" w:rsidR="00E11869" w:rsidRPr="00207748" w:rsidRDefault="00447357" w:rsidP="004454B6">
            <w:pPr>
              <w:spacing w:after="0"/>
              <w:rPr>
                <w:rFonts w:ascii="Cambria" w:eastAsia="Arial" w:hAnsi="Cambria" w:cs="Arial"/>
                <w:b/>
                <w:bCs/>
                <w:sz w:val="20"/>
                <w:szCs w:val="20"/>
              </w:rPr>
            </w:pPr>
            <w:r w:rsidRPr="00207748">
              <w:rPr>
                <w:rFonts w:ascii="Cambria" w:hAnsi="Cambria" w:cs="Arial"/>
                <w:b/>
                <w:bCs/>
                <w:sz w:val="20"/>
                <w:szCs w:val="20"/>
              </w:rPr>
              <w:t>stark</w:t>
            </w:r>
          </w:p>
          <w:p w14:paraId="26618ABF" w14:textId="77777777" w:rsidR="00E11869" w:rsidRPr="00207748" w:rsidRDefault="00E11869" w:rsidP="004454B6">
            <w:pPr>
              <w:spacing w:after="0"/>
              <w:rPr>
                <w:rFonts w:ascii="Cambria" w:eastAsia="Arial" w:hAnsi="Cambria" w:cs="Arial"/>
                <w:sz w:val="20"/>
                <w:szCs w:val="20"/>
              </w:rPr>
            </w:pPr>
          </w:p>
          <w:p w14:paraId="07149490"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t>Evidenzgrad</w:t>
            </w:r>
          </w:p>
          <w:p w14:paraId="3B93FD41" w14:textId="77777777" w:rsidR="00E11869" w:rsidRPr="00207748" w:rsidRDefault="00E11869" w:rsidP="004454B6">
            <w:pPr>
              <w:spacing w:after="0"/>
              <w:rPr>
                <w:rFonts w:ascii="Cambria" w:eastAsia="Arial" w:hAnsi="Cambria" w:cs="Arial"/>
                <w:sz w:val="20"/>
                <w:szCs w:val="20"/>
              </w:rPr>
            </w:pPr>
          </w:p>
          <w:p w14:paraId="37676F25"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moderat</w:t>
            </w:r>
          </w:p>
        </w:tc>
        <w:tc>
          <w:tcPr>
            <w:tcW w:w="2792"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tcPr>
          <w:p w14:paraId="161FB1B1" w14:textId="77777777" w:rsidR="00E11869" w:rsidRPr="00207748" w:rsidRDefault="00447357" w:rsidP="004454B6">
            <w:pPr>
              <w:spacing w:after="0"/>
              <w:ind w:right="288"/>
              <w:rPr>
                <w:rFonts w:ascii="Cambria" w:hAnsi="Cambria" w:cs="Arial"/>
                <w:b/>
                <w:sz w:val="20"/>
                <w:szCs w:val="20"/>
              </w:rPr>
            </w:pPr>
            <w:r w:rsidRPr="00207748">
              <w:rPr>
                <w:rFonts w:ascii="Cambria" w:hAnsi="Cambria" w:cs="Arial"/>
                <w:b/>
                <w:spacing w:val="-3"/>
                <w:sz w:val="20"/>
                <w:szCs w:val="20"/>
              </w:rPr>
              <w:t xml:space="preserve">Wir empfehlen eine empirische Breitspektrumtherapie mit einem </w:t>
            </w:r>
            <w:r w:rsidRPr="00207748">
              <w:rPr>
                <w:rFonts w:ascii="Cambria" w:hAnsi="Cambria" w:cs="Arial"/>
                <w:b/>
                <w:sz w:val="20"/>
                <w:szCs w:val="20"/>
              </w:rPr>
              <w:t>Antibiotikum</w:t>
            </w:r>
            <w:r w:rsidRPr="00207748">
              <w:rPr>
                <w:rFonts w:ascii="Cambria" w:hAnsi="Cambria" w:cs="Arial"/>
                <w:b/>
                <w:spacing w:val="-3"/>
                <w:sz w:val="20"/>
                <w:szCs w:val="20"/>
              </w:rPr>
              <w:t xml:space="preserve"> oder mehreren </w:t>
            </w:r>
            <w:r w:rsidRPr="00207748">
              <w:rPr>
                <w:rFonts w:ascii="Cambria" w:hAnsi="Cambria" w:cs="Arial"/>
                <w:b/>
                <w:sz w:val="20"/>
                <w:szCs w:val="20"/>
              </w:rPr>
              <w:t>Antibiotika</w:t>
            </w:r>
            <w:r w:rsidRPr="00207748">
              <w:rPr>
                <w:rFonts w:ascii="Cambria" w:hAnsi="Cambria" w:cs="Arial"/>
                <w:b/>
                <w:spacing w:val="-3"/>
                <w:sz w:val="20"/>
                <w:szCs w:val="20"/>
              </w:rPr>
              <w:t xml:space="preserve"> bei </w:t>
            </w:r>
            <w:r w:rsidRPr="00207748">
              <w:rPr>
                <w:rFonts w:ascii="Cambria" w:hAnsi="Cambria" w:cs="Arial"/>
                <w:b/>
                <w:spacing w:val="-3"/>
                <w:sz w:val="20"/>
                <w:szCs w:val="20"/>
              </w:rPr>
              <w:lastRenderedPageBreak/>
              <w:t>Patienten mit Sepsis oder septischem Schock, um alle wesentlichen Bakterien zu erfassen.</w:t>
            </w:r>
          </w:p>
        </w:tc>
      </w:tr>
      <w:tr w:rsidR="00342FB3" w:rsidRPr="00207748" w14:paraId="1914B103" w14:textId="77777777" w:rsidTr="002B1061">
        <w:trPr>
          <w:trHeight w:val="562"/>
        </w:trPr>
        <w:tc>
          <w:tcPr>
            <w:tcW w:w="2208" w:type="pct"/>
            <w:vMerge/>
            <w:tcBorders>
              <w:top w:val="single" w:sz="4" w:space="0" w:color="000000"/>
              <w:left w:val="single" w:sz="4" w:space="0" w:color="000000"/>
              <w:bottom w:val="single" w:sz="4" w:space="0" w:color="000000"/>
              <w:right w:val="single" w:sz="4" w:space="0" w:color="000000"/>
            </w:tcBorders>
            <w:shd w:val="clear" w:color="auto" w:fill="auto"/>
          </w:tcPr>
          <w:p w14:paraId="1D4CFF07" w14:textId="77777777" w:rsidR="00E11869" w:rsidRPr="00207748" w:rsidRDefault="00E11869" w:rsidP="004454B6">
            <w:pPr>
              <w:rPr>
                <w:rFonts w:ascii="Cambria" w:hAnsi="Cambria" w:cs="Arial"/>
                <w:sz w:val="20"/>
                <w:szCs w:val="20"/>
              </w:rPr>
            </w:pPr>
          </w:p>
        </w:tc>
        <w:tc>
          <w:tcPr>
            <w:tcW w:w="2792"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0832A" w14:textId="77777777" w:rsidR="00E11869" w:rsidRPr="00207748" w:rsidRDefault="00342FB3" w:rsidP="004454B6">
            <w:pPr>
              <w:spacing w:after="0"/>
              <w:rPr>
                <w:rFonts w:ascii="Cambria" w:hAnsi="Cambria" w:cs="Arial"/>
                <w:sz w:val="20"/>
                <w:szCs w:val="20"/>
              </w:rPr>
            </w:pPr>
            <w:r w:rsidRPr="00207748">
              <w:rPr>
                <w:rFonts w:ascii="Cambria" w:hAnsi="Cambria" w:cs="Arial"/>
                <w:b/>
                <w:bCs/>
                <w:sz w:val="20"/>
                <w:szCs w:val="20"/>
              </w:rPr>
              <w:t>SSC-</w:t>
            </w:r>
            <w:r w:rsidR="00447357" w:rsidRPr="00207748">
              <w:rPr>
                <w:rFonts w:ascii="Cambria" w:hAnsi="Cambria" w:cs="Arial"/>
                <w:b/>
                <w:bCs/>
                <w:sz w:val="20"/>
                <w:szCs w:val="20"/>
              </w:rPr>
              <w:t xml:space="preserve">Leitlinienadaptation </w:t>
            </w:r>
          </w:p>
        </w:tc>
      </w:tr>
      <w:tr w:rsidR="00342FB3" w:rsidRPr="00207748" w14:paraId="53051214" w14:textId="77777777" w:rsidTr="002B1061">
        <w:trPr>
          <w:trHeight w:val="282"/>
        </w:trPr>
        <w:tc>
          <w:tcPr>
            <w:tcW w:w="22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76FE5" w14:textId="77777777" w:rsidR="00E11869" w:rsidRPr="00207748" w:rsidRDefault="00E11869" w:rsidP="004454B6">
            <w:pPr>
              <w:rPr>
                <w:rFonts w:ascii="Cambria" w:hAnsi="Cambria" w:cs="Arial"/>
                <w:sz w:val="20"/>
                <w:szCs w:val="20"/>
              </w:rPr>
            </w:pPr>
          </w:p>
        </w:tc>
        <w:tc>
          <w:tcPr>
            <w:tcW w:w="2792"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C79AF" w14:textId="77777777" w:rsidR="00E11869" w:rsidRPr="00207748" w:rsidRDefault="00447357" w:rsidP="004454B6">
            <w:pPr>
              <w:spacing w:after="0"/>
              <w:rPr>
                <w:rFonts w:ascii="Cambria" w:hAnsi="Cambria" w:cs="Arial"/>
                <w:sz w:val="20"/>
                <w:szCs w:val="20"/>
              </w:rPr>
            </w:pPr>
            <w:r w:rsidRPr="00207748">
              <w:rPr>
                <w:rFonts w:ascii="Cambria" w:hAnsi="Cambria" w:cs="Arial"/>
                <w:sz w:val="20"/>
                <w:szCs w:val="20"/>
              </w:rPr>
              <w:t xml:space="preserve">Konsensstärke 100 % </w:t>
            </w:r>
          </w:p>
        </w:tc>
      </w:tr>
    </w:tbl>
    <w:p w14:paraId="04936B80" w14:textId="77777777" w:rsidR="00E11869" w:rsidRPr="00207748" w:rsidRDefault="00E11869" w:rsidP="004454B6">
      <w:pPr>
        <w:rPr>
          <w:rFonts w:ascii="Cambria" w:eastAsia="Arial" w:hAnsi="Cambria" w:cs="Arial"/>
          <w:b/>
          <w:bCs/>
          <w:sz w:val="20"/>
          <w:szCs w:val="20"/>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883"/>
        <w:gridCol w:w="1652"/>
        <w:gridCol w:w="798"/>
      </w:tblGrid>
      <w:tr w:rsidR="00E11869" w:rsidRPr="00207748" w14:paraId="08C64E12" w14:textId="77777777" w:rsidTr="002B1061">
        <w:trPr>
          <w:trHeight w:val="282"/>
        </w:trPr>
        <w:tc>
          <w:tcPr>
            <w:tcW w:w="2173"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268FC5FF"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t>D.3</w:t>
            </w:r>
          </w:p>
        </w:tc>
        <w:tc>
          <w:tcPr>
            <w:tcW w:w="1906"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74AB9FD3"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 xml:space="preserve">Empfehlung </w:t>
            </w:r>
          </w:p>
        </w:tc>
        <w:tc>
          <w:tcPr>
            <w:tcW w:w="921"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771F59D6"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2018</w:t>
            </w:r>
          </w:p>
        </w:tc>
      </w:tr>
      <w:tr w:rsidR="00E11869" w:rsidRPr="00207748" w14:paraId="5B3EB4E6" w14:textId="77777777" w:rsidTr="002B1061">
        <w:trPr>
          <w:trHeight w:val="3362"/>
        </w:trPr>
        <w:tc>
          <w:tcPr>
            <w:tcW w:w="2173"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ADCE99"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Expertenkonsens</w:t>
            </w:r>
          </w:p>
        </w:tc>
        <w:tc>
          <w:tcPr>
            <w:tcW w:w="282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tcPr>
          <w:p w14:paraId="38DB970E" w14:textId="001905D6" w:rsidR="00E11869" w:rsidRPr="00207748" w:rsidRDefault="00447357" w:rsidP="00334AF5">
            <w:pPr>
              <w:spacing w:after="0"/>
              <w:rPr>
                <w:rFonts w:ascii="Cambria" w:hAnsi="Cambria" w:cs="Arial"/>
                <w:sz w:val="20"/>
                <w:szCs w:val="20"/>
              </w:rPr>
            </w:pPr>
            <w:r w:rsidRPr="00334AF5">
              <w:rPr>
                <w:rFonts w:ascii="Cambria" w:hAnsi="Cambria" w:cs="Arial"/>
                <w:b/>
                <w:bCs/>
                <w:sz w:val="20"/>
                <w:szCs w:val="20"/>
              </w:rPr>
              <w:t>Wir empfehlen die Indikation einer zusätzlichen kalkulierten antimykotischen oder antiviralen Therapie bei Risikopatienten entsprechend der fokusbezogenen Leitlinie zu überprüfen.</w:t>
            </w:r>
            <w:r w:rsidR="002B1061">
              <w:rPr>
                <w:rFonts w:ascii="Cambria" w:hAnsi="Cambria" w:cs="Arial"/>
                <w:b/>
                <w:bCs/>
                <w:spacing w:val="-3"/>
                <w:sz w:val="20"/>
                <w:szCs w:val="20"/>
              </w:rPr>
              <w:t xml:space="preserve"> </w:t>
            </w:r>
          </w:p>
        </w:tc>
      </w:tr>
      <w:tr w:rsidR="00E11869" w:rsidRPr="00207748" w14:paraId="380EC582" w14:textId="77777777" w:rsidTr="002B1061">
        <w:trPr>
          <w:trHeight w:val="562"/>
        </w:trPr>
        <w:tc>
          <w:tcPr>
            <w:tcW w:w="2173" w:type="pct"/>
            <w:vMerge/>
            <w:tcBorders>
              <w:top w:val="single" w:sz="4" w:space="0" w:color="000000"/>
              <w:left w:val="single" w:sz="4" w:space="0" w:color="000000"/>
              <w:bottom w:val="single" w:sz="4" w:space="0" w:color="000000"/>
              <w:right w:val="single" w:sz="4" w:space="0" w:color="000000"/>
            </w:tcBorders>
            <w:shd w:val="clear" w:color="auto" w:fill="auto"/>
          </w:tcPr>
          <w:p w14:paraId="0FAEB9F8" w14:textId="77777777" w:rsidR="00E11869" w:rsidRPr="00207748" w:rsidRDefault="00E11869" w:rsidP="004454B6">
            <w:pPr>
              <w:rPr>
                <w:rFonts w:ascii="Cambria" w:hAnsi="Cambria" w:cs="Arial"/>
                <w:sz w:val="20"/>
                <w:szCs w:val="20"/>
              </w:rPr>
            </w:pPr>
          </w:p>
        </w:tc>
        <w:tc>
          <w:tcPr>
            <w:tcW w:w="282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10D7A"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Zusätzliche DSG-Leitlinienempfehlung</w:t>
            </w:r>
          </w:p>
        </w:tc>
      </w:tr>
      <w:tr w:rsidR="00E11869" w:rsidRPr="00207748" w14:paraId="5F5400CD" w14:textId="77777777" w:rsidTr="002B1061">
        <w:trPr>
          <w:trHeight w:val="282"/>
        </w:trPr>
        <w:tc>
          <w:tcPr>
            <w:tcW w:w="21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BCAF1" w14:textId="77777777" w:rsidR="00E11869" w:rsidRPr="00207748" w:rsidRDefault="00E11869" w:rsidP="004454B6">
            <w:pPr>
              <w:rPr>
                <w:rFonts w:ascii="Cambria" w:hAnsi="Cambria" w:cs="Arial"/>
                <w:sz w:val="20"/>
                <w:szCs w:val="20"/>
              </w:rPr>
            </w:pPr>
          </w:p>
        </w:tc>
        <w:tc>
          <w:tcPr>
            <w:tcW w:w="282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55AAA" w14:textId="77777777" w:rsidR="00E11869" w:rsidRPr="00207748" w:rsidRDefault="00447357" w:rsidP="004454B6">
            <w:pPr>
              <w:spacing w:after="0"/>
              <w:rPr>
                <w:rFonts w:ascii="Cambria" w:hAnsi="Cambria" w:cs="Arial"/>
                <w:sz w:val="20"/>
                <w:szCs w:val="20"/>
              </w:rPr>
            </w:pPr>
            <w:r w:rsidRPr="00207748">
              <w:rPr>
                <w:rFonts w:ascii="Cambria" w:hAnsi="Cambria" w:cs="Arial"/>
                <w:sz w:val="20"/>
                <w:szCs w:val="20"/>
              </w:rPr>
              <w:t xml:space="preserve">Konsensstärke 100 % </w:t>
            </w:r>
          </w:p>
        </w:tc>
      </w:tr>
    </w:tbl>
    <w:p w14:paraId="34AF9888" w14:textId="346EDC02" w:rsidR="002B1061" w:rsidRDefault="002B1061" w:rsidP="004454B6">
      <w:pPr>
        <w:rPr>
          <w:rFonts w:ascii="Cambria" w:eastAsia="Arial" w:hAnsi="Cambria" w:cs="Arial"/>
          <w:sz w:val="20"/>
          <w:szCs w:val="20"/>
        </w:rPr>
      </w:pPr>
    </w:p>
    <w:p w14:paraId="1BFB053B" w14:textId="77777777" w:rsidR="002B1061" w:rsidRDefault="002B1061">
      <w:pPr>
        <w:spacing w:after="0" w:line="240" w:lineRule="auto"/>
        <w:rPr>
          <w:rFonts w:ascii="Cambria" w:eastAsia="Arial" w:hAnsi="Cambria" w:cs="Arial"/>
          <w:sz w:val="20"/>
          <w:szCs w:val="20"/>
        </w:rPr>
      </w:pPr>
      <w:r>
        <w:rPr>
          <w:rFonts w:ascii="Cambria" w:eastAsia="Arial" w:hAnsi="Cambria" w:cs="Arial"/>
          <w:sz w:val="20"/>
          <w:szCs w:val="20"/>
        </w:rPr>
        <w:br w:type="page"/>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762"/>
        <w:gridCol w:w="1643"/>
        <w:gridCol w:w="820"/>
      </w:tblGrid>
      <w:tr w:rsidR="00E11869" w:rsidRPr="00207748" w14:paraId="5FAEC5A3"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4F7B6E00" w14:textId="77777777" w:rsidR="00E11869" w:rsidRPr="00207748" w:rsidRDefault="00447357" w:rsidP="004454B6">
            <w:pPr>
              <w:rPr>
                <w:rFonts w:ascii="Cambria" w:hAnsi="Cambria" w:cs="Arial"/>
                <w:sz w:val="20"/>
                <w:szCs w:val="20"/>
              </w:rPr>
            </w:pPr>
            <w:r w:rsidRPr="00207748">
              <w:rPr>
                <w:rFonts w:ascii="Cambria" w:hAnsi="Cambria" w:cs="Arial"/>
                <w:b/>
                <w:bCs/>
                <w:sz w:val="20"/>
                <w:szCs w:val="20"/>
              </w:rPr>
              <w:lastRenderedPageBreak/>
              <w:t>D.4</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4D37D29C"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719797FD"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2018</w:t>
            </w:r>
          </w:p>
        </w:tc>
      </w:tr>
      <w:tr w:rsidR="00E11869" w:rsidRPr="00207748" w14:paraId="051FC25F" w14:textId="77777777" w:rsidTr="00334AF5">
        <w:trPr>
          <w:trHeight w:val="502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E0DA73"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Expertenkonsens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95E9F" w14:textId="1F153ECF"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Wir empfehlen, dass die kalkulierte antiinfektive Initialtherapie angepasst wird, sobald ein plausibler Erregernachweis geführt werden konnte und die Antiinfekt</w:t>
            </w:r>
            <w:r w:rsidR="0024733A" w:rsidRPr="00207748">
              <w:rPr>
                <w:rFonts w:ascii="Cambria" w:hAnsi="Cambria" w:cs="Arial"/>
                <w:b/>
                <w:bCs/>
                <w:sz w:val="20"/>
                <w:szCs w:val="20"/>
              </w:rPr>
              <w:t>iva-Empfindlichkeit bekannt ist. W</w:t>
            </w:r>
            <w:r w:rsidRPr="00207748">
              <w:rPr>
                <w:rFonts w:ascii="Cambria" w:hAnsi="Cambria" w:cs="Arial"/>
                <w:b/>
                <w:bCs/>
                <w:sz w:val="20"/>
                <w:szCs w:val="20"/>
              </w:rPr>
              <w:t>ir empfehlen, dass bei klinischer Verbesserung des Patienten innerhalb der ersten 72 Stunden auch ohne Erregernachweis eine initiale Kombinationstherapie auf eine Monotherapie deeskaliert wird.</w:t>
            </w:r>
          </w:p>
        </w:tc>
      </w:tr>
      <w:tr w:rsidR="00E11869" w:rsidRPr="00207748" w14:paraId="767A9EF8" w14:textId="77777777" w:rsidTr="00342FB3">
        <w:trPr>
          <w:trHeight w:val="56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2E706A5D"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D3FF0" w14:textId="77777777" w:rsidR="00E11869" w:rsidRPr="00207748" w:rsidRDefault="00E873A9" w:rsidP="004454B6">
            <w:pPr>
              <w:spacing w:after="0"/>
              <w:rPr>
                <w:rFonts w:ascii="Cambria" w:hAnsi="Cambria" w:cs="Arial"/>
                <w:sz w:val="20"/>
                <w:szCs w:val="20"/>
              </w:rPr>
            </w:pPr>
            <w:r w:rsidRPr="00207748">
              <w:rPr>
                <w:rFonts w:ascii="Cambria" w:hAnsi="Cambria" w:cs="Arial"/>
                <w:b/>
                <w:bCs/>
                <w:sz w:val="20"/>
                <w:szCs w:val="20"/>
              </w:rPr>
              <w:t>SSC-</w:t>
            </w:r>
            <w:r w:rsidR="00447357" w:rsidRPr="00207748">
              <w:rPr>
                <w:rFonts w:ascii="Cambria" w:hAnsi="Cambria" w:cs="Arial"/>
                <w:b/>
                <w:bCs/>
                <w:sz w:val="20"/>
                <w:szCs w:val="20"/>
              </w:rPr>
              <w:t xml:space="preserve">Leitlinienmodifikation </w:t>
            </w:r>
          </w:p>
        </w:tc>
      </w:tr>
      <w:tr w:rsidR="00E11869" w:rsidRPr="00207748" w14:paraId="1A3C0EA2"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1868E"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3D62B" w14:textId="77777777" w:rsidR="00E11869" w:rsidRPr="00207748" w:rsidRDefault="00447357" w:rsidP="004454B6">
            <w:pPr>
              <w:spacing w:after="0"/>
              <w:rPr>
                <w:rFonts w:ascii="Cambria" w:hAnsi="Cambria" w:cs="Arial"/>
                <w:sz w:val="20"/>
                <w:szCs w:val="20"/>
              </w:rPr>
            </w:pPr>
            <w:r w:rsidRPr="00207748">
              <w:rPr>
                <w:rFonts w:ascii="Cambria" w:hAnsi="Cambria" w:cs="Arial"/>
                <w:sz w:val="20"/>
                <w:szCs w:val="20"/>
              </w:rPr>
              <w:t xml:space="preserve">Konsensstärke: 100 % </w:t>
            </w:r>
          </w:p>
        </w:tc>
      </w:tr>
    </w:tbl>
    <w:p w14:paraId="0D0A1C9E" w14:textId="0FF57D53" w:rsidR="00E11869" w:rsidRPr="00207748" w:rsidRDefault="00342FB3" w:rsidP="004454B6">
      <w:pPr>
        <w:spacing w:before="240"/>
        <w:rPr>
          <w:rFonts w:ascii="Cambria" w:eastAsia="Arial" w:hAnsi="Cambria" w:cs="Arial"/>
          <w:sz w:val="20"/>
          <w:szCs w:val="20"/>
        </w:rPr>
      </w:pPr>
      <w:r w:rsidRPr="00207748">
        <w:rPr>
          <w:rFonts w:ascii="Cambria" w:hAnsi="Cambria" w:cs="Arial"/>
          <w:b/>
          <w:bCs/>
          <w:sz w:val="20"/>
          <w:szCs w:val="20"/>
        </w:rPr>
        <w:t>Begründung</w:t>
      </w:r>
      <w:r w:rsidR="00447357" w:rsidRPr="00207748">
        <w:rPr>
          <w:rFonts w:ascii="Cambria" w:hAnsi="Cambria" w:cs="Arial"/>
          <w:b/>
          <w:bCs/>
          <w:sz w:val="20"/>
          <w:szCs w:val="20"/>
        </w:rPr>
        <w:t xml:space="preserve">: </w:t>
      </w:r>
      <w:r w:rsidR="00447357" w:rsidRPr="00207748">
        <w:rPr>
          <w:rFonts w:ascii="Cambria" w:hAnsi="Cambria" w:cs="Arial"/>
          <w:sz w:val="20"/>
          <w:szCs w:val="20"/>
        </w:rPr>
        <w:t>Die Initiierung einer geeigneten antimikrobiellen Therapie (d.h. einer wirksamen Therapie gegen das bzw. die verursachende(n) Pathogen(e) ist einer der wichtigsten Aspekte des effektiven Managements von lebensbedrohlichen Infektionen, die eine Sepsis und einen septischen Schock verursachen. Das Unterlassen einer geeigneten empirischen Therapie bei Patienten mit Sepsis und septischem Schock ist mit einer beträchtlichen Zunahme der Morbidität und Mortalität verbunden.</w:t>
      </w:r>
      <w:r w:rsidR="00447357" w:rsidRPr="00207748">
        <w:rPr>
          <w:rFonts w:ascii="Cambria" w:eastAsia="Arial" w:hAnsi="Cambria" w:cs="Arial"/>
          <w:sz w:val="20"/>
          <w:szCs w:val="20"/>
          <w:vertAlign w:val="superscript"/>
        </w:rPr>
        <w:endnoteReference w:id="126"/>
      </w:r>
      <w:r w:rsidR="00447357" w:rsidRPr="00207748">
        <w:rPr>
          <w:rFonts w:ascii="Cambria" w:hAnsi="Cambria" w:cs="Arial"/>
          <w:sz w:val="20"/>
          <w:szCs w:val="20"/>
        </w:rPr>
        <w:t xml:space="preserve"> </w:t>
      </w:r>
      <w:bookmarkStart w:id="361" w:name="_Ref30503497"/>
      <w:r w:rsidR="00447357" w:rsidRPr="00207748">
        <w:rPr>
          <w:rFonts w:ascii="Cambria" w:eastAsia="Arial" w:hAnsi="Cambria" w:cs="Arial"/>
          <w:sz w:val="20"/>
          <w:szCs w:val="20"/>
          <w:vertAlign w:val="superscript"/>
        </w:rPr>
        <w:endnoteReference w:id="127"/>
      </w:r>
      <w:bookmarkEnd w:id="361"/>
      <w:r w:rsidR="00447357" w:rsidRPr="00207748">
        <w:rPr>
          <w:rFonts w:ascii="Cambria" w:hAnsi="Cambria" w:cs="Arial"/>
          <w:sz w:val="20"/>
          <w:szCs w:val="20"/>
        </w:rPr>
        <w:t xml:space="preserve"> </w:t>
      </w:r>
      <w:r w:rsidR="00447357" w:rsidRPr="00207748">
        <w:rPr>
          <w:rFonts w:ascii="Cambria" w:eastAsia="Arial" w:hAnsi="Cambria" w:cs="Arial"/>
          <w:sz w:val="20"/>
          <w:szCs w:val="20"/>
          <w:vertAlign w:val="superscript"/>
        </w:rPr>
        <w:endnoteReference w:id="128"/>
      </w:r>
      <w:r w:rsidR="00EF1A9E">
        <w:rPr>
          <w:rFonts w:ascii="Cambria" w:hAnsi="Cambria" w:cs="Arial"/>
          <w:sz w:val="20"/>
          <w:szCs w:val="20"/>
        </w:rPr>
        <w:t xml:space="preserve"> </w:t>
      </w:r>
      <w:r w:rsidR="00447357" w:rsidRPr="00207748">
        <w:rPr>
          <w:rFonts w:ascii="Cambria" w:eastAsia="Arial" w:hAnsi="Cambria" w:cs="Arial"/>
          <w:sz w:val="20"/>
          <w:szCs w:val="20"/>
          <w:vertAlign w:val="superscript"/>
        </w:rPr>
        <w:endnoteReference w:id="129"/>
      </w:r>
      <w:r w:rsidR="00447357" w:rsidRPr="00207748">
        <w:rPr>
          <w:rFonts w:ascii="Cambria" w:hAnsi="Cambria" w:cs="Arial"/>
          <w:sz w:val="20"/>
          <w:szCs w:val="20"/>
        </w:rPr>
        <w:t xml:space="preserve"> Außerdem ist die Wahrscheinlichkeit einer Progression von einer gram-negativen bakteriämischen Infektion zu einem septischen Schock erhöht.</w:t>
      </w:r>
      <w:r w:rsidR="00447357" w:rsidRPr="00207748">
        <w:rPr>
          <w:rFonts w:ascii="Cambria" w:eastAsia="Arial" w:hAnsi="Cambria" w:cs="Arial"/>
          <w:sz w:val="20"/>
          <w:szCs w:val="20"/>
          <w:vertAlign w:val="superscript"/>
        </w:rPr>
        <w:endnoteReference w:id="130"/>
      </w:r>
      <w:r w:rsidR="00447357" w:rsidRPr="00207748">
        <w:rPr>
          <w:rFonts w:ascii="Cambria" w:hAnsi="Cambria" w:cs="Arial"/>
          <w:sz w:val="20"/>
          <w:szCs w:val="20"/>
        </w:rPr>
        <w:t xml:space="preserve"> Dementsprechend muss die initiale Auswahl einer antimikrobiellen Therapie breit genug angelegt sein, um alle wahrscheinlichen Pathogene abzudecken. Die Auswahl der empirischen antimikrobiellen Therapie hängt von komplexen Fragen im Zusammenhang mit der medizinischen Vorgeschichte des Patienten, </w:t>
      </w:r>
      <w:r w:rsidR="00447357" w:rsidRPr="00207748">
        <w:rPr>
          <w:rFonts w:ascii="Cambria" w:hAnsi="Cambria" w:cs="Arial"/>
          <w:sz w:val="20"/>
          <w:szCs w:val="20"/>
        </w:rPr>
        <w:lastRenderedPageBreak/>
        <w:t>dem klinischen Zustand und lokalen epidemiologischen Faktoren ab. Zu den wichtigsten patientenbezogenen Faktoren gehören die Art des klinischen Syndroms/die Lokalisation der Infektion, die zugrundeliegenden Begleiterkrankungen, chronisches Organversagen, Medikamente, Dauerkatheter, d</w:t>
      </w:r>
      <w:r w:rsidR="005D2A57">
        <w:rPr>
          <w:rFonts w:ascii="Cambria" w:hAnsi="Cambria" w:cs="Arial"/>
          <w:sz w:val="20"/>
          <w:szCs w:val="20"/>
        </w:rPr>
        <w:t>as Vorliegen</w:t>
      </w:r>
      <w:r w:rsidR="00447357" w:rsidRPr="00207748">
        <w:rPr>
          <w:rFonts w:ascii="Cambria" w:hAnsi="Cambria" w:cs="Arial"/>
          <w:sz w:val="20"/>
          <w:szCs w:val="20"/>
        </w:rPr>
        <w:t xml:space="preserve"> einer Immunsuppression oder einer anderen </w:t>
      </w:r>
      <w:r w:rsidR="005D2A57">
        <w:rPr>
          <w:rFonts w:ascii="Cambria" w:hAnsi="Cambria" w:cs="Arial"/>
          <w:sz w:val="20"/>
          <w:szCs w:val="20"/>
        </w:rPr>
        <w:t>Beeinträchtigung des</w:t>
      </w:r>
      <w:r w:rsidR="002B1061">
        <w:rPr>
          <w:rFonts w:ascii="Cambria" w:hAnsi="Cambria" w:cs="Arial"/>
          <w:sz w:val="20"/>
          <w:szCs w:val="20"/>
        </w:rPr>
        <w:t xml:space="preserve"> </w:t>
      </w:r>
      <w:r w:rsidR="00447357" w:rsidRPr="00207748">
        <w:rPr>
          <w:rFonts w:ascii="Cambria" w:hAnsi="Cambria" w:cs="Arial"/>
          <w:sz w:val="20"/>
          <w:szCs w:val="20"/>
        </w:rPr>
        <w:t>Immunsystem</w:t>
      </w:r>
      <w:r w:rsidR="005D2A57">
        <w:rPr>
          <w:rFonts w:ascii="Cambria" w:hAnsi="Cambria" w:cs="Arial"/>
          <w:sz w:val="20"/>
          <w:szCs w:val="20"/>
        </w:rPr>
        <w:t>s</w:t>
      </w:r>
      <w:r w:rsidR="00447357" w:rsidRPr="00207748">
        <w:rPr>
          <w:rFonts w:ascii="Cambria" w:hAnsi="Cambria" w:cs="Arial"/>
          <w:sz w:val="20"/>
          <w:szCs w:val="20"/>
        </w:rPr>
        <w:t xml:space="preserve">, eine kürzlich bekanntgewordene Infektion oder Kolonisierung mit spezifischen Pathogenen </w:t>
      </w:r>
      <w:r w:rsidR="005D2A57">
        <w:rPr>
          <w:rFonts w:ascii="Cambria" w:hAnsi="Cambria" w:cs="Arial"/>
          <w:sz w:val="20"/>
          <w:szCs w:val="20"/>
        </w:rPr>
        <w:t>sowie</w:t>
      </w:r>
      <w:r w:rsidR="002B1061">
        <w:rPr>
          <w:rFonts w:ascii="Cambria" w:hAnsi="Cambria" w:cs="Arial"/>
          <w:sz w:val="20"/>
          <w:szCs w:val="20"/>
        </w:rPr>
        <w:t xml:space="preserve"> </w:t>
      </w:r>
      <w:r w:rsidR="005D2A57">
        <w:rPr>
          <w:rFonts w:ascii="Cambria" w:hAnsi="Cambria" w:cs="Arial"/>
          <w:sz w:val="20"/>
          <w:szCs w:val="20"/>
        </w:rPr>
        <w:t>eine Behandlung mit Antinfektiva</w:t>
      </w:r>
      <w:r w:rsidR="002B1061">
        <w:rPr>
          <w:rFonts w:ascii="Cambria" w:hAnsi="Cambria" w:cs="Arial"/>
          <w:sz w:val="20"/>
          <w:szCs w:val="20"/>
        </w:rPr>
        <w:t xml:space="preserve"> </w:t>
      </w:r>
      <w:r w:rsidR="00447357" w:rsidRPr="00207748">
        <w:rPr>
          <w:rFonts w:ascii="Cambria" w:hAnsi="Cambria" w:cs="Arial"/>
          <w:sz w:val="20"/>
          <w:szCs w:val="20"/>
        </w:rPr>
        <w:t xml:space="preserve">innerhalb der letzten drei Monate. Außerdem müssen Faktoren wie der Aufenthaltsort des Patienten zum Zeitpunkt der Infektion (z.B. kommunaler Bereich, Versorgungseinrichtung für chronisch Kranke, Akutversorgungshospital), die lokale Pathogenprävalenz und die Suszeptibilitätsmuster dieser Pathogene sowohl auf kommunaler Ebene als auch im Krankenhaus in der </w:t>
      </w:r>
      <w:r w:rsidR="005D2A57">
        <w:rPr>
          <w:rFonts w:ascii="Cambria" w:hAnsi="Cambria" w:cs="Arial"/>
          <w:sz w:val="20"/>
          <w:szCs w:val="20"/>
        </w:rPr>
        <w:t>Therapiewahl</w:t>
      </w:r>
      <w:r w:rsidR="00447357" w:rsidRPr="00207748">
        <w:rPr>
          <w:rFonts w:ascii="Cambria" w:hAnsi="Cambria" w:cs="Arial"/>
          <w:sz w:val="20"/>
          <w:szCs w:val="20"/>
        </w:rPr>
        <w:t xml:space="preserve"> </w:t>
      </w:r>
      <w:r w:rsidR="001C7DC2">
        <w:rPr>
          <w:rFonts w:ascii="Cambria" w:hAnsi="Cambria" w:cs="Arial"/>
          <w:sz w:val="20"/>
          <w:szCs w:val="20"/>
        </w:rPr>
        <w:t>berücksichtigt</w:t>
      </w:r>
      <w:r w:rsidR="00447357" w:rsidRPr="00207748">
        <w:rPr>
          <w:rFonts w:ascii="Cambria" w:hAnsi="Cambria" w:cs="Arial"/>
          <w:sz w:val="20"/>
          <w:szCs w:val="20"/>
        </w:rPr>
        <w:t xml:space="preserve"> werden. </w:t>
      </w:r>
      <w:r w:rsidR="001C7DC2">
        <w:rPr>
          <w:rFonts w:ascii="Cambria" w:hAnsi="Cambria" w:cs="Arial"/>
          <w:sz w:val="20"/>
          <w:szCs w:val="20"/>
        </w:rPr>
        <w:t>Auch</w:t>
      </w:r>
      <w:r w:rsidR="002B1061">
        <w:rPr>
          <w:rFonts w:ascii="Cambria" w:hAnsi="Cambria" w:cs="Arial"/>
          <w:sz w:val="20"/>
          <w:szCs w:val="20"/>
        </w:rPr>
        <w:t xml:space="preserve"> </w:t>
      </w:r>
      <w:r w:rsidR="00447357" w:rsidRPr="00207748">
        <w:rPr>
          <w:rFonts w:ascii="Cambria" w:hAnsi="Cambria" w:cs="Arial"/>
          <w:sz w:val="20"/>
          <w:szCs w:val="20"/>
        </w:rPr>
        <w:t xml:space="preserve">Medikamentenunverträglichkeiten und Toxizitäten </w:t>
      </w:r>
      <w:r w:rsidR="001C7DC2">
        <w:rPr>
          <w:rFonts w:ascii="Cambria" w:hAnsi="Cambria" w:cs="Arial"/>
          <w:sz w:val="20"/>
          <w:szCs w:val="20"/>
        </w:rPr>
        <w:t xml:space="preserve">müssen </w:t>
      </w:r>
      <w:r w:rsidR="00447357" w:rsidRPr="00207748">
        <w:rPr>
          <w:rFonts w:ascii="Cambria" w:hAnsi="Cambria" w:cs="Arial"/>
          <w:sz w:val="20"/>
          <w:szCs w:val="20"/>
        </w:rPr>
        <w:t>berücksichtigt werden.</w:t>
      </w:r>
    </w:p>
    <w:p w14:paraId="57F8A2FA" w14:textId="70D3A18A" w:rsidR="00E11869" w:rsidRPr="00207748" w:rsidRDefault="00447357" w:rsidP="004454B6">
      <w:pPr>
        <w:rPr>
          <w:rFonts w:ascii="Cambria" w:eastAsia="Arial" w:hAnsi="Cambria" w:cs="Arial"/>
          <w:sz w:val="20"/>
          <w:szCs w:val="20"/>
        </w:rPr>
      </w:pPr>
      <w:r w:rsidRPr="00207748">
        <w:rPr>
          <w:rFonts w:ascii="Cambria" w:hAnsi="Cambria" w:cs="Arial"/>
          <w:sz w:val="20"/>
          <w:szCs w:val="20"/>
        </w:rPr>
        <w:t>Die häufigsten Pathogene, die einen septischen Schock verursachen, sind gram-negative Bakterien sowie gram-positive Mikroorganismen. Bei ausgewählten Patienten sollten eine invasive Candidiasis, ein toxisches Schocksyndrom und auch selten auftretende Pathogene in Betracht gezogen werden. Bestimmte Sondersituationen setzen Patienten einem Risiko für atypische oder resistente Pathogene aus. Beispielsweise sind Neutropenie-Patienten einem Risiko in Bezug auf ein besonders breites Spektrum an potenziellen Pathogenen ausgesetzt, zu denen resistente gram-negative Ba</w:t>
      </w:r>
      <w:r w:rsidR="00436842">
        <w:rPr>
          <w:rFonts w:ascii="Cambria" w:hAnsi="Cambria" w:cs="Arial"/>
          <w:sz w:val="20"/>
          <w:szCs w:val="20"/>
        </w:rPr>
        <w:t>kterien</w:t>
      </w:r>
      <w:r w:rsidRPr="00207748">
        <w:rPr>
          <w:rFonts w:ascii="Cambria" w:hAnsi="Cambria" w:cs="Arial"/>
          <w:sz w:val="20"/>
          <w:szCs w:val="20"/>
        </w:rPr>
        <w:t xml:space="preserve"> und Candida-Spezies gehören. Patienten mit nosokomial erworbenen Infektionen sind anfällig für eine Sepsis mit dem Methicillin-resistenten Staphylococcus aureus (MRSA) und mit Vancomycin-resistenten Enteroco</w:t>
      </w:r>
      <w:r w:rsidR="00436842">
        <w:rPr>
          <w:rFonts w:ascii="Cambria" w:hAnsi="Cambria" w:cs="Arial"/>
          <w:sz w:val="20"/>
          <w:szCs w:val="20"/>
        </w:rPr>
        <w:t>kken</w:t>
      </w:r>
      <w:r w:rsidRPr="00207748">
        <w:rPr>
          <w:rFonts w:ascii="Cambria" w:hAnsi="Cambria" w:cs="Arial"/>
          <w:sz w:val="20"/>
          <w:szCs w:val="20"/>
        </w:rPr>
        <w:t xml:space="preserve"> (VRE).</w:t>
      </w:r>
    </w:p>
    <w:p w14:paraId="789138E5" w14:textId="1B6C8D6D" w:rsidR="00E11869" w:rsidRPr="00207748" w:rsidRDefault="00E11869" w:rsidP="004454B6">
      <w:pPr>
        <w:rPr>
          <w:rFonts w:ascii="Cambria" w:eastAsia="Arial" w:hAnsi="Cambria" w:cs="Arial"/>
          <w:sz w:val="20"/>
          <w:szCs w:val="20"/>
        </w:rPr>
      </w:pPr>
    </w:p>
    <w:p w14:paraId="76408E7E" w14:textId="3FB3D935" w:rsidR="00E11869" w:rsidRPr="00207748" w:rsidRDefault="00447357" w:rsidP="004454B6">
      <w:pPr>
        <w:rPr>
          <w:rFonts w:ascii="Cambria" w:eastAsia="Arial" w:hAnsi="Cambria" w:cs="Arial"/>
          <w:sz w:val="20"/>
          <w:szCs w:val="20"/>
        </w:rPr>
      </w:pPr>
      <w:r w:rsidRPr="00207748">
        <w:rPr>
          <w:rFonts w:ascii="Cambria" w:hAnsi="Cambria" w:cs="Arial"/>
          <w:sz w:val="20"/>
          <w:szCs w:val="20"/>
        </w:rPr>
        <w:t xml:space="preserve">Die Auswahl einer optimalen empirischen antimikrobiellen Behandlung bei Sepsis und septischem Schock ist einer der zentralen </w:t>
      </w:r>
      <w:r w:rsidRPr="00207748">
        <w:rPr>
          <w:rFonts w:ascii="Cambria" w:hAnsi="Cambria" w:cs="Arial"/>
          <w:sz w:val="20"/>
          <w:szCs w:val="20"/>
        </w:rPr>
        <w:lastRenderedPageBreak/>
        <w:t xml:space="preserve">Einflussfaktoren in Bezug auf das </w:t>
      </w:r>
      <w:r w:rsidR="001071AF">
        <w:rPr>
          <w:rFonts w:ascii="Cambria" w:hAnsi="Cambria" w:cs="Arial"/>
          <w:sz w:val="20"/>
          <w:szCs w:val="20"/>
        </w:rPr>
        <w:t>outcome</w:t>
      </w:r>
      <w:r w:rsidRPr="00207748">
        <w:rPr>
          <w:rFonts w:ascii="Cambria" w:hAnsi="Cambria" w:cs="Arial"/>
          <w:sz w:val="20"/>
          <w:szCs w:val="20"/>
        </w:rPr>
        <w:t>. Die Überlebensrate kann sich um das Fünffache verringern, wenn ein septischer Schock mit einer empirischen Therapie behandelt wird, die das ursächliche Pathogen nicht</w:t>
      </w:r>
      <w:r w:rsidR="00EF1A9E" w:rsidRPr="00207748">
        <w:rPr>
          <w:rFonts w:ascii="Cambria" w:hAnsi="Cambria" w:cs="Arial"/>
          <w:sz w:val="20"/>
          <w:szCs w:val="20"/>
        </w:rPr>
        <w:t xml:space="preserve"> </w:t>
      </w:r>
      <w:r w:rsidRPr="00207748">
        <w:rPr>
          <w:rFonts w:ascii="Cambria" w:hAnsi="Cambria" w:cs="Arial"/>
          <w:sz w:val="20"/>
          <w:szCs w:val="20"/>
        </w:rPr>
        <w:t>abdeckt.</w:t>
      </w:r>
      <w:r w:rsidR="00CB26D4" w:rsidRPr="00CB26D4">
        <w:rPr>
          <w:rStyle w:val="EndnoteRealZchn"/>
        </w:rPr>
        <w:fldChar w:fldCharType="begin"/>
      </w:r>
      <w:r w:rsidR="00CB26D4" w:rsidRPr="00CB26D4">
        <w:rPr>
          <w:rStyle w:val="EndnoteRealZchn"/>
        </w:rPr>
        <w:instrText xml:space="preserve"> NOTEREF _Ref30503497 \h </w:instrText>
      </w:r>
      <w:r w:rsidR="00CB26D4">
        <w:rPr>
          <w:rStyle w:val="EndnoteRealZchn"/>
        </w:rPr>
        <w:instrText xml:space="preserve"> \* MERGEFORMAT </w:instrText>
      </w:r>
      <w:r w:rsidR="00CB26D4" w:rsidRPr="00CB26D4">
        <w:rPr>
          <w:rStyle w:val="EndnoteRealZchn"/>
        </w:rPr>
      </w:r>
      <w:r w:rsidR="00CB26D4" w:rsidRPr="00CB26D4">
        <w:rPr>
          <w:rStyle w:val="EndnoteRealZchn"/>
        </w:rPr>
        <w:fldChar w:fldCharType="separate"/>
      </w:r>
      <w:r w:rsidR="001A283B">
        <w:rPr>
          <w:rStyle w:val="EndnoteRealZchn"/>
        </w:rPr>
        <w:t>127</w:t>
      </w:r>
      <w:r w:rsidR="00CB26D4" w:rsidRPr="00CB26D4">
        <w:rPr>
          <w:rStyle w:val="EndnoteRealZchn"/>
        </w:rPr>
        <w:fldChar w:fldCharType="end"/>
      </w:r>
      <w:r w:rsidR="00CB26D4" w:rsidRPr="00CB26D4">
        <w:rPr>
          <w:rStyle w:val="EndnoteRealZchn"/>
        </w:rPr>
        <w:t xml:space="preserve"> </w:t>
      </w:r>
      <w:r w:rsidRPr="00207748">
        <w:rPr>
          <w:rFonts w:ascii="Cambria" w:hAnsi="Cambria" w:cs="Arial"/>
          <w:sz w:val="20"/>
          <w:szCs w:val="20"/>
        </w:rPr>
        <w:t xml:space="preserve">Wegen der hohen Mortalität, die mit einer </w:t>
      </w:r>
      <w:r w:rsidR="001071AF">
        <w:rPr>
          <w:rFonts w:ascii="Cambria" w:hAnsi="Cambria" w:cs="Arial"/>
          <w:sz w:val="20"/>
          <w:szCs w:val="20"/>
        </w:rPr>
        <w:t>nicht adäquaten</w:t>
      </w:r>
      <w:r w:rsidRPr="00207748">
        <w:rPr>
          <w:rFonts w:ascii="Cambria" w:hAnsi="Cambria" w:cs="Arial"/>
          <w:sz w:val="20"/>
          <w:szCs w:val="20"/>
        </w:rPr>
        <w:t xml:space="preserve"> initialen Therapie verbunden ist, sollten empirische Therapien im Zweifelsfall </w:t>
      </w:r>
      <w:r w:rsidR="001071AF">
        <w:rPr>
          <w:rFonts w:ascii="Cambria" w:hAnsi="Cambria" w:cs="Arial"/>
          <w:sz w:val="20"/>
          <w:szCs w:val="20"/>
        </w:rPr>
        <w:t>ein breites Spektrum</w:t>
      </w:r>
      <w:r w:rsidR="002B1061">
        <w:rPr>
          <w:rFonts w:ascii="Cambria" w:hAnsi="Cambria" w:cs="Arial"/>
          <w:sz w:val="20"/>
          <w:szCs w:val="20"/>
        </w:rPr>
        <w:t xml:space="preserve"> </w:t>
      </w:r>
      <w:r w:rsidRPr="00207748">
        <w:rPr>
          <w:rFonts w:ascii="Cambria" w:hAnsi="Cambria" w:cs="Arial"/>
          <w:sz w:val="20"/>
          <w:szCs w:val="20"/>
        </w:rPr>
        <w:t xml:space="preserve">von Pathogenen </w:t>
      </w:r>
      <w:r w:rsidR="001071AF">
        <w:rPr>
          <w:rFonts w:ascii="Cambria" w:hAnsi="Cambria" w:cs="Arial"/>
          <w:sz w:val="20"/>
          <w:szCs w:val="20"/>
        </w:rPr>
        <w:t>berücksichtigen.</w:t>
      </w:r>
      <w:r w:rsidR="002B1061">
        <w:rPr>
          <w:rFonts w:ascii="Cambria" w:hAnsi="Cambria" w:cs="Arial"/>
          <w:sz w:val="20"/>
          <w:szCs w:val="20"/>
        </w:rPr>
        <w:t xml:space="preserve"> </w:t>
      </w:r>
      <w:r w:rsidRPr="00207748">
        <w:rPr>
          <w:rFonts w:ascii="Cambria" w:hAnsi="Cambria" w:cs="Arial"/>
          <w:sz w:val="20"/>
          <w:szCs w:val="20"/>
        </w:rPr>
        <w:t xml:space="preserve">Die Auswahl von empirischen antimikrobiellen Therapien bei Patienten mit Sepsis und septischem Schock ist jedoch eine komplexe Aufgabe und kann nicht auf eine einfache Tabelle reduziert werden. Diverse Faktoren müssen </w:t>
      </w:r>
      <w:r w:rsidR="001071AF">
        <w:rPr>
          <w:rFonts w:ascii="Cambria" w:hAnsi="Cambria" w:cs="Arial"/>
          <w:sz w:val="20"/>
          <w:szCs w:val="20"/>
        </w:rPr>
        <w:t>berücksichtigt</w:t>
      </w:r>
      <w:r w:rsidRPr="00207748">
        <w:rPr>
          <w:rFonts w:ascii="Cambria" w:hAnsi="Cambria" w:cs="Arial"/>
          <w:sz w:val="20"/>
          <w:szCs w:val="20"/>
        </w:rPr>
        <w:t xml:space="preserve"> werden, um eine geeignete antimikrobielle Therapie zu finden, und zwar an jedem medizinischen Zentrum und für jeden einzelnen Patienten. Dazu gehören:</w:t>
      </w:r>
    </w:p>
    <w:p w14:paraId="25A767CB" w14:textId="7C806327" w:rsidR="00E11869" w:rsidRPr="00207748" w:rsidRDefault="00447357" w:rsidP="004454B6">
      <w:pPr>
        <w:rPr>
          <w:rFonts w:ascii="Cambria" w:eastAsia="Arial" w:hAnsi="Cambria" w:cs="Arial"/>
          <w:sz w:val="20"/>
          <w:szCs w:val="20"/>
        </w:rPr>
      </w:pPr>
      <w:r w:rsidRPr="00207748">
        <w:rPr>
          <w:rFonts w:ascii="Cambria" w:hAnsi="Cambria" w:cs="Arial"/>
          <w:sz w:val="20"/>
          <w:szCs w:val="20"/>
        </w:rPr>
        <w:t>a) die anatomische Lokalisation des Infektionsherds unter Beachtung des typischen Pathogen</w:t>
      </w:r>
      <w:r w:rsidR="00EC3DBA" w:rsidRPr="00207748">
        <w:rPr>
          <w:rFonts w:ascii="Cambria" w:hAnsi="Cambria" w:cs="Arial"/>
          <w:sz w:val="20"/>
          <w:szCs w:val="20"/>
        </w:rPr>
        <w:t>-P</w:t>
      </w:r>
      <w:r w:rsidRPr="00207748">
        <w:rPr>
          <w:rFonts w:ascii="Cambria" w:hAnsi="Cambria" w:cs="Arial"/>
          <w:sz w:val="20"/>
          <w:szCs w:val="20"/>
        </w:rPr>
        <w:t xml:space="preserve">rofils und der </w:t>
      </w:r>
      <w:r w:rsidR="001071AF">
        <w:rPr>
          <w:rFonts w:ascii="Cambria" w:hAnsi="Cambria" w:cs="Arial"/>
          <w:sz w:val="20"/>
          <w:szCs w:val="20"/>
        </w:rPr>
        <w:t>Gewebegängigkeit</w:t>
      </w:r>
      <w:r w:rsidRPr="00207748">
        <w:rPr>
          <w:rFonts w:ascii="Cambria" w:hAnsi="Cambria" w:cs="Arial"/>
          <w:sz w:val="20"/>
          <w:szCs w:val="20"/>
        </w:rPr>
        <w:t xml:space="preserve"> der </w:t>
      </w:r>
      <w:r w:rsidR="001071AF">
        <w:rPr>
          <w:rFonts w:ascii="Cambria" w:hAnsi="Cambria" w:cs="Arial"/>
          <w:sz w:val="20"/>
          <w:szCs w:val="20"/>
        </w:rPr>
        <w:t>Antiinfektiva</w:t>
      </w:r>
    </w:p>
    <w:p w14:paraId="22459F81" w14:textId="77777777" w:rsidR="00E11869" w:rsidRPr="00207748" w:rsidRDefault="00447357" w:rsidP="004454B6">
      <w:pPr>
        <w:rPr>
          <w:rFonts w:ascii="Cambria" w:eastAsia="Arial" w:hAnsi="Cambria" w:cs="Arial"/>
          <w:sz w:val="20"/>
          <w:szCs w:val="20"/>
        </w:rPr>
      </w:pPr>
      <w:r w:rsidRPr="00207748">
        <w:rPr>
          <w:rFonts w:ascii="Cambria" w:hAnsi="Cambria" w:cs="Arial"/>
          <w:sz w:val="20"/>
          <w:szCs w:val="20"/>
        </w:rPr>
        <w:t xml:space="preserve">b) prävalente Pathogene auf kommunaler Ebene, im Krankenhaus und auf der </w:t>
      </w:r>
      <w:r w:rsidR="001071AF">
        <w:rPr>
          <w:rFonts w:ascii="Cambria" w:hAnsi="Cambria" w:cs="Arial"/>
          <w:sz w:val="20"/>
          <w:szCs w:val="20"/>
        </w:rPr>
        <w:t xml:space="preserve">jeweiligen </w:t>
      </w:r>
      <w:r w:rsidRPr="00207748">
        <w:rPr>
          <w:rFonts w:ascii="Cambria" w:hAnsi="Cambria" w:cs="Arial"/>
          <w:sz w:val="20"/>
          <w:szCs w:val="20"/>
        </w:rPr>
        <w:t>Station des Krankenhauses</w:t>
      </w:r>
    </w:p>
    <w:p w14:paraId="6404D9A6" w14:textId="77777777" w:rsidR="00E11869" w:rsidRPr="00207748" w:rsidRDefault="00447357" w:rsidP="004454B6">
      <w:pPr>
        <w:rPr>
          <w:rFonts w:ascii="Cambria" w:eastAsia="Arial" w:hAnsi="Cambria" w:cs="Arial"/>
          <w:sz w:val="20"/>
          <w:szCs w:val="20"/>
        </w:rPr>
      </w:pPr>
      <w:r w:rsidRPr="00207748">
        <w:rPr>
          <w:rFonts w:ascii="Cambria" w:hAnsi="Cambria" w:cs="Arial"/>
          <w:sz w:val="20"/>
          <w:szCs w:val="20"/>
        </w:rPr>
        <w:t>c) die Resistenzmuster dieser prävalenten Pathogene</w:t>
      </w:r>
    </w:p>
    <w:p w14:paraId="291EA194" w14:textId="289B59B1" w:rsidR="00E11869" w:rsidRPr="00207748" w:rsidRDefault="00447357" w:rsidP="004454B6">
      <w:pPr>
        <w:rPr>
          <w:rFonts w:ascii="Cambria" w:eastAsia="Arial" w:hAnsi="Cambria" w:cs="Arial"/>
          <w:sz w:val="20"/>
          <w:szCs w:val="20"/>
        </w:rPr>
      </w:pPr>
      <w:r w:rsidRPr="00207748">
        <w:rPr>
          <w:rFonts w:ascii="Cambria" w:hAnsi="Cambria" w:cs="Arial"/>
          <w:sz w:val="20"/>
          <w:szCs w:val="20"/>
        </w:rPr>
        <w:t>d) d</w:t>
      </w:r>
      <w:r w:rsidR="001071AF">
        <w:rPr>
          <w:rFonts w:ascii="Cambria" w:hAnsi="Cambria" w:cs="Arial"/>
          <w:sz w:val="20"/>
          <w:szCs w:val="20"/>
        </w:rPr>
        <w:t>as Vorliegen</w:t>
      </w:r>
      <w:r w:rsidRPr="00207748">
        <w:rPr>
          <w:rFonts w:ascii="Cambria" w:hAnsi="Cambria" w:cs="Arial"/>
          <w:sz w:val="20"/>
          <w:szCs w:val="20"/>
        </w:rPr>
        <w:t xml:space="preserve"> von spezifischen Immundefekten, wie z.B. Neutropenie, </w:t>
      </w:r>
      <w:r w:rsidR="001071AF">
        <w:rPr>
          <w:rFonts w:ascii="Cambria" w:hAnsi="Cambria" w:cs="Arial"/>
          <w:sz w:val="20"/>
          <w:szCs w:val="20"/>
        </w:rPr>
        <w:t xml:space="preserve">Z.n. </w:t>
      </w:r>
      <w:r w:rsidRPr="00207748">
        <w:rPr>
          <w:rFonts w:ascii="Cambria" w:hAnsi="Cambria" w:cs="Arial"/>
          <w:sz w:val="20"/>
          <w:szCs w:val="20"/>
        </w:rPr>
        <w:t>Splenektomie, eine schlecht kontrollierte HIV-Infektion</w:t>
      </w:r>
      <w:r w:rsidR="001071AF">
        <w:rPr>
          <w:rFonts w:ascii="Cambria" w:hAnsi="Cambria" w:cs="Arial"/>
          <w:sz w:val="20"/>
          <w:szCs w:val="20"/>
        </w:rPr>
        <w:t>,</w:t>
      </w:r>
      <w:r w:rsidR="002B1061">
        <w:rPr>
          <w:rFonts w:ascii="Cambria" w:hAnsi="Cambria" w:cs="Arial"/>
          <w:sz w:val="20"/>
          <w:szCs w:val="20"/>
        </w:rPr>
        <w:t xml:space="preserve"> </w:t>
      </w:r>
      <w:r w:rsidRPr="00207748">
        <w:rPr>
          <w:rFonts w:ascii="Cambria" w:hAnsi="Cambria" w:cs="Arial"/>
          <w:sz w:val="20"/>
          <w:szCs w:val="20"/>
        </w:rPr>
        <w:t xml:space="preserve">erworbene oder angeborene Immunglobulin-Defekte, </w:t>
      </w:r>
      <w:r w:rsidR="001071AF">
        <w:rPr>
          <w:rFonts w:ascii="Cambria" w:hAnsi="Cambria" w:cs="Arial"/>
          <w:sz w:val="20"/>
          <w:szCs w:val="20"/>
        </w:rPr>
        <w:t>bzw. Störungen der</w:t>
      </w:r>
      <w:r w:rsidRPr="00207748">
        <w:rPr>
          <w:rFonts w:ascii="Cambria" w:hAnsi="Cambria" w:cs="Arial"/>
          <w:sz w:val="20"/>
          <w:szCs w:val="20"/>
        </w:rPr>
        <w:t xml:space="preserve"> Leukozytenfunktion</w:t>
      </w:r>
    </w:p>
    <w:p w14:paraId="1729704D" w14:textId="4552EB20" w:rsidR="00E11869" w:rsidRPr="00207748" w:rsidRDefault="00447357" w:rsidP="004454B6">
      <w:pPr>
        <w:rPr>
          <w:rFonts w:ascii="Cambria" w:eastAsia="Arial" w:hAnsi="Cambria" w:cs="Arial"/>
          <w:sz w:val="20"/>
          <w:szCs w:val="20"/>
        </w:rPr>
      </w:pPr>
      <w:r w:rsidRPr="00207748">
        <w:rPr>
          <w:rFonts w:ascii="Cambria" w:hAnsi="Cambria" w:cs="Arial"/>
          <w:sz w:val="20"/>
          <w:szCs w:val="20"/>
        </w:rPr>
        <w:t>e) das Alter und die Komorbiditäten des betreffenden Patienten einschließlich chronischer Erkrankungen (z.B. Diabetes) und chronischer Organdysfunktion</w:t>
      </w:r>
      <w:r w:rsidR="001071AF">
        <w:rPr>
          <w:rFonts w:ascii="Cambria" w:hAnsi="Cambria" w:cs="Arial"/>
          <w:sz w:val="20"/>
          <w:szCs w:val="20"/>
        </w:rPr>
        <w:t>en</w:t>
      </w:r>
      <w:r w:rsidRPr="00207748">
        <w:rPr>
          <w:rFonts w:ascii="Cambria" w:hAnsi="Cambria" w:cs="Arial"/>
          <w:sz w:val="20"/>
          <w:szCs w:val="20"/>
        </w:rPr>
        <w:t xml:space="preserve"> (z.B. Leber- oder Nierenversagen), d</w:t>
      </w:r>
      <w:r w:rsidR="001071AF">
        <w:rPr>
          <w:rFonts w:ascii="Cambria" w:hAnsi="Cambria" w:cs="Arial"/>
          <w:sz w:val="20"/>
          <w:szCs w:val="20"/>
        </w:rPr>
        <w:t>as Vorliegen</w:t>
      </w:r>
      <w:r w:rsidRPr="00207748">
        <w:rPr>
          <w:rFonts w:ascii="Cambria" w:hAnsi="Cambria" w:cs="Arial"/>
          <w:sz w:val="20"/>
          <w:szCs w:val="20"/>
        </w:rPr>
        <w:t xml:space="preserve"> von </w:t>
      </w:r>
      <w:r w:rsidR="001071AF">
        <w:rPr>
          <w:rFonts w:ascii="Cambria" w:hAnsi="Cambria" w:cs="Arial"/>
          <w:sz w:val="20"/>
          <w:szCs w:val="20"/>
        </w:rPr>
        <w:t>devices</w:t>
      </w:r>
      <w:r w:rsidRPr="00207748">
        <w:rPr>
          <w:rFonts w:ascii="Cambria" w:hAnsi="Cambria" w:cs="Arial"/>
          <w:sz w:val="20"/>
          <w:szCs w:val="20"/>
        </w:rPr>
        <w:t xml:space="preserve"> (z.B. zentralvenöse Zugänge oder Urinkatheter), welche die Abwehr gegenüber Infektionen kompromittieren</w:t>
      </w:r>
    </w:p>
    <w:p w14:paraId="666F0134" w14:textId="6ACCB6DC" w:rsidR="00E11869" w:rsidRPr="00207748" w:rsidRDefault="00447357" w:rsidP="004454B6">
      <w:pPr>
        <w:rPr>
          <w:rFonts w:ascii="Cambria" w:eastAsia="Arial" w:hAnsi="Cambria" w:cs="Arial"/>
          <w:sz w:val="20"/>
          <w:szCs w:val="20"/>
        </w:rPr>
      </w:pPr>
      <w:r w:rsidRPr="00207748">
        <w:rPr>
          <w:rFonts w:ascii="Cambria" w:hAnsi="Cambria" w:cs="Arial"/>
          <w:sz w:val="20"/>
          <w:szCs w:val="20"/>
        </w:rPr>
        <w:t xml:space="preserve">Angesichts der Bandbreite der Variablen, die analysiert werden müssen, ist die Empfehlung einer spezifischen Behandlung bei einer Sepsis und einem septischen Schock nicht möglich. Die </w:t>
      </w:r>
      <w:r w:rsidRPr="00207748">
        <w:rPr>
          <w:rFonts w:ascii="Cambria" w:hAnsi="Cambria" w:cs="Arial"/>
          <w:sz w:val="20"/>
          <w:szCs w:val="20"/>
        </w:rPr>
        <w:lastRenderedPageBreak/>
        <w:t xml:space="preserve">Leser dieses Dokuments werden auf Leitlinien verwiesen, die Informationen zu Behandlungsmöglichkeiten basierend auf der anatomischen Lokalisation der Infektion oder spezifischen Immundefekten zur Verfügung stellen. </w:t>
      </w:r>
      <w:r w:rsidRPr="00207748">
        <w:rPr>
          <w:rFonts w:ascii="Cambria" w:eastAsia="Arial" w:hAnsi="Cambria" w:cs="Arial"/>
          <w:sz w:val="20"/>
          <w:szCs w:val="20"/>
          <w:vertAlign w:val="superscript"/>
        </w:rPr>
        <w:endnoteReference w:id="131"/>
      </w:r>
      <w:r w:rsidRPr="00207748">
        <w:rPr>
          <w:rFonts w:ascii="Cambria" w:hAnsi="Cambria" w:cs="Arial"/>
          <w:sz w:val="20"/>
          <w:szCs w:val="20"/>
        </w:rPr>
        <w:t xml:space="preserve"> </w:t>
      </w:r>
      <w:r w:rsidRPr="00207748">
        <w:rPr>
          <w:rFonts w:ascii="Cambria" w:eastAsia="Arial" w:hAnsi="Cambria" w:cs="Arial"/>
          <w:sz w:val="20"/>
          <w:szCs w:val="20"/>
          <w:vertAlign w:val="superscript"/>
        </w:rPr>
        <w:endnoteReference w:id="132"/>
      </w:r>
      <w:r w:rsidRPr="00207748">
        <w:rPr>
          <w:rFonts w:ascii="Cambria" w:hAnsi="Cambria" w:cs="Arial"/>
          <w:sz w:val="20"/>
          <w:szCs w:val="20"/>
        </w:rPr>
        <w:t xml:space="preserve"> </w:t>
      </w:r>
      <w:bookmarkStart w:id="362" w:name="_Ref30503641"/>
      <w:r w:rsidRPr="00207748">
        <w:rPr>
          <w:rFonts w:ascii="Cambria" w:eastAsia="Arial" w:hAnsi="Cambria" w:cs="Arial"/>
          <w:sz w:val="20"/>
          <w:szCs w:val="20"/>
          <w:vertAlign w:val="superscript"/>
        </w:rPr>
        <w:endnoteReference w:id="133"/>
      </w:r>
      <w:bookmarkEnd w:id="362"/>
      <w:r w:rsidRPr="00207748">
        <w:rPr>
          <w:rFonts w:ascii="Cambria" w:hAnsi="Cambria" w:cs="Arial"/>
          <w:sz w:val="20"/>
          <w:szCs w:val="20"/>
        </w:rPr>
        <w:t xml:space="preserve"> </w:t>
      </w:r>
      <w:r w:rsidRPr="00207748">
        <w:rPr>
          <w:rFonts w:ascii="Cambria" w:eastAsia="Arial" w:hAnsi="Cambria" w:cs="Arial"/>
          <w:sz w:val="20"/>
          <w:szCs w:val="20"/>
          <w:vertAlign w:val="superscript"/>
        </w:rPr>
        <w:endnoteReference w:id="134"/>
      </w:r>
      <w:r w:rsidRPr="00207748">
        <w:rPr>
          <w:rFonts w:ascii="Cambria" w:eastAsia="Arial" w:hAnsi="Cambria" w:cs="Arial"/>
          <w:sz w:val="20"/>
          <w:szCs w:val="20"/>
          <w:vertAlign w:val="superscript"/>
        </w:rPr>
        <w:endnoteReference w:id="135"/>
      </w:r>
      <w:r w:rsidR="002B1061">
        <w:rPr>
          <w:rFonts w:ascii="Cambria" w:hAnsi="Cambria" w:cs="Arial"/>
          <w:sz w:val="20"/>
          <w:szCs w:val="20"/>
        </w:rPr>
        <w:t xml:space="preserve"> </w:t>
      </w:r>
      <w:r w:rsidRPr="00207748">
        <w:rPr>
          <w:rFonts w:ascii="Cambria" w:eastAsia="Arial" w:hAnsi="Cambria" w:cs="Arial"/>
          <w:sz w:val="20"/>
          <w:szCs w:val="20"/>
          <w:vertAlign w:val="superscript"/>
        </w:rPr>
        <w:endnoteReference w:id="136"/>
      </w:r>
      <w:r w:rsidRPr="00207748">
        <w:rPr>
          <w:rFonts w:ascii="Cambria" w:hAnsi="Cambria" w:cs="Arial"/>
          <w:sz w:val="20"/>
          <w:szCs w:val="20"/>
        </w:rPr>
        <w:t xml:space="preserve"> </w:t>
      </w:r>
      <w:bookmarkStart w:id="363" w:name="_Ref30585242"/>
      <w:r w:rsidRPr="00207748">
        <w:rPr>
          <w:rFonts w:ascii="Cambria" w:eastAsia="Arial" w:hAnsi="Cambria" w:cs="Arial"/>
          <w:sz w:val="20"/>
          <w:szCs w:val="20"/>
          <w:vertAlign w:val="superscript"/>
        </w:rPr>
        <w:endnoteReference w:id="137"/>
      </w:r>
      <w:bookmarkEnd w:id="363"/>
      <w:r w:rsidRPr="00207748">
        <w:rPr>
          <w:rFonts w:ascii="Cambria" w:hAnsi="Cambria" w:cs="Arial"/>
          <w:sz w:val="20"/>
          <w:szCs w:val="20"/>
        </w:rPr>
        <w:t xml:space="preserve"> </w:t>
      </w:r>
      <w:bookmarkStart w:id="364" w:name="_Ref30503818"/>
      <w:r w:rsidRPr="00207748">
        <w:rPr>
          <w:rFonts w:ascii="Cambria" w:eastAsia="Arial" w:hAnsi="Cambria" w:cs="Arial"/>
          <w:sz w:val="20"/>
          <w:szCs w:val="20"/>
          <w:vertAlign w:val="superscript"/>
        </w:rPr>
        <w:endnoteReference w:id="138"/>
      </w:r>
      <w:bookmarkEnd w:id="364"/>
      <w:r w:rsidRPr="00207748">
        <w:rPr>
          <w:rFonts w:ascii="Cambria" w:hAnsi="Cambria" w:cs="Arial"/>
          <w:sz w:val="20"/>
          <w:szCs w:val="20"/>
        </w:rPr>
        <w:t xml:space="preserve"> </w:t>
      </w:r>
      <w:r w:rsidRPr="00207748">
        <w:rPr>
          <w:rFonts w:ascii="Cambria" w:eastAsia="Arial" w:hAnsi="Cambria" w:cs="Arial"/>
          <w:sz w:val="20"/>
          <w:szCs w:val="20"/>
          <w:vertAlign w:val="superscript"/>
        </w:rPr>
        <w:endnoteReference w:id="139"/>
      </w:r>
      <w:r w:rsidRPr="00207748">
        <w:rPr>
          <w:rFonts w:ascii="Cambria" w:hAnsi="Cambria" w:cs="Arial"/>
          <w:sz w:val="20"/>
          <w:szCs w:val="20"/>
        </w:rPr>
        <w:t xml:space="preserve"> </w:t>
      </w:r>
      <w:r w:rsidRPr="00207748">
        <w:rPr>
          <w:rFonts w:ascii="Cambria" w:eastAsia="Arial" w:hAnsi="Cambria" w:cs="Arial"/>
          <w:sz w:val="20"/>
          <w:szCs w:val="20"/>
          <w:vertAlign w:val="superscript"/>
        </w:rPr>
        <w:endnoteReference w:id="140"/>
      </w:r>
      <w:r w:rsidRPr="00207748">
        <w:rPr>
          <w:rFonts w:ascii="Cambria" w:hAnsi="Cambria" w:cs="Arial"/>
          <w:sz w:val="20"/>
          <w:szCs w:val="20"/>
        </w:rPr>
        <w:t xml:space="preserve"> </w:t>
      </w:r>
      <w:r w:rsidRPr="00207748">
        <w:rPr>
          <w:rFonts w:ascii="Cambria" w:eastAsia="Arial" w:hAnsi="Cambria" w:cs="Arial"/>
          <w:sz w:val="20"/>
          <w:szCs w:val="20"/>
          <w:vertAlign w:val="superscript"/>
        </w:rPr>
        <w:endnoteReference w:id="141"/>
      </w:r>
      <w:r w:rsidRPr="00207748">
        <w:rPr>
          <w:rFonts w:ascii="Cambria" w:hAnsi="Cambria" w:cs="Arial"/>
          <w:sz w:val="20"/>
          <w:szCs w:val="20"/>
        </w:rPr>
        <w:t xml:space="preserve"> </w:t>
      </w:r>
      <w:r w:rsidRPr="00207748">
        <w:rPr>
          <w:rFonts w:ascii="Cambria" w:eastAsia="Arial" w:hAnsi="Cambria" w:cs="Arial"/>
          <w:sz w:val="20"/>
          <w:szCs w:val="20"/>
          <w:vertAlign w:val="superscript"/>
        </w:rPr>
        <w:endnoteReference w:id="142"/>
      </w:r>
    </w:p>
    <w:p w14:paraId="222FF13F" w14:textId="7D933D9F" w:rsidR="00E11869" w:rsidRPr="00207748" w:rsidRDefault="00447357" w:rsidP="004454B6">
      <w:pPr>
        <w:rPr>
          <w:rFonts w:ascii="Cambria" w:eastAsia="Arial" w:hAnsi="Cambria" w:cs="Arial"/>
          <w:sz w:val="20"/>
          <w:szCs w:val="20"/>
        </w:rPr>
      </w:pPr>
      <w:r w:rsidRPr="00207748">
        <w:rPr>
          <w:rFonts w:ascii="Cambria" w:hAnsi="Cambria" w:cs="Arial"/>
          <w:sz w:val="20"/>
          <w:szCs w:val="20"/>
        </w:rPr>
        <w:t>Eine Kombinationstherapie ist häufig erforderlich, um zu Beginn ein ausreichend breites Spektrum der empirischen Abdeckung sicherzustellen. Kliniker sollten sich des Risikos einer Resistenz gegenüber Breitspektrum-β-Laktamen und Carbapenemen in Bezug auf gram-negative Bazillen in einigen kommunalen Bereichen und Einrichtungen des Gesundheitswesens bewusst sein. Die Ergänzung eines zusätzlichen gram-negativen Wirkstoffs zu der empirischen Behandlung wird bei kritisch erkrankten septischen Patienten empfohlen, die einem hohen Risiko einer Infektion mit derartigen multiresistenten Pathogenen ausgesetzt sind (z.B. Pseudomonas, Acinetobacter etc.). So soll die Wahrscheinlichkeit erhöht werden, dass zumindest ein aktiver Wirkstoff verabreicht wird.</w:t>
      </w:r>
      <w:r w:rsidRPr="00207748">
        <w:rPr>
          <w:rFonts w:ascii="Cambria" w:eastAsia="Arial" w:hAnsi="Cambria" w:cs="Arial"/>
          <w:sz w:val="20"/>
          <w:szCs w:val="20"/>
          <w:vertAlign w:val="superscript"/>
        </w:rPr>
        <w:endnoteReference w:id="143"/>
      </w:r>
      <w:r w:rsidRPr="00207748">
        <w:rPr>
          <w:rFonts w:ascii="Cambria" w:hAnsi="Cambria" w:cs="Arial"/>
          <w:sz w:val="20"/>
          <w:szCs w:val="20"/>
        </w:rPr>
        <w:t xml:space="preserve"> Ebenso ist in Situationen mit einem Risiko für andere resistente oder atypische Pathogene die Ergänzung eines pathogen-spezifischen Wirkstoffs zur Erweiterung </w:t>
      </w:r>
      <w:r w:rsidRPr="00DA768A">
        <w:rPr>
          <w:rFonts w:ascii="Cambria" w:hAnsi="Cambria" w:cs="Arial"/>
          <w:sz w:val="20"/>
          <w:szCs w:val="20"/>
        </w:rPr>
        <w:t>de</w:t>
      </w:r>
      <w:r w:rsidR="00EC35D6" w:rsidRPr="00DC4B69">
        <w:rPr>
          <w:rFonts w:ascii="Cambria" w:hAnsi="Cambria" w:cs="Arial"/>
          <w:sz w:val="20"/>
          <w:szCs w:val="20"/>
        </w:rPr>
        <w:t>s</w:t>
      </w:r>
      <w:r w:rsidRPr="00DA768A">
        <w:rPr>
          <w:rFonts w:ascii="Cambria" w:hAnsi="Cambria" w:cs="Arial"/>
          <w:sz w:val="20"/>
          <w:szCs w:val="20"/>
        </w:rPr>
        <w:t xml:space="preserve"> </w:t>
      </w:r>
      <w:r w:rsidR="00EC35D6" w:rsidRPr="00DC4B69">
        <w:rPr>
          <w:rFonts w:ascii="Cambria" w:hAnsi="Cambria" w:cs="Arial"/>
          <w:sz w:val="20"/>
          <w:szCs w:val="20"/>
        </w:rPr>
        <w:t>Spektrums</w:t>
      </w:r>
      <w:r w:rsidRPr="00207748">
        <w:rPr>
          <w:rFonts w:ascii="Cambria" w:hAnsi="Cambria" w:cs="Arial"/>
          <w:sz w:val="20"/>
          <w:szCs w:val="20"/>
        </w:rPr>
        <w:t xml:space="preserve"> gerechtfertigt. Vancomycin, Teicoplanin oder ein anderer Anti-MRSA-Wirkstoff können genutzt werden, wenn Risikofaktoren für MRSA vorhanden sind. Ein signifikantes Risiko einer Infektion mit Legionella-Spezies </w:t>
      </w:r>
      <w:r w:rsidR="00AE5EF4">
        <w:rPr>
          <w:rFonts w:ascii="Cambria" w:hAnsi="Cambria" w:cs="Arial"/>
          <w:sz w:val="20"/>
          <w:szCs w:val="20"/>
        </w:rPr>
        <w:t xml:space="preserve">macht eine Kombinationstherapie mit einem </w:t>
      </w:r>
      <w:r w:rsidRPr="00DA768A">
        <w:rPr>
          <w:rFonts w:ascii="Cambria" w:hAnsi="Cambria" w:cs="Arial"/>
          <w:sz w:val="20"/>
          <w:szCs w:val="20"/>
        </w:rPr>
        <w:t>Makrolid oder Fluorchinolon</w:t>
      </w:r>
      <w:r w:rsidR="00AE5EF4">
        <w:rPr>
          <w:rFonts w:ascii="Cambria" w:hAnsi="Cambria" w:cs="Arial"/>
          <w:sz w:val="20"/>
          <w:szCs w:val="20"/>
        </w:rPr>
        <w:t xml:space="preserve"> erforderlich</w:t>
      </w:r>
      <w:r w:rsidRPr="00207748">
        <w:rPr>
          <w:rFonts w:ascii="Cambria" w:hAnsi="Cambria" w:cs="Arial"/>
          <w:sz w:val="20"/>
          <w:szCs w:val="20"/>
        </w:rPr>
        <w:t>.</w:t>
      </w:r>
    </w:p>
    <w:p w14:paraId="2446B8DB" w14:textId="5309DCE6" w:rsidR="00E11869" w:rsidRPr="00207748" w:rsidRDefault="00AE5EF4" w:rsidP="004454B6">
      <w:pPr>
        <w:rPr>
          <w:rFonts w:ascii="Cambria" w:eastAsia="Arial" w:hAnsi="Cambria" w:cs="Arial"/>
          <w:sz w:val="20"/>
          <w:szCs w:val="20"/>
        </w:rPr>
      </w:pPr>
      <w:r>
        <w:rPr>
          <w:rFonts w:ascii="Cambria" w:hAnsi="Cambria" w:cs="Arial"/>
          <w:sz w:val="20"/>
          <w:szCs w:val="20"/>
        </w:rPr>
        <w:t>Auch eine Candida – Infektion sol</w:t>
      </w:r>
      <w:r w:rsidR="00EF1A9E">
        <w:rPr>
          <w:rFonts w:ascii="Cambria" w:hAnsi="Cambria" w:cs="Arial"/>
          <w:sz w:val="20"/>
          <w:szCs w:val="20"/>
        </w:rPr>
        <w:t>lte in Erwägung gezogen werden.</w:t>
      </w:r>
      <w:r w:rsidR="00447357" w:rsidRPr="00207748">
        <w:rPr>
          <w:rFonts w:ascii="Cambria" w:hAnsi="Cambria" w:cs="Arial"/>
          <w:sz w:val="20"/>
          <w:szCs w:val="20"/>
        </w:rPr>
        <w:t xml:space="preserve"> Zu den Risikofaktoren für invasive Candida-Infektionen gehören eine Beeinträchtigung des Immunsystems (Neutropenie, Chemotherapie, Transplantation, Diabetes mellitus, chronisches Leberversagen, chronisches Nierenversagen), eine längere Nutzung von invasiven vaskulären Zugängen (Hämodialyse-Katheter, zentralvenöse Katheter), eine vollumfängliche parenterale Ernährung, eine nekrotisierende Pankreatitis, ein kurz zuvor erfolgter großer chirurgischer Eingriff (insbesondere im Abdominalbereich), </w:t>
      </w:r>
      <w:r w:rsidR="00447357" w:rsidRPr="00207748">
        <w:rPr>
          <w:rFonts w:ascii="Cambria" w:hAnsi="Cambria" w:cs="Arial"/>
          <w:sz w:val="20"/>
          <w:szCs w:val="20"/>
        </w:rPr>
        <w:lastRenderedPageBreak/>
        <w:t xml:space="preserve">eine längere Verabreichung von Breitspektrum-Antibiotika, ein längerer Krankenhausaufenthalt, eine kurz zurückliegende Pilzinfektion und eine Kolonisierung </w:t>
      </w:r>
      <w:r w:rsidR="00EC35D6" w:rsidRPr="00DC4B69">
        <w:rPr>
          <w:rFonts w:ascii="Cambria" w:hAnsi="Cambria" w:cs="Arial"/>
          <w:sz w:val="20"/>
          <w:szCs w:val="20"/>
        </w:rPr>
        <w:t>an</w:t>
      </w:r>
      <w:r w:rsidR="002B1061">
        <w:rPr>
          <w:rFonts w:ascii="Cambria" w:hAnsi="Cambria" w:cs="Arial"/>
          <w:sz w:val="20"/>
          <w:szCs w:val="20"/>
        </w:rPr>
        <w:t xml:space="preserve"> </w:t>
      </w:r>
      <w:r w:rsidR="00447357" w:rsidRPr="00207748">
        <w:rPr>
          <w:rFonts w:ascii="Cambria" w:hAnsi="Cambria" w:cs="Arial"/>
          <w:sz w:val="20"/>
          <w:szCs w:val="20"/>
        </w:rPr>
        <w:t>mehreren Lokalisationen.</w:t>
      </w:r>
      <w:r w:rsidR="00447357" w:rsidRPr="00207748">
        <w:rPr>
          <w:rFonts w:ascii="Cambria" w:eastAsia="Arial" w:hAnsi="Cambria" w:cs="Arial"/>
          <w:sz w:val="20"/>
          <w:szCs w:val="20"/>
          <w:vertAlign w:val="superscript"/>
        </w:rPr>
        <w:endnoteReference w:id="144"/>
      </w:r>
      <w:r w:rsidR="00447357" w:rsidRPr="00207748">
        <w:rPr>
          <w:rFonts w:ascii="Cambria" w:hAnsi="Cambria" w:cs="Arial"/>
          <w:sz w:val="20"/>
          <w:szCs w:val="20"/>
        </w:rPr>
        <w:t xml:space="preserve"> </w:t>
      </w:r>
      <w:r w:rsidR="00447357" w:rsidRPr="00207748">
        <w:rPr>
          <w:rFonts w:ascii="Cambria" w:eastAsia="Arial" w:hAnsi="Cambria" w:cs="Arial"/>
          <w:sz w:val="20"/>
          <w:szCs w:val="20"/>
          <w:vertAlign w:val="superscript"/>
        </w:rPr>
        <w:endnoteReference w:id="145"/>
      </w:r>
      <w:r w:rsidR="00447357" w:rsidRPr="00207748">
        <w:rPr>
          <w:rFonts w:ascii="Cambria" w:hAnsi="Cambria" w:cs="Arial"/>
          <w:sz w:val="20"/>
          <w:szCs w:val="20"/>
        </w:rPr>
        <w:t xml:space="preserve"> Falls </w:t>
      </w:r>
      <w:r w:rsidR="002E3D1C" w:rsidRPr="00DC4B69">
        <w:rPr>
          <w:rFonts w:ascii="Cambria" w:hAnsi="Cambria" w:cs="Arial"/>
          <w:sz w:val="20"/>
          <w:szCs w:val="20"/>
        </w:rPr>
        <w:t>ein</w:t>
      </w:r>
      <w:r w:rsidR="00447357" w:rsidRPr="00207748">
        <w:rPr>
          <w:rFonts w:ascii="Cambria" w:hAnsi="Cambria" w:cs="Arial"/>
          <w:sz w:val="20"/>
          <w:szCs w:val="20"/>
        </w:rPr>
        <w:t xml:space="preserve"> Risiko </w:t>
      </w:r>
      <w:r w:rsidR="002E3D1C" w:rsidRPr="00DC4B69">
        <w:rPr>
          <w:rFonts w:ascii="Cambria" w:hAnsi="Cambria" w:cs="Arial"/>
          <w:sz w:val="20"/>
          <w:szCs w:val="20"/>
        </w:rPr>
        <w:t>für eine</w:t>
      </w:r>
      <w:r w:rsidR="00447357" w:rsidRPr="00207748">
        <w:rPr>
          <w:rFonts w:ascii="Cambria" w:hAnsi="Cambria" w:cs="Arial"/>
          <w:sz w:val="20"/>
          <w:szCs w:val="20"/>
        </w:rPr>
        <w:t xml:space="preserve"> Candida-Sepsis </w:t>
      </w:r>
      <w:r w:rsidR="002E3D1C" w:rsidRPr="00DC4B69">
        <w:rPr>
          <w:rFonts w:ascii="Cambria" w:hAnsi="Cambria" w:cs="Arial"/>
          <w:sz w:val="20"/>
          <w:szCs w:val="20"/>
        </w:rPr>
        <w:t>besteht und</w:t>
      </w:r>
      <w:r w:rsidR="00447357" w:rsidRPr="00207748">
        <w:rPr>
          <w:rFonts w:ascii="Cambria" w:hAnsi="Cambria" w:cs="Arial"/>
          <w:sz w:val="20"/>
          <w:szCs w:val="20"/>
        </w:rPr>
        <w:t xml:space="preserve"> eine empirische antimykotische Behandlung </w:t>
      </w:r>
      <w:r w:rsidR="002E3D1C" w:rsidRPr="00DC4B69">
        <w:rPr>
          <w:rFonts w:ascii="Cambria" w:hAnsi="Cambria" w:cs="Arial"/>
          <w:sz w:val="20"/>
          <w:szCs w:val="20"/>
        </w:rPr>
        <w:t>gerechtfertigt erscheint</w:t>
      </w:r>
      <w:r w:rsidR="00447357" w:rsidRPr="00207748">
        <w:rPr>
          <w:rFonts w:ascii="Cambria" w:hAnsi="Cambria" w:cs="Arial"/>
          <w:sz w:val="20"/>
          <w:szCs w:val="20"/>
        </w:rPr>
        <w:t>, sollte die Auswahl des spezifischen Wirkstoffs basierend auf dem Schweregrad der Erkrankung, dem lokalen Muster der prävalentesten Candida-Spezies und einer etwaigen kürzlichen Exposition gegenüber antimykotischen Medikamenten erfolgen. Die empirische Nutzung von Echinocandin (Anidulafungin, Micafungin oder Caspofungin) wird bei den meisten Patienten mit schwerer Erkrankung vorgezogen, insbesondere bei denjenigen Patienten mit septischem Schock, die vor kurzem mit anderen antimykotischen Wirkstoffen behandelt wurden, oder falls eine Infektion mit Candida glabrata oder Candida krusei aufgrund von früheren Kulturdaten vermutet wird</w:t>
      </w:r>
      <w:r w:rsidR="00447357" w:rsidRPr="00CB26D4">
        <w:rPr>
          <w:rStyle w:val="EndnoteRealZchn"/>
        </w:rPr>
        <w:t>.</w:t>
      </w:r>
      <w:r w:rsidR="00CB26D4" w:rsidRPr="00CB26D4">
        <w:rPr>
          <w:rStyle w:val="EndnoteRealZchn"/>
        </w:rPr>
        <w:fldChar w:fldCharType="begin"/>
      </w:r>
      <w:r w:rsidR="00CB26D4" w:rsidRPr="00CB26D4">
        <w:rPr>
          <w:rStyle w:val="EndnoteRealZchn"/>
        </w:rPr>
        <w:instrText xml:space="preserve"> NOTEREF _Ref30503641 \h </w:instrText>
      </w:r>
      <w:r w:rsidR="00CB26D4">
        <w:rPr>
          <w:rStyle w:val="EndnoteRealZchn"/>
        </w:rPr>
        <w:instrText xml:space="preserve"> \* MERGEFORMAT </w:instrText>
      </w:r>
      <w:r w:rsidR="00CB26D4" w:rsidRPr="00CB26D4">
        <w:rPr>
          <w:rStyle w:val="EndnoteRealZchn"/>
        </w:rPr>
      </w:r>
      <w:r w:rsidR="00CB26D4" w:rsidRPr="00CB26D4">
        <w:rPr>
          <w:rStyle w:val="EndnoteRealZchn"/>
        </w:rPr>
        <w:fldChar w:fldCharType="separate"/>
      </w:r>
      <w:r w:rsidR="001A283B">
        <w:rPr>
          <w:rStyle w:val="EndnoteRealZchn"/>
        </w:rPr>
        <w:t>134</w:t>
      </w:r>
      <w:r w:rsidR="00CB26D4" w:rsidRPr="00CB26D4">
        <w:rPr>
          <w:rStyle w:val="EndnoteRealZchn"/>
        </w:rPr>
        <w:fldChar w:fldCharType="end"/>
      </w:r>
      <w:r w:rsidR="00CB26D4">
        <w:rPr>
          <w:rStyle w:val="EndnoteRealZchn"/>
        </w:rPr>
        <w:t xml:space="preserve"> </w:t>
      </w:r>
      <w:r w:rsidR="00CB26D4">
        <w:rPr>
          <w:rFonts w:ascii="Cambria" w:eastAsia="Arial" w:hAnsi="Cambria" w:cs="Arial"/>
          <w:sz w:val="20"/>
          <w:szCs w:val="20"/>
          <w:vertAlign w:val="superscript"/>
        </w:rPr>
        <w:fldChar w:fldCharType="begin"/>
      </w:r>
      <w:r w:rsidR="00CB26D4">
        <w:rPr>
          <w:rStyle w:val="EndnoteRealZchn"/>
        </w:rPr>
        <w:instrText xml:space="preserve"> NOTEREF _Ref30503818 \h </w:instrText>
      </w:r>
      <w:r w:rsidR="00CB26D4">
        <w:rPr>
          <w:rFonts w:ascii="Cambria" w:eastAsia="Arial" w:hAnsi="Cambria" w:cs="Arial"/>
          <w:sz w:val="20"/>
          <w:szCs w:val="20"/>
          <w:vertAlign w:val="superscript"/>
        </w:rPr>
      </w:r>
      <w:r w:rsidR="00CB26D4">
        <w:rPr>
          <w:rFonts w:ascii="Cambria" w:eastAsia="Arial" w:hAnsi="Cambria" w:cs="Arial"/>
          <w:sz w:val="20"/>
          <w:szCs w:val="20"/>
          <w:vertAlign w:val="superscript"/>
        </w:rPr>
        <w:fldChar w:fldCharType="separate"/>
      </w:r>
      <w:r w:rsidR="001A283B">
        <w:rPr>
          <w:rStyle w:val="EndnoteRealZchn"/>
        </w:rPr>
        <w:t>139</w:t>
      </w:r>
      <w:r w:rsidR="00CB26D4">
        <w:rPr>
          <w:rFonts w:ascii="Cambria" w:eastAsia="Arial" w:hAnsi="Cambria" w:cs="Arial"/>
          <w:sz w:val="20"/>
          <w:szCs w:val="20"/>
          <w:vertAlign w:val="superscript"/>
        </w:rPr>
        <w:fldChar w:fldCharType="end"/>
      </w:r>
      <w:r w:rsidR="00447357" w:rsidRPr="00207748">
        <w:rPr>
          <w:rFonts w:ascii="Cambria" w:hAnsi="Cambria" w:cs="Arial"/>
          <w:sz w:val="20"/>
          <w:szCs w:val="20"/>
        </w:rPr>
        <w:t xml:space="preserve"> Triazole sind bei hämodynamisch stabilen, weniger </w:t>
      </w:r>
      <w:r w:rsidR="00447357" w:rsidRPr="00DA768A">
        <w:rPr>
          <w:rFonts w:ascii="Cambria" w:hAnsi="Cambria" w:cs="Arial"/>
          <w:sz w:val="20"/>
          <w:szCs w:val="20"/>
        </w:rPr>
        <w:t>s</w:t>
      </w:r>
      <w:r>
        <w:rPr>
          <w:rFonts w:ascii="Cambria" w:hAnsi="Cambria" w:cs="Arial"/>
          <w:sz w:val="20"/>
          <w:szCs w:val="20"/>
        </w:rPr>
        <w:t>chwer</w:t>
      </w:r>
      <w:r w:rsidR="00447357" w:rsidRPr="00207748">
        <w:rPr>
          <w:rFonts w:ascii="Cambria" w:hAnsi="Cambria" w:cs="Arial"/>
          <w:sz w:val="20"/>
          <w:szCs w:val="20"/>
        </w:rPr>
        <w:t xml:space="preserve"> erkrankten Patienten akzeptabel, bei denen keine vorherige Triazol-Exposition vorliegt, und die nicht bekanntermaßen mit Azol-resistenten Spezies kolonisiert sind. Liposomale Formulierungen von Amphotericin B sind eine angemessene Alternative zu Echinocandinen bei Patienten mit Echinocandin-Intoleranz oder Toxizität. </w:t>
      </w:r>
      <w:r w:rsidR="00CB26D4" w:rsidRPr="00CB26D4">
        <w:rPr>
          <w:rStyle w:val="EndnoteRealZchn"/>
        </w:rPr>
        <w:fldChar w:fldCharType="begin"/>
      </w:r>
      <w:r w:rsidR="00CB26D4" w:rsidRPr="00CB26D4">
        <w:rPr>
          <w:rStyle w:val="EndnoteRealZchn"/>
        </w:rPr>
        <w:instrText xml:space="preserve"> NOTEREF _Ref30503641 \h </w:instrText>
      </w:r>
      <w:r w:rsidR="00CB26D4">
        <w:rPr>
          <w:rStyle w:val="EndnoteRealZchn"/>
        </w:rPr>
        <w:instrText xml:space="preserve"> \* MERGEFORMAT </w:instrText>
      </w:r>
      <w:r w:rsidR="00CB26D4" w:rsidRPr="00CB26D4">
        <w:rPr>
          <w:rStyle w:val="EndnoteRealZchn"/>
        </w:rPr>
      </w:r>
      <w:r w:rsidR="00CB26D4" w:rsidRPr="00CB26D4">
        <w:rPr>
          <w:rStyle w:val="EndnoteRealZchn"/>
        </w:rPr>
        <w:fldChar w:fldCharType="separate"/>
      </w:r>
      <w:r w:rsidR="001A283B">
        <w:rPr>
          <w:rStyle w:val="EndnoteRealZchn"/>
        </w:rPr>
        <w:t>134</w:t>
      </w:r>
      <w:r w:rsidR="00CB26D4" w:rsidRPr="00CB26D4">
        <w:rPr>
          <w:rStyle w:val="EndnoteRealZchn"/>
        </w:rPr>
        <w:fldChar w:fldCharType="end"/>
      </w:r>
      <w:r w:rsidR="00CB26D4">
        <w:rPr>
          <w:rStyle w:val="EndnoteRealZchn"/>
        </w:rPr>
        <w:t xml:space="preserve"> </w:t>
      </w:r>
      <w:r w:rsidR="00CB26D4">
        <w:rPr>
          <w:rFonts w:ascii="Cambria" w:eastAsia="Arial" w:hAnsi="Cambria" w:cs="Arial"/>
          <w:sz w:val="20"/>
          <w:szCs w:val="20"/>
          <w:vertAlign w:val="superscript"/>
        </w:rPr>
        <w:fldChar w:fldCharType="begin"/>
      </w:r>
      <w:r w:rsidR="00CB26D4">
        <w:rPr>
          <w:rStyle w:val="EndnoteRealZchn"/>
        </w:rPr>
        <w:instrText xml:space="preserve"> NOTEREF _Ref30503818 \h </w:instrText>
      </w:r>
      <w:r w:rsidR="00CB26D4">
        <w:rPr>
          <w:rFonts w:ascii="Cambria" w:eastAsia="Arial" w:hAnsi="Cambria" w:cs="Arial"/>
          <w:sz w:val="20"/>
          <w:szCs w:val="20"/>
          <w:vertAlign w:val="superscript"/>
        </w:rPr>
      </w:r>
      <w:r w:rsidR="00CB26D4">
        <w:rPr>
          <w:rFonts w:ascii="Cambria" w:eastAsia="Arial" w:hAnsi="Cambria" w:cs="Arial"/>
          <w:sz w:val="20"/>
          <w:szCs w:val="20"/>
          <w:vertAlign w:val="superscript"/>
        </w:rPr>
        <w:fldChar w:fldCharType="separate"/>
      </w:r>
      <w:r w:rsidR="001A283B">
        <w:rPr>
          <w:rStyle w:val="EndnoteRealZchn"/>
        </w:rPr>
        <w:t>139</w:t>
      </w:r>
      <w:r w:rsidR="00CB26D4">
        <w:rPr>
          <w:rFonts w:ascii="Cambria" w:eastAsia="Arial" w:hAnsi="Cambria" w:cs="Arial"/>
          <w:sz w:val="20"/>
          <w:szCs w:val="20"/>
          <w:vertAlign w:val="superscript"/>
        </w:rPr>
        <w:fldChar w:fldCharType="end"/>
      </w:r>
      <w:r w:rsidR="00EF1A9E">
        <w:rPr>
          <w:rFonts w:ascii="Cambria" w:eastAsia="Arial" w:hAnsi="Cambria" w:cs="Arial"/>
          <w:sz w:val="20"/>
          <w:szCs w:val="20"/>
          <w:vertAlign w:val="superscript"/>
        </w:rPr>
        <w:t xml:space="preserve"> </w:t>
      </w:r>
      <w:r w:rsidR="00447357" w:rsidRPr="00207748">
        <w:rPr>
          <w:rFonts w:ascii="Cambria" w:hAnsi="Cambria" w:cs="Arial"/>
          <w:sz w:val="20"/>
          <w:szCs w:val="20"/>
        </w:rPr>
        <w:t xml:space="preserve">Erkenntnisse über die lokalen Resistenzmuster gegenüber antimykotischen Wirkstoffen sollten die Grundlage für die Medikamentenauswahl bilden, bis mykotische Suszeptibilitätsresultate vorliegen (falls verfügbar). Schnelle diagnostische Analysen unter Verwendung von β-D-Glucan oder Polymerase-Kettenreaktions-Assays </w:t>
      </w:r>
      <w:r w:rsidR="00447357" w:rsidRPr="00DA768A">
        <w:rPr>
          <w:rFonts w:ascii="Cambria" w:hAnsi="Cambria" w:cs="Arial"/>
          <w:sz w:val="20"/>
          <w:szCs w:val="20"/>
        </w:rPr>
        <w:t xml:space="preserve">können </w:t>
      </w:r>
      <w:r w:rsidR="002E3D1C" w:rsidRPr="00DC4B69">
        <w:rPr>
          <w:rFonts w:ascii="Cambria" w:hAnsi="Cambria" w:cs="Arial"/>
          <w:sz w:val="20"/>
          <w:szCs w:val="20"/>
        </w:rPr>
        <w:t>hilfreich in der Therapieentscheidung sein.</w:t>
      </w:r>
      <w:r w:rsidR="002B1061">
        <w:rPr>
          <w:rFonts w:ascii="Cambria" w:hAnsi="Cambria" w:cs="Arial"/>
          <w:sz w:val="20"/>
          <w:szCs w:val="20"/>
        </w:rPr>
        <w:t xml:space="preserve"> </w:t>
      </w:r>
      <w:r w:rsidR="00447357" w:rsidRPr="00207748">
        <w:rPr>
          <w:rFonts w:ascii="Cambria" w:hAnsi="Cambria" w:cs="Arial"/>
          <w:sz w:val="20"/>
          <w:szCs w:val="20"/>
        </w:rPr>
        <w:t xml:space="preserve"> Der negative prädiktive Wert derartiger Tests ist jedoch nicht </w:t>
      </w:r>
      <w:r w:rsidR="002E3D1C" w:rsidRPr="00DC4B69">
        <w:rPr>
          <w:rFonts w:ascii="Cambria" w:hAnsi="Cambria" w:cs="Arial"/>
          <w:sz w:val="20"/>
          <w:szCs w:val="20"/>
        </w:rPr>
        <w:t xml:space="preserve">ausreichend hoch, um eine primäre Therapieentscheidung davon abhängig zu machen. </w:t>
      </w:r>
    </w:p>
    <w:p w14:paraId="482E8186" w14:textId="72B879C6" w:rsidR="00E11869" w:rsidRPr="00207748" w:rsidRDefault="00447357" w:rsidP="004454B6">
      <w:pPr>
        <w:rPr>
          <w:rFonts w:ascii="Cambria" w:eastAsia="Arial" w:hAnsi="Cambria" w:cs="Arial"/>
          <w:sz w:val="20"/>
          <w:szCs w:val="20"/>
        </w:rPr>
      </w:pPr>
      <w:r w:rsidRPr="00207748">
        <w:rPr>
          <w:rFonts w:ascii="Cambria" w:hAnsi="Cambria" w:cs="Arial"/>
          <w:sz w:val="20"/>
          <w:szCs w:val="20"/>
        </w:rPr>
        <w:t xml:space="preserve">Eine überlegene empirische Abdeckung kann durch die Nutzung von lokalen und </w:t>
      </w:r>
      <w:r w:rsidR="002E3D1C" w:rsidRPr="00DC4B69">
        <w:rPr>
          <w:rFonts w:ascii="Cambria" w:hAnsi="Cambria" w:cs="Arial"/>
          <w:sz w:val="20"/>
          <w:szCs w:val="20"/>
        </w:rPr>
        <w:t xml:space="preserve">stationsspezifischen Resistenzmustern </w:t>
      </w:r>
      <w:bookmarkStart w:id="365" w:name="_Ref30504168"/>
      <w:r w:rsidRPr="00207748">
        <w:rPr>
          <w:rFonts w:ascii="Cambria" w:eastAsia="Arial" w:hAnsi="Cambria" w:cs="Arial"/>
          <w:sz w:val="20"/>
          <w:szCs w:val="20"/>
          <w:vertAlign w:val="superscript"/>
        </w:rPr>
        <w:endnoteReference w:id="146"/>
      </w:r>
      <w:bookmarkEnd w:id="365"/>
      <w:r w:rsidRPr="00207748">
        <w:rPr>
          <w:rFonts w:ascii="Cambria" w:hAnsi="Cambria" w:cs="Arial"/>
          <w:sz w:val="20"/>
          <w:szCs w:val="20"/>
        </w:rPr>
        <w:t xml:space="preserve"> </w:t>
      </w:r>
      <w:bookmarkStart w:id="366" w:name="_Ref30504047"/>
      <w:r w:rsidRPr="00207748">
        <w:rPr>
          <w:rFonts w:ascii="Cambria" w:eastAsia="Arial" w:hAnsi="Cambria" w:cs="Arial"/>
          <w:sz w:val="20"/>
          <w:szCs w:val="20"/>
          <w:vertAlign w:val="superscript"/>
        </w:rPr>
        <w:endnoteReference w:id="147"/>
      </w:r>
      <w:bookmarkEnd w:id="366"/>
      <w:r w:rsidRPr="00207748">
        <w:rPr>
          <w:rFonts w:ascii="Cambria" w:hAnsi="Cambria" w:cs="Arial"/>
          <w:sz w:val="20"/>
          <w:szCs w:val="20"/>
        </w:rPr>
        <w:t xml:space="preserve"> oder die Konsultation von </w:t>
      </w:r>
      <w:r w:rsidRPr="00DA768A">
        <w:rPr>
          <w:rFonts w:ascii="Cambria" w:hAnsi="Cambria" w:cs="Arial"/>
          <w:sz w:val="20"/>
          <w:szCs w:val="20"/>
        </w:rPr>
        <w:t>Infektio</w:t>
      </w:r>
      <w:r w:rsidR="002E3D1C" w:rsidRPr="00DC4B69">
        <w:rPr>
          <w:rFonts w:ascii="Cambria" w:hAnsi="Cambria" w:cs="Arial"/>
          <w:sz w:val="20"/>
          <w:szCs w:val="20"/>
        </w:rPr>
        <w:t>logen</w:t>
      </w:r>
      <w:r w:rsidRPr="00207748">
        <w:rPr>
          <w:rFonts w:ascii="Cambria" w:hAnsi="Cambria" w:cs="Arial"/>
          <w:sz w:val="20"/>
          <w:szCs w:val="20"/>
        </w:rPr>
        <w:t xml:space="preserve"> erreicht werden.</w:t>
      </w:r>
      <w:bookmarkStart w:id="367" w:name="_Ref30504115"/>
      <w:r w:rsidRPr="00207748">
        <w:rPr>
          <w:rFonts w:ascii="Cambria" w:eastAsia="Arial" w:hAnsi="Cambria" w:cs="Arial"/>
          <w:sz w:val="20"/>
          <w:szCs w:val="20"/>
          <w:vertAlign w:val="superscript"/>
        </w:rPr>
        <w:endnoteReference w:id="148"/>
      </w:r>
      <w:bookmarkEnd w:id="367"/>
      <w:r w:rsidRPr="00DA768A">
        <w:rPr>
          <w:rFonts w:ascii="Cambria" w:hAnsi="Cambria" w:cs="Arial"/>
          <w:sz w:val="20"/>
          <w:szCs w:val="20"/>
        </w:rPr>
        <w:t xml:space="preserve"> </w:t>
      </w:r>
      <w:r w:rsidR="00825534" w:rsidRPr="00DC4B69">
        <w:rPr>
          <w:rFonts w:ascii="Cambria" w:hAnsi="Cambria" w:cs="Arial"/>
          <w:sz w:val="20"/>
          <w:szCs w:val="20"/>
        </w:rPr>
        <w:t>Eine</w:t>
      </w:r>
      <w:r w:rsidRPr="00207748">
        <w:rPr>
          <w:rFonts w:ascii="Cambria" w:hAnsi="Cambria" w:cs="Arial"/>
          <w:sz w:val="20"/>
          <w:szCs w:val="20"/>
        </w:rPr>
        <w:t xml:space="preserve"> frühzeitige Einbeziehung </w:t>
      </w:r>
      <w:r w:rsidR="00825534" w:rsidRPr="00DC4B69">
        <w:rPr>
          <w:rFonts w:ascii="Cambria" w:hAnsi="Cambria" w:cs="Arial"/>
          <w:sz w:val="20"/>
          <w:szCs w:val="20"/>
        </w:rPr>
        <w:t xml:space="preserve">von Infektiologen </w:t>
      </w:r>
      <w:r w:rsidRPr="00207748">
        <w:rPr>
          <w:rFonts w:ascii="Cambria" w:hAnsi="Cambria" w:cs="Arial"/>
          <w:sz w:val="20"/>
          <w:szCs w:val="20"/>
        </w:rPr>
        <w:t xml:space="preserve">kann unter gewissen Umständen </w:t>
      </w:r>
      <w:r w:rsidRPr="00207748">
        <w:rPr>
          <w:rFonts w:ascii="Cambria" w:hAnsi="Cambria" w:cs="Arial"/>
          <w:sz w:val="20"/>
          <w:szCs w:val="20"/>
        </w:rPr>
        <w:lastRenderedPageBreak/>
        <w:t xml:space="preserve">(z.B. bei einer Staphylococcus aureus-Bakteriämie) das </w:t>
      </w:r>
      <w:r w:rsidR="00825534" w:rsidRPr="00DC4B69">
        <w:rPr>
          <w:rFonts w:ascii="Cambria" w:hAnsi="Cambria" w:cs="Arial"/>
          <w:sz w:val="20"/>
          <w:szCs w:val="20"/>
        </w:rPr>
        <w:t>Behandlungse</w:t>
      </w:r>
      <w:r w:rsidRPr="00DA768A">
        <w:rPr>
          <w:rFonts w:ascii="Cambria" w:hAnsi="Cambria" w:cs="Arial"/>
          <w:sz w:val="20"/>
          <w:szCs w:val="20"/>
        </w:rPr>
        <w:t>rgebnis</w:t>
      </w:r>
      <w:r w:rsidRPr="00207748">
        <w:rPr>
          <w:rFonts w:ascii="Cambria" w:hAnsi="Cambria" w:cs="Arial"/>
          <w:sz w:val="20"/>
          <w:szCs w:val="20"/>
        </w:rPr>
        <w:t xml:space="preserve"> verbessern.</w:t>
      </w:r>
      <w:r w:rsidR="00CB26D4" w:rsidRPr="00CB26D4">
        <w:rPr>
          <w:rStyle w:val="EndnoteRealZchn"/>
        </w:rPr>
        <w:fldChar w:fldCharType="begin"/>
      </w:r>
      <w:r w:rsidR="00CB26D4" w:rsidRPr="00CB26D4">
        <w:rPr>
          <w:rStyle w:val="EndnoteRealZchn"/>
        </w:rPr>
        <w:instrText xml:space="preserve"> NOTEREF _Ref30504168 \h </w:instrText>
      </w:r>
      <w:r w:rsidR="00CB26D4">
        <w:rPr>
          <w:rStyle w:val="EndnoteRealZchn"/>
        </w:rPr>
        <w:instrText xml:space="preserve"> \* MERGEFORMAT </w:instrText>
      </w:r>
      <w:r w:rsidR="00CB26D4" w:rsidRPr="00CB26D4">
        <w:rPr>
          <w:rStyle w:val="EndnoteRealZchn"/>
        </w:rPr>
      </w:r>
      <w:r w:rsidR="00CB26D4" w:rsidRPr="00CB26D4">
        <w:rPr>
          <w:rStyle w:val="EndnoteRealZchn"/>
        </w:rPr>
        <w:fldChar w:fldCharType="separate"/>
      </w:r>
      <w:r w:rsidR="001A283B">
        <w:rPr>
          <w:rStyle w:val="EndnoteRealZchn"/>
        </w:rPr>
        <w:t>147</w:t>
      </w:r>
      <w:r w:rsidR="00CB26D4" w:rsidRPr="00CB26D4">
        <w:rPr>
          <w:rStyle w:val="EndnoteRealZchn"/>
        </w:rPr>
        <w:fldChar w:fldCharType="end"/>
      </w:r>
      <w:r w:rsidRPr="00207748">
        <w:rPr>
          <w:rFonts w:ascii="Cambria" w:hAnsi="Cambria" w:cs="Arial"/>
          <w:sz w:val="20"/>
          <w:szCs w:val="20"/>
        </w:rPr>
        <w:t xml:space="preserve"> </w:t>
      </w:r>
      <w:r w:rsidR="00CB26D4" w:rsidRPr="00CB26D4">
        <w:rPr>
          <w:rStyle w:val="EndnoteRealZchn"/>
        </w:rPr>
        <w:fldChar w:fldCharType="begin"/>
      </w:r>
      <w:r w:rsidR="00CB26D4" w:rsidRPr="00CB26D4">
        <w:rPr>
          <w:rStyle w:val="EndnoteRealZchn"/>
        </w:rPr>
        <w:instrText xml:space="preserve"> NOTEREF _Ref30504047 \h </w:instrText>
      </w:r>
      <w:r w:rsidR="00CB26D4">
        <w:rPr>
          <w:rStyle w:val="EndnoteRealZchn"/>
        </w:rPr>
        <w:instrText xml:space="preserve"> \* MERGEFORMAT </w:instrText>
      </w:r>
      <w:r w:rsidR="00CB26D4" w:rsidRPr="00CB26D4">
        <w:rPr>
          <w:rStyle w:val="EndnoteRealZchn"/>
        </w:rPr>
      </w:r>
      <w:r w:rsidR="00CB26D4" w:rsidRPr="00CB26D4">
        <w:rPr>
          <w:rStyle w:val="EndnoteRealZchn"/>
        </w:rPr>
        <w:fldChar w:fldCharType="separate"/>
      </w:r>
      <w:r w:rsidR="001A283B">
        <w:rPr>
          <w:rStyle w:val="EndnoteRealZchn"/>
        </w:rPr>
        <w:t>148</w:t>
      </w:r>
      <w:r w:rsidR="00CB26D4" w:rsidRPr="00CB26D4">
        <w:rPr>
          <w:rStyle w:val="EndnoteRealZchn"/>
        </w:rPr>
        <w:fldChar w:fldCharType="end"/>
      </w:r>
      <w:r w:rsidRPr="00207748">
        <w:rPr>
          <w:rFonts w:ascii="Cambria" w:hAnsi="Cambria" w:cs="Arial"/>
          <w:sz w:val="20"/>
          <w:szCs w:val="20"/>
        </w:rPr>
        <w:t xml:space="preserve"> </w:t>
      </w:r>
      <w:r w:rsidR="00CB26D4" w:rsidRPr="00CB26D4">
        <w:rPr>
          <w:rStyle w:val="EndnoteRealZchn"/>
        </w:rPr>
        <w:fldChar w:fldCharType="begin"/>
      </w:r>
      <w:r w:rsidR="00CB26D4" w:rsidRPr="00CB26D4">
        <w:rPr>
          <w:rStyle w:val="EndnoteRealZchn"/>
        </w:rPr>
        <w:instrText xml:space="preserve"> NOTEREF _Ref30504115 \h </w:instrText>
      </w:r>
      <w:r w:rsidR="00CB26D4">
        <w:rPr>
          <w:rStyle w:val="EndnoteRealZchn"/>
        </w:rPr>
        <w:instrText xml:space="preserve"> \* MERGEFORMAT </w:instrText>
      </w:r>
      <w:r w:rsidR="00CB26D4" w:rsidRPr="00CB26D4">
        <w:rPr>
          <w:rStyle w:val="EndnoteRealZchn"/>
        </w:rPr>
      </w:r>
      <w:r w:rsidR="00CB26D4" w:rsidRPr="00CB26D4">
        <w:rPr>
          <w:rStyle w:val="EndnoteRealZchn"/>
        </w:rPr>
        <w:fldChar w:fldCharType="separate"/>
      </w:r>
      <w:r w:rsidR="001A283B">
        <w:rPr>
          <w:rStyle w:val="EndnoteRealZchn"/>
        </w:rPr>
        <w:t>149</w:t>
      </w:r>
      <w:r w:rsidR="00CB26D4" w:rsidRPr="00CB26D4">
        <w:rPr>
          <w:rStyle w:val="EndnoteRealZchn"/>
        </w:rPr>
        <w:fldChar w:fldCharType="end"/>
      </w:r>
    </w:p>
    <w:p w14:paraId="3B2BD4F6" w14:textId="4FE8254E" w:rsidR="00E11869" w:rsidRPr="00207748" w:rsidRDefault="00AE5EF4" w:rsidP="004454B6">
      <w:pPr>
        <w:rPr>
          <w:rFonts w:ascii="Cambria" w:eastAsia="Arial" w:hAnsi="Cambria" w:cs="Arial"/>
          <w:sz w:val="20"/>
          <w:szCs w:val="20"/>
        </w:rPr>
      </w:pPr>
      <w:r w:rsidRPr="00DC4B69">
        <w:rPr>
          <w:rFonts w:ascii="Cambria" w:hAnsi="Cambria" w:cs="Arial"/>
          <w:sz w:val="20"/>
          <w:szCs w:val="20"/>
        </w:rPr>
        <w:t>Bei</w:t>
      </w:r>
      <w:r w:rsidR="00447357" w:rsidRPr="00207748">
        <w:rPr>
          <w:rFonts w:ascii="Cambria" w:hAnsi="Cambria" w:cs="Arial"/>
          <w:sz w:val="20"/>
          <w:szCs w:val="20"/>
        </w:rPr>
        <w:t xml:space="preserve"> Patienten mit Sepsis oder septischem Schock </w:t>
      </w:r>
      <w:r w:rsidRPr="00DC4B69">
        <w:rPr>
          <w:rFonts w:ascii="Cambria" w:hAnsi="Cambria" w:cs="Arial"/>
          <w:sz w:val="20"/>
          <w:szCs w:val="20"/>
        </w:rPr>
        <w:t>ist</w:t>
      </w:r>
      <w:r w:rsidR="002B1061">
        <w:rPr>
          <w:rFonts w:ascii="Cambria" w:hAnsi="Cambria" w:cs="Arial"/>
          <w:sz w:val="20"/>
          <w:szCs w:val="20"/>
        </w:rPr>
        <w:t xml:space="preserve"> </w:t>
      </w:r>
      <w:r w:rsidR="00447357" w:rsidRPr="00207748">
        <w:rPr>
          <w:rFonts w:ascii="Cambria" w:hAnsi="Cambria" w:cs="Arial"/>
          <w:sz w:val="20"/>
          <w:szCs w:val="20"/>
        </w:rPr>
        <w:t>im Allgemeinen eine empirische Breitspektrumtherapie</w:t>
      </w:r>
      <w:r w:rsidRPr="00DC4B69">
        <w:rPr>
          <w:rFonts w:ascii="Cambria" w:hAnsi="Cambria" w:cs="Arial"/>
          <w:sz w:val="20"/>
          <w:szCs w:val="20"/>
        </w:rPr>
        <w:t xml:space="preserve"> solange gerechtfertigt</w:t>
      </w:r>
      <w:r w:rsidR="00447357" w:rsidRPr="00207748">
        <w:rPr>
          <w:rFonts w:ascii="Cambria" w:hAnsi="Cambria" w:cs="Arial"/>
          <w:sz w:val="20"/>
          <w:szCs w:val="20"/>
        </w:rPr>
        <w:t xml:space="preserve">, bis der verursachende Organismus und dessen </w:t>
      </w:r>
      <w:r w:rsidR="00447357" w:rsidRPr="00C00D88">
        <w:rPr>
          <w:rFonts w:ascii="Cambria" w:hAnsi="Cambria" w:cs="Arial"/>
          <w:sz w:val="20"/>
          <w:szCs w:val="20"/>
        </w:rPr>
        <w:t xml:space="preserve">antimikrobielle Suszeptibilität </w:t>
      </w:r>
      <w:r w:rsidRPr="00DC4B69">
        <w:rPr>
          <w:rFonts w:ascii="Cambria" w:hAnsi="Cambria" w:cs="Arial"/>
          <w:sz w:val="20"/>
          <w:szCs w:val="20"/>
        </w:rPr>
        <w:t>bekannt ist</w:t>
      </w:r>
      <w:r w:rsidR="00447357" w:rsidRPr="00C00D88">
        <w:rPr>
          <w:rFonts w:ascii="Cambria" w:hAnsi="Cambria" w:cs="Arial"/>
          <w:sz w:val="20"/>
          <w:szCs w:val="20"/>
        </w:rPr>
        <w:t>.</w:t>
      </w:r>
      <w:r w:rsidR="00447357" w:rsidRPr="00207748">
        <w:rPr>
          <w:rFonts w:ascii="Cambria" w:hAnsi="Cambria" w:cs="Arial"/>
          <w:sz w:val="20"/>
          <w:szCs w:val="20"/>
        </w:rPr>
        <w:t xml:space="preserve"> An diesem Punkt sollte das </w:t>
      </w:r>
      <w:r w:rsidRPr="00DC4B69">
        <w:rPr>
          <w:rFonts w:ascii="Cambria" w:hAnsi="Cambria" w:cs="Arial"/>
          <w:sz w:val="20"/>
          <w:szCs w:val="20"/>
        </w:rPr>
        <w:t>Therapie</w:t>
      </w:r>
      <w:r w:rsidR="00447357" w:rsidRPr="00C00D88">
        <w:rPr>
          <w:rFonts w:ascii="Cambria" w:hAnsi="Cambria" w:cs="Arial"/>
          <w:sz w:val="20"/>
          <w:szCs w:val="20"/>
        </w:rPr>
        <w:t>spektrum</w:t>
      </w:r>
      <w:r w:rsidR="00447357" w:rsidRPr="00207748">
        <w:rPr>
          <w:rFonts w:ascii="Cambria" w:hAnsi="Cambria" w:cs="Arial"/>
          <w:sz w:val="20"/>
          <w:szCs w:val="20"/>
        </w:rPr>
        <w:t xml:space="preserve"> eingegrenzt werden, indem nicht </w:t>
      </w:r>
      <w:r w:rsidRPr="00DC4B69">
        <w:rPr>
          <w:rFonts w:ascii="Cambria" w:hAnsi="Cambria" w:cs="Arial"/>
          <w:sz w:val="20"/>
          <w:szCs w:val="20"/>
        </w:rPr>
        <w:t>erforderliche</w:t>
      </w:r>
      <w:r w:rsidR="00447357" w:rsidRPr="00207748">
        <w:rPr>
          <w:rFonts w:ascii="Cambria" w:hAnsi="Cambria" w:cs="Arial"/>
          <w:sz w:val="20"/>
          <w:szCs w:val="20"/>
        </w:rPr>
        <w:t xml:space="preserve"> antimikrobielle Wirkstoffe </w:t>
      </w:r>
      <w:r w:rsidRPr="00DC4B69">
        <w:rPr>
          <w:rFonts w:ascii="Cambria" w:hAnsi="Cambria" w:cs="Arial"/>
          <w:sz w:val="20"/>
          <w:szCs w:val="20"/>
        </w:rPr>
        <w:t>abgesetzt</w:t>
      </w:r>
      <w:r w:rsidR="00447357" w:rsidRPr="00207748">
        <w:rPr>
          <w:rFonts w:ascii="Cambria" w:hAnsi="Cambria" w:cs="Arial"/>
          <w:sz w:val="20"/>
          <w:szCs w:val="20"/>
        </w:rPr>
        <w:t xml:space="preserve"> und Breitspektrum-Wirkstoffe durch spezifischere Wirkstoffe ersetzt werden.</w:t>
      </w:r>
      <w:r w:rsidR="00447357" w:rsidRPr="00207748">
        <w:rPr>
          <w:rFonts w:ascii="Cambria" w:eastAsia="Arial" w:hAnsi="Cambria" w:cs="Arial"/>
          <w:sz w:val="20"/>
          <w:szCs w:val="20"/>
          <w:vertAlign w:val="superscript"/>
        </w:rPr>
        <w:endnoteReference w:id="149"/>
      </w:r>
      <w:r w:rsidR="00447357" w:rsidRPr="00207748">
        <w:rPr>
          <w:rFonts w:ascii="Cambria" w:hAnsi="Cambria" w:cs="Arial"/>
          <w:sz w:val="20"/>
          <w:szCs w:val="20"/>
        </w:rPr>
        <w:t xml:space="preserve"> Falls die relevanten Kulturen negativ sein sollten, ist eine empirische </w:t>
      </w:r>
      <w:r w:rsidRPr="00DC4B69">
        <w:rPr>
          <w:rFonts w:ascii="Cambria" w:hAnsi="Cambria" w:cs="Arial"/>
          <w:sz w:val="20"/>
          <w:szCs w:val="20"/>
        </w:rPr>
        <w:t>Therapiebeschränkung</w:t>
      </w:r>
      <w:r w:rsidR="00447357" w:rsidRPr="00207748">
        <w:rPr>
          <w:rFonts w:ascii="Cambria" w:hAnsi="Cambria" w:cs="Arial"/>
          <w:sz w:val="20"/>
          <w:szCs w:val="20"/>
        </w:rPr>
        <w:t xml:space="preserve"> basierend auf einem guten klinischen Ansprechen angemessen. Die </w:t>
      </w:r>
      <w:r w:rsidR="00C00D88" w:rsidRPr="00DC4B69">
        <w:rPr>
          <w:rFonts w:ascii="Cambria" w:hAnsi="Cambria" w:cs="Arial"/>
          <w:sz w:val="20"/>
          <w:szCs w:val="20"/>
        </w:rPr>
        <w:t>Nutzung von</w:t>
      </w:r>
      <w:r w:rsidR="002B1061">
        <w:rPr>
          <w:rFonts w:ascii="Cambria" w:hAnsi="Cambria" w:cs="Arial"/>
          <w:sz w:val="20"/>
          <w:szCs w:val="20"/>
        </w:rPr>
        <w:t xml:space="preserve"> </w:t>
      </w:r>
      <w:r w:rsidR="00EC3DBA" w:rsidRPr="00207748">
        <w:rPr>
          <w:rFonts w:ascii="Cambria" w:hAnsi="Cambria" w:cs="Arial"/>
          <w:sz w:val="20"/>
          <w:szCs w:val="20"/>
        </w:rPr>
        <w:t>ABS</w:t>
      </w:r>
      <w:r w:rsidR="00447357" w:rsidRPr="00207748">
        <w:rPr>
          <w:rFonts w:ascii="Cambria" w:hAnsi="Cambria" w:cs="Arial"/>
          <w:sz w:val="20"/>
          <w:szCs w:val="20"/>
        </w:rPr>
        <w:t xml:space="preserve">-Programmen wird </w:t>
      </w:r>
      <w:r w:rsidR="00C00D88" w:rsidRPr="00DC4B69">
        <w:rPr>
          <w:rFonts w:ascii="Cambria" w:hAnsi="Cambria" w:cs="Arial"/>
          <w:sz w:val="20"/>
          <w:szCs w:val="20"/>
        </w:rPr>
        <w:t xml:space="preserve">in diesem Zusammenhang </w:t>
      </w:r>
      <w:r w:rsidR="00447357" w:rsidRPr="00207748">
        <w:rPr>
          <w:rFonts w:ascii="Cambria" w:hAnsi="Cambria" w:cs="Arial"/>
          <w:sz w:val="20"/>
          <w:szCs w:val="20"/>
        </w:rPr>
        <w:t>befürwortet</w:t>
      </w:r>
      <w:r w:rsidR="00EF1A9E">
        <w:rPr>
          <w:rFonts w:ascii="Cambria" w:hAnsi="Cambria" w:cs="Arial"/>
          <w:sz w:val="20"/>
          <w:szCs w:val="20"/>
        </w:rPr>
        <w:t>.</w:t>
      </w:r>
    </w:p>
    <w:p w14:paraId="1B95AEB2" w14:textId="1D35578A" w:rsidR="002B1061" w:rsidRDefault="00447357" w:rsidP="004454B6">
      <w:pPr>
        <w:rPr>
          <w:rFonts w:ascii="Cambria" w:hAnsi="Cambria" w:cs="Arial"/>
          <w:sz w:val="20"/>
          <w:szCs w:val="20"/>
        </w:rPr>
      </w:pPr>
      <w:r w:rsidRPr="00207748">
        <w:rPr>
          <w:rFonts w:ascii="Cambria" w:hAnsi="Cambria" w:cs="Arial"/>
          <w:sz w:val="20"/>
          <w:szCs w:val="20"/>
        </w:rPr>
        <w:t xml:space="preserve">Bei etwa einem Drittel der Patienten mit einer Sepsis </w:t>
      </w:r>
      <w:r w:rsidR="00C00D88" w:rsidRPr="00DC4B69">
        <w:rPr>
          <w:rFonts w:ascii="Cambria" w:hAnsi="Cambria" w:cs="Arial"/>
          <w:sz w:val="20"/>
          <w:szCs w:val="20"/>
        </w:rPr>
        <w:t>kann</w:t>
      </w:r>
      <w:r w:rsidR="002B1061">
        <w:rPr>
          <w:rFonts w:ascii="Cambria" w:hAnsi="Cambria" w:cs="Arial"/>
          <w:sz w:val="20"/>
          <w:szCs w:val="20"/>
        </w:rPr>
        <w:t xml:space="preserve"> </w:t>
      </w:r>
      <w:r w:rsidRPr="00207748">
        <w:rPr>
          <w:rFonts w:ascii="Cambria" w:hAnsi="Cambria" w:cs="Arial"/>
          <w:sz w:val="20"/>
          <w:szCs w:val="20"/>
        </w:rPr>
        <w:t xml:space="preserve"> kein verursachendes Pathogen identifiziert.</w:t>
      </w:r>
      <w:r w:rsidR="00CB26D4" w:rsidRPr="00CB26D4">
        <w:rPr>
          <w:rStyle w:val="EndnoteRealZchn"/>
        </w:rPr>
        <w:fldChar w:fldCharType="begin"/>
      </w:r>
      <w:r w:rsidR="00CB26D4" w:rsidRPr="00CB26D4">
        <w:rPr>
          <w:rStyle w:val="EndnoteRealZchn"/>
        </w:rPr>
        <w:instrText xml:space="preserve"> NOTEREF _Ref30503497 \h </w:instrText>
      </w:r>
      <w:r w:rsidR="00CB26D4">
        <w:rPr>
          <w:rStyle w:val="EndnoteRealZchn"/>
        </w:rPr>
        <w:instrText xml:space="preserve"> \* MERGEFORMAT </w:instrText>
      </w:r>
      <w:r w:rsidR="00CB26D4" w:rsidRPr="00CB26D4">
        <w:rPr>
          <w:rStyle w:val="EndnoteRealZchn"/>
        </w:rPr>
      </w:r>
      <w:r w:rsidR="00CB26D4" w:rsidRPr="00CB26D4">
        <w:rPr>
          <w:rStyle w:val="EndnoteRealZchn"/>
        </w:rPr>
        <w:fldChar w:fldCharType="separate"/>
      </w:r>
      <w:r w:rsidR="001A283B">
        <w:rPr>
          <w:rStyle w:val="EndnoteRealZchn"/>
        </w:rPr>
        <w:t>127</w:t>
      </w:r>
      <w:r w:rsidR="00CB26D4" w:rsidRPr="00CB26D4">
        <w:rPr>
          <w:rStyle w:val="EndnoteRealZchn"/>
        </w:rPr>
        <w:fldChar w:fldCharType="end"/>
      </w:r>
      <w:r w:rsidR="00C00D88" w:rsidRPr="00DC4B69">
        <w:rPr>
          <w:rFonts w:ascii="Cambria" w:hAnsi="Cambria" w:cs="Arial"/>
          <w:sz w:val="20"/>
          <w:szCs w:val="20"/>
        </w:rPr>
        <w:t xml:space="preserve"> werden</w:t>
      </w:r>
      <w:r w:rsidRPr="00C525F7">
        <w:rPr>
          <w:rFonts w:ascii="Cambria" w:hAnsi="Cambria" w:cs="Arial"/>
          <w:sz w:val="20"/>
          <w:szCs w:val="20"/>
        </w:rPr>
        <w:t>.</w:t>
      </w:r>
      <w:r w:rsidR="00EF1A9E">
        <w:rPr>
          <w:rFonts w:ascii="Cambria" w:hAnsi="Cambria" w:cs="Arial"/>
          <w:sz w:val="20"/>
          <w:szCs w:val="20"/>
        </w:rPr>
        <w:t xml:space="preserve"> </w:t>
      </w:r>
      <w:r w:rsidR="00C00D88" w:rsidRPr="00DC4B69">
        <w:rPr>
          <w:rFonts w:ascii="Cambria" w:hAnsi="Cambria" w:cs="Arial"/>
          <w:sz w:val="20"/>
          <w:szCs w:val="20"/>
        </w:rPr>
        <w:t xml:space="preserve">Das ist überwiegend dann der Fall, wenn die Kulturen unter bereits laufender antimikrobieller Therapie abgenommen wurden. </w:t>
      </w:r>
      <w:r w:rsidRPr="00207748">
        <w:rPr>
          <w:rFonts w:ascii="Cambria" w:hAnsi="Cambria" w:cs="Arial"/>
          <w:sz w:val="20"/>
          <w:szCs w:val="20"/>
        </w:rPr>
        <w:t xml:space="preserve">In einigen Fällen könnte dies darauf zurückzuführen sein, dass </w:t>
      </w:r>
      <w:r w:rsidR="00C00D88" w:rsidRPr="00DC4B69">
        <w:rPr>
          <w:rFonts w:ascii="Cambria" w:hAnsi="Cambria" w:cs="Arial"/>
          <w:sz w:val="20"/>
          <w:szCs w:val="20"/>
        </w:rPr>
        <w:t xml:space="preserve">in einer Studie post-hoc festgestellt wurde, dass fast die </w:t>
      </w:r>
      <w:r w:rsidRPr="00207748">
        <w:rPr>
          <w:rFonts w:ascii="Cambria" w:hAnsi="Cambria" w:cs="Arial"/>
          <w:sz w:val="20"/>
          <w:szCs w:val="20"/>
        </w:rPr>
        <w:t xml:space="preserve">Hälfte </w:t>
      </w:r>
      <w:r w:rsidR="00C00D88" w:rsidRPr="00DC4B69">
        <w:rPr>
          <w:rFonts w:ascii="Cambria" w:hAnsi="Cambria" w:cs="Arial"/>
          <w:sz w:val="20"/>
          <w:szCs w:val="20"/>
        </w:rPr>
        <w:t>von</w:t>
      </w:r>
      <w:r w:rsidRPr="00207748">
        <w:rPr>
          <w:rFonts w:ascii="Cambria" w:hAnsi="Cambria" w:cs="Arial"/>
          <w:sz w:val="20"/>
          <w:szCs w:val="20"/>
        </w:rPr>
        <w:t xml:space="preserve"> Patienten mit </w:t>
      </w:r>
      <w:r w:rsidR="00C00D88" w:rsidRPr="00DC4B69">
        <w:rPr>
          <w:rFonts w:ascii="Cambria" w:hAnsi="Cambria" w:cs="Arial"/>
          <w:sz w:val="20"/>
          <w:szCs w:val="20"/>
        </w:rPr>
        <w:t>initialem</w:t>
      </w:r>
      <w:r w:rsidRPr="00207748">
        <w:rPr>
          <w:rFonts w:ascii="Cambria" w:hAnsi="Cambria" w:cs="Arial"/>
          <w:sz w:val="20"/>
          <w:szCs w:val="20"/>
        </w:rPr>
        <w:t xml:space="preserve"> Verdacht auf Sepsis </w:t>
      </w:r>
      <w:r w:rsidR="00C00D88" w:rsidRPr="00DC4B69">
        <w:rPr>
          <w:rFonts w:ascii="Cambria" w:hAnsi="Cambria" w:cs="Arial"/>
          <w:sz w:val="20"/>
          <w:szCs w:val="20"/>
        </w:rPr>
        <w:t>gar</w:t>
      </w:r>
      <w:r w:rsidRPr="00207748">
        <w:rPr>
          <w:rFonts w:ascii="Cambria" w:hAnsi="Cambria" w:cs="Arial"/>
          <w:sz w:val="20"/>
          <w:szCs w:val="20"/>
        </w:rPr>
        <w:t xml:space="preserve"> keine Infektion </w:t>
      </w:r>
      <w:r w:rsidR="00C00D88" w:rsidRPr="00DC4B69">
        <w:rPr>
          <w:rFonts w:ascii="Cambria" w:hAnsi="Cambria" w:cs="Arial"/>
          <w:sz w:val="20"/>
          <w:szCs w:val="20"/>
        </w:rPr>
        <w:t>hatten, bzw. eine Infektion</w:t>
      </w:r>
      <w:r w:rsidRPr="00207748">
        <w:rPr>
          <w:rFonts w:ascii="Cambria" w:hAnsi="Cambria" w:cs="Arial"/>
          <w:sz w:val="20"/>
          <w:szCs w:val="20"/>
        </w:rPr>
        <w:t xml:space="preserve"> nur </w:t>
      </w:r>
      <w:r w:rsidR="00C00D88" w:rsidRPr="00DC4B69">
        <w:rPr>
          <w:rFonts w:ascii="Cambria" w:hAnsi="Cambria" w:cs="Arial"/>
          <w:sz w:val="20"/>
          <w:szCs w:val="20"/>
        </w:rPr>
        <w:t>„möglich“ (aber</w:t>
      </w:r>
      <w:r w:rsidR="00EF1A9E">
        <w:rPr>
          <w:rFonts w:ascii="Cambria" w:hAnsi="Cambria" w:cs="Arial"/>
          <w:sz w:val="20"/>
          <w:szCs w:val="20"/>
        </w:rPr>
        <w:t xml:space="preserve"> nicht wahrscheinlich) erschien.</w:t>
      </w:r>
      <w:r w:rsidR="00C00D88" w:rsidRPr="00DC4B69">
        <w:rPr>
          <w:rFonts w:ascii="Cambria" w:hAnsi="Cambria" w:cs="Arial"/>
          <w:sz w:val="20"/>
          <w:szCs w:val="20"/>
        </w:rPr>
        <w:t xml:space="preserve"> </w:t>
      </w:r>
      <w:r w:rsidRPr="00207748">
        <w:rPr>
          <w:rFonts w:ascii="Cambria" w:hAnsi="Cambria" w:cs="Arial"/>
          <w:sz w:val="20"/>
          <w:szCs w:val="20"/>
        </w:rPr>
        <w:t xml:space="preserve">Falls </w:t>
      </w:r>
      <w:r w:rsidR="00C00D88" w:rsidRPr="00DC4B69">
        <w:rPr>
          <w:rFonts w:ascii="Cambria" w:hAnsi="Cambria" w:cs="Arial"/>
          <w:sz w:val="20"/>
          <w:szCs w:val="20"/>
        </w:rPr>
        <w:t xml:space="preserve">ein hinreichend </w:t>
      </w:r>
      <w:r w:rsidRPr="00207748">
        <w:rPr>
          <w:rFonts w:ascii="Cambria" w:hAnsi="Cambria" w:cs="Arial"/>
          <w:sz w:val="20"/>
          <w:szCs w:val="20"/>
        </w:rPr>
        <w:t xml:space="preserve">nachgewiesen werden </w:t>
      </w:r>
      <w:r w:rsidR="00C525F7" w:rsidRPr="00DC4B69">
        <w:rPr>
          <w:rFonts w:ascii="Cambria" w:hAnsi="Cambria" w:cs="Arial"/>
          <w:sz w:val="20"/>
          <w:szCs w:val="20"/>
        </w:rPr>
        <w:t>kann</w:t>
      </w:r>
      <w:r w:rsidRPr="00207748">
        <w:rPr>
          <w:rFonts w:ascii="Cambria" w:hAnsi="Cambria" w:cs="Arial"/>
          <w:sz w:val="20"/>
          <w:szCs w:val="20"/>
        </w:rPr>
        <w:t xml:space="preserve">, dass keine Infektion vorliegt, sollte die antimikrobielle Therapie </w:t>
      </w:r>
      <w:r w:rsidR="00C525F7" w:rsidRPr="00DC4B69">
        <w:rPr>
          <w:rFonts w:ascii="Cambria" w:hAnsi="Cambria" w:cs="Arial"/>
          <w:sz w:val="20"/>
          <w:szCs w:val="20"/>
        </w:rPr>
        <w:t xml:space="preserve">daher </w:t>
      </w:r>
      <w:r w:rsidRPr="00207748">
        <w:rPr>
          <w:rFonts w:ascii="Cambria" w:hAnsi="Cambria" w:cs="Arial"/>
          <w:sz w:val="20"/>
          <w:szCs w:val="20"/>
        </w:rPr>
        <w:t xml:space="preserve">unverzüglich </w:t>
      </w:r>
      <w:r w:rsidR="00C525F7" w:rsidRPr="00DC4B69">
        <w:rPr>
          <w:rFonts w:ascii="Cambria" w:hAnsi="Cambria" w:cs="Arial"/>
          <w:sz w:val="20"/>
          <w:szCs w:val="20"/>
        </w:rPr>
        <w:t>beendet</w:t>
      </w:r>
      <w:r w:rsidRPr="00207748">
        <w:rPr>
          <w:rFonts w:ascii="Cambria" w:hAnsi="Cambria" w:cs="Arial"/>
          <w:sz w:val="20"/>
          <w:szCs w:val="20"/>
        </w:rPr>
        <w:t xml:space="preserve"> werden.</w:t>
      </w:r>
    </w:p>
    <w:p w14:paraId="70EC29C1" w14:textId="77777777" w:rsidR="002B1061" w:rsidRDefault="002B1061">
      <w:pPr>
        <w:spacing w:after="0" w:line="240" w:lineRule="auto"/>
        <w:rPr>
          <w:rFonts w:ascii="Cambria" w:hAnsi="Cambria" w:cs="Arial"/>
          <w:sz w:val="20"/>
          <w:szCs w:val="20"/>
        </w:rPr>
      </w:pPr>
      <w:r>
        <w:rPr>
          <w:rFonts w:ascii="Cambria" w:hAnsi="Cambria" w:cs="Arial"/>
          <w:sz w:val="20"/>
          <w:szCs w:val="20"/>
        </w:rPr>
        <w:br w:type="page"/>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762"/>
        <w:gridCol w:w="1659"/>
        <w:gridCol w:w="804"/>
      </w:tblGrid>
      <w:tr w:rsidR="00E11869" w:rsidRPr="00207748" w14:paraId="0A17F959"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85BA786"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lastRenderedPageBreak/>
              <w:t>D.5</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4F3696BF"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7C41F9C5"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2018</w:t>
            </w:r>
          </w:p>
        </w:tc>
      </w:tr>
      <w:tr w:rsidR="00E11869" w:rsidRPr="00207748" w14:paraId="72441598" w14:textId="77777777" w:rsidTr="00334AF5">
        <w:trPr>
          <w:trHeight w:val="332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C58BB2"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Expertenkonsens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D06A1" w14:textId="77777777" w:rsidR="00E11869" w:rsidRPr="00207748" w:rsidRDefault="00447357" w:rsidP="004454B6">
            <w:pPr>
              <w:spacing w:after="0"/>
              <w:rPr>
                <w:rFonts w:ascii="Cambria" w:hAnsi="Cambria" w:cs="Arial"/>
                <w:sz w:val="20"/>
                <w:szCs w:val="20"/>
              </w:rPr>
            </w:pPr>
            <w:r w:rsidRPr="00207748">
              <w:rPr>
                <w:rFonts w:ascii="Cambria" w:hAnsi="Cambria" w:cs="Arial"/>
                <w:b/>
                <w:bCs/>
                <w:spacing w:val="-3"/>
                <w:sz w:val="20"/>
                <w:szCs w:val="20"/>
              </w:rPr>
              <w:t>Wir empfehlen, dass von einer anhaltenden systemischen antimikrobiellen Prophylaxe bei Patienten mit schweren inflammatorischen Zuständen nicht-infektiösen Ursprungs abgesehen wird (z.B. schwere Pankreatitis, Brandverletzung).</w:t>
            </w:r>
          </w:p>
        </w:tc>
      </w:tr>
      <w:tr w:rsidR="00E11869" w:rsidRPr="00207748" w14:paraId="45B9528D" w14:textId="77777777" w:rsidTr="00342FB3">
        <w:trPr>
          <w:trHeight w:val="56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38FD5085"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6D229" w14:textId="77777777" w:rsidR="00E11869" w:rsidRPr="00207748" w:rsidRDefault="00342FB3" w:rsidP="004454B6">
            <w:pPr>
              <w:spacing w:after="0"/>
              <w:rPr>
                <w:rFonts w:ascii="Cambria" w:hAnsi="Cambria" w:cs="Arial"/>
                <w:sz w:val="20"/>
                <w:szCs w:val="20"/>
              </w:rPr>
            </w:pPr>
            <w:r w:rsidRPr="00207748">
              <w:rPr>
                <w:rFonts w:ascii="Cambria" w:hAnsi="Cambria" w:cs="Arial"/>
                <w:b/>
                <w:bCs/>
                <w:sz w:val="20"/>
                <w:szCs w:val="20"/>
              </w:rPr>
              <w:t>SSC-</w:t>
            </w:r>
            <w:r w:rsidR="00447357" w:rsidRPr="00207748">
              <w:rPr>
                <w:rFonts w:ascii="Cambria" w:hAnsi="Cambria" w:cs="Arial"/>
                <w:b/>
                <w:bCs/>
                <w:sz w:val="20"/>
                <w:szCs w:val="20"/>
              </w:rPr>
              <w:t xml:space="preserve">Leitlinienadaptation </w:t>
            </w:r>
          </w:p>
        </w:tc>
      </w:tr>
      <w:tr w:rsidR="00E11869" w:rsidRPr="00207748" w14:paraId="669F91D5"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0B506"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DA429" w14:textId="77777777" w:rsidR="00E11869" w:rsidRPr="00207748" w:rsidRDefault="00447357" w:rsidP="004454B6">
            <w:pPr>
              <w:spacing w:after="0"/>
              <w:rPr>
                <w:rFonts w:ascii="Cambria" w:hAnsi="Cambria" w:cs="Arial"/>
                <w:sz w:val="20"/>
                <w:szCs w:val="20"/>
              </w:rPr>
            </w:pPr>
            <w:r w:rsidRPr="00207748">
              <w:rPr>
                <w:rFonts w:ascii="Cambria" w:hAnsi="Cambria" w:cs="Arial"/>
                <w:sz w:val="20"/>
                <w:szCs w:val="20"/>
              </w:rPr>
              <w:t>Konsensstärke: 100 %</w:t>
            </w:r>
          </w:p>
        </w:tc>
      </w:tr>
    </w:tbl>
    <w:p w14:paraId="12AA8986" w14:textId="77777777" w:rsidR="00E11869" w:rsidRPr="00207748" w:rsidRDefault="00E11869" w:rsidP="004454B6">
      <w:pPr>
        <w:widowControl w:val="0"/>
        <w:rPr>
          <w:rFonts w:ascii="Cambria" w:eastAsia="Arial" w:hAnsi="Cambria" w:cs="Arial"/>
          <w:iCs/>
          <w:sz w:val="20"/>
          <w:szCs w:val="20"/>
        </w:rPr>
      </w:pPr>
    </w:p>
    <w:p w14:paraId="336A97CC" w14:textId="2793BE6C" w:rsidR="00E11869" w:rsidRPr="00207748" w:rsidRDefault="00342FB3" w:rsidP="004454B6">
      <w:pPr>
        <w:spacing w:before="240"/>
        <w:rPr>
          <w:rFonts w:ascii="Cambria" w:eastAsia="Arial" w:hAnsi="Cambria" w:cs="Arial"/>
          <w:sz w:val="20"/>
          <w:szCs w:val="20"/>
        </w:rPr>
      </w:pPr>
      <w:r w:rsidRPr="00207748">
        <w:rPr>
          <w:rFonts w:ascii="Cambria" w:hAnsi="Cambria" w:cs="Arial"/>
          <w:b/>
          <w:bCs/>
          <w:sz w:val="20"/>
          <w:szCs w:val="20"/>
        </w:rPr>
        <w:t>Begründung</w:t>
      </w:r>
      <w:r w:rsidR="00447357" w:rsidRPr="00207748">
        <w:rPr>
          <w:rFonts w:ascii="Cambria" w:hAnsi="Cambria" w:cs="Arial"/>
          <w:b/>
          <w:bCs/>
          <w:sz w:val="20"/>
          <w:szCs w:val="20"/>
        </w:rPr>
        <w:t>:</w:t>
      </w:r>
      <w:r w:rsidR="00447357" w:rsidRPr="00207748">
        <w:rPr>
          <w:rFonts w:ascii="Cambria" w:hAnsi="Cambria" w:cs="Arial"/>
          <w:sz w:val="20"/>
          <w:szCs w:val="20"/>
        </w:rPr>
        <w:t xml:space="preserve"> Eine systemische entzündliche Reaktion ohne Infektion rechtfertigt keine antimikrobielle Therapie. </w:t>
      </w:r>
      <w:r w:rsidR="00C525F7" w:rsidRPr="00DC4B69">
        <w:rPr>
          <w:rFonts w:ascii="Cambria" w:hAnsi="Cambria" w:cs="Arial"/>
          <w:sz w:val="20"/>
          <w:szCs w:val="20"/>
        </w:rPr>
        <w:t>Dazu gehört</w:t>
      </w:r>
      <w:r w:rsidR="00447357" w:rsidRPr="00207748">
        <w:rPr>
          <w:rFonts w:ascii="Cambria" w:hAnsi="Cambria" w:cs="Arial"/>
          <w:sz w:val="20"/>
          <w:szCs w:val="20"/>
        </w:rPr>
        <w:t xml:space="preserve"> z.B. eine schwere Pankreatitis und </w:t>
      </w:r>
      <w:r w:rsidR="00447357" w:rsidRPr="003A045F">
        <w:rPr>
          <w:rFonts w:ascii="Cambria" w:hAnsi="Cambria" w:cs="Arial"/>
          <w:sz w:val="20"/>
          <w:szCs w:val="20"/>
        </w:rPr>
        <w:t>groß</w:t>
      </w:r>
      <w:r w:rsidR="00C525F7" w:rsidRPr="00DC4B69">
        <w:rPr>
          <w:rFonts w:ascii="Cambria" w:hAnsi="Cambria" w:cs="Arial"/>
          <w:sz w:val="20"/>
          <w:szCs w:val="20"/>
        </w:rPr>
        <w:t>flächige</w:t>
      </w:r>
      <w:r w:rsidR="00447357" w:rsidRPr="00207748">
        <w:rPr>
          <w:rFonts w:ascii="Cambria" w:hAnsi="Cambria" w:cs="Arial"/>
          <w:sz w:val="20"/>
          <w:szCs w:val="20"/>
        </w:rPr>
        <w:t xml:space="preserve"> Brandwunden. </w:t>
      </w:r>
    </w:p>
    <w:p w14:paraId="1B4E36D7" w14:textId="5BCDEC71" w:rsidR="007722E3" w:rsidRPr="00207748" w:rsidRDefault="00447357" w:rsidP="004454B6">
      <w:pPr>
        <w:rPr>
          <w:rFonts w:ascii="Cambria" w:hAnsi="Cambria" w:cs="Arial"/>
          <w:sz w:val="20"/>
          <w:szCs w:val="20"/>
        </w:rPr>
      </w:pPr>
      <w:r w:rsidRPr="00207748">
        <w:rPr>
          <w:rFonts w:ascii="Cambria" w:hAnsi="Cambria" w:cs="Arial"/>
          <w:sz w:val="20"/>
          <w:szCs w:val="20"/>
        </w:rPr>
        <w:t xml:space="preserve">Obwohl die prophylaktische Verwendung </w:t>
      </w:r>
      <w:r w:rsidRPr="003A045F">
        <w:rPr>
          <w:rFonts w:ascii="Cambria" w:hAnsi="Cambria" w:cs="Arial"/>
          <w:sz w:val="20"/>
          <w:szCs w:val="20"/>
        </w:rPr>
        <w:t>systemische</w:t>
      </w:r>
      <w:r w:rsidR="00C525F7" w:rsidRPr="00DC4B69">
        <w:rPr>
          <w:rFonts w:ascii="Cambria" w:hAnsi="Cambria" w:cs="Arial"/>
          <w:sz w:val="20"/>
          <w:szCs w:val="20"/>
        </w:rPr>
        <w:t>r</w:t>
      </w:r>
      <w:r w:rsidRPr="00F31FDD">
        <w:rPr>
          <w:rFonts w:ascii="Cambria" w:hAnsi="Cambria" w:cs="Arial"/>
          <w:sz w:val="20"/>
          <w:szCs w:val="20"/>
        </w:rPr>
        <w:t xml:space="preserve"> Ant</w:t>
      </w:r>
      <w:r w:rsidRPr="003A045F">
        <w:rPr>
          <w:rFonts w:ascii="Cambria" w:hAnsi="Cambria" w:cs="Arial"/>
          <w:sz w:val="20"/>
          <w:szCs w:val="20"/>
        </w:rPr>
        <w:t xml:space="preserve">ibiotika </w:t>
      </w:r>
      <w:r w:rsidR="00C525F7" w:rsidRPr="00DC4B69">
        <w:rPr>
          <w:rFonts w:ascii="Cambria" w:hAnsi="Cambria" w:cs="Arial"/>
          <w:sz w:val="20"/>
          <w:szCs w:val="20"/>
        </w:rPr>
        <w:t>bei</w:t>
      </w:r>
      <w:r w:rsidRPr="00F31FDD">
        <w:rPr>
          <w:rFonts w:ascii="Cambria" w:hAnsi="Cambria" w:cs="Arial"/>
          <w:sz w:val="20"/>
          <w:szCs w:val="20"/>
        </w:rPr>
        <w:t xml:space="preserve"> eine</w:t>
      </w:r>
      <w:r w:rsidR="00C525F7" w:rsidRPr="00DC4B69">
        <w:rPr>
          <w:rFonts w:ascii="Cambria" w:hAnsi="Cambria" w:cs="Arial"/>
          <w:sz w:val="20"/>
          <w:szCs w:val="20"/>
        </w:rPr>
        <w:t>r</w:t>
      </w:r>
      <w:r w:rsidRPr="003A045F">
        <w:rPr>
          <w:rFonts w:ascii="Cambria" w:hAnsi="Cambria" w:cs="Arial"/>
          <w:sz w:val="20"/>
          <w:szCs w:val="20"/>
        </w:rPr>
        <w:t xml:space="preserve"> schwere</w:t>
      </w:r>
      <w:r w:rsidR="00C525F7" w:rsidRPr="00DC4B69">
        <w:rPr>
          <w:rFonts w:ascii="Cambria" w:hAnsi="Cambria" w:cs="Arial"/>
          <w:sz w:val="20"/>
          <w:szCs w:val="20"/>
        </w:rPr>
        <w:t>n</w:t>
      </w:r>
      <w:r w:rsidRPr="003A045F">
        <w:rPr>
          <w:rFonts w:ascii="Cambria" w:hAnsi="Cambria" w:cs="Arial"/>
          <w:sz w:val="20"/>
          <w:szCs w:val="20"/>
        </w:rPr>
        <w:t xml:space="preserve"> nekrotisierende</w:t>
      </w:r>
      <w:r w:rsidR="00C525F7" w:rsidRPr="00DC4B69">
        <w:rPr>
          <w:rFonts w:ascii="Cambria" w:hAnsi="Cambria" w:cs="Arial"/>
          <w:sz w:val="20"/>
          <w:szCs w:val="20"/>
        </w:rPr>
        <w:t>n</w:t>
      </w:r>
      <w:r w:rsidRPr="00207748">
        <w:rPr>
          <w:rFonts w:ascii="Cambria" w:hAnsi="Cambria" w:cs="Arial"/>
          <w:sz w:val="20"/>
          <w:szCs w:val="20"/>
        </w:rPr>
        <w:t xml:space="preserve"> Pankreatitis in der Vergangenheit empfohlen wurde, sprechen sich aktuelle Leitlinien </w:t>
      </w:r>
      <w:r w:rsidR="00C525F7" w:rsidRPr="00DC4B69">
        <w:rPr>
          <w:rFonts w:ascii="Cambria" w:hAnsi="Cambria" w:cs="Arial"/>
          <w:sz w:val="20"/>
          <w:szCs w:val="20"/>
        </w:rPr>
        <w:t xml:space="preserve">dagegen </w:t>
      </w:r>
      <w:r w:rsidRPr="00207748">
        <w:rPr>
          <w:rFonts w:ascii="Cambria" w:hAnsi="Cambria" w:cs="Arial"/>
          <w:sz w:val="20"/>
          <w:szCs w:val="20"/>
        </w:rPr>
        <w:t>aus.</w:t>
      </w:r>
      <w:r w:rsidRPr="00207748">
        <w:rPr>
          <w:rFonts w:ascii="Cambria" w:eastAsia="Arial" w:hAnsi="Cambria" w:cs="Arial"/>
          <w:sz w:val="20"/>
          <w:szCs w:val="20"/>
          <w:vertAlign w:val="superscript"/>
        </w:rPr>
        <w:endnoteReference w:id="150"/>
      </w:r>
      <w:r w:rsidRPr="00207748">
        <w:rPr>
          <w:rFonts w:ascii="Cambria" w:hAnsi="Cambria" w:cs="Arial"/>
          <w:sz w:val="20"/>
          <w:szCs w:val="20"/>
        </w:rPr>
        <w:t xml:space="preserve"> </w:t>
      </w:r>
      <w:r w:rsidRPr="003A045F">
        <w:rPr>
          <w:rFonts w:ascii="Cambria" w:hAnsi="Cambria" w:cs="Arial"/>
          <w:sz w:val="20"/>
          <w:szCs w:val="20"/>
        </w:rPr>
        <w:t>Die</w:t>
      </w:r>
      <w:r w:rsidR="007829CF" w:rsidRPr="00DC4B69">
        <w:rPr>
          <w:rFonts w:ascii="Cambria" w:hAnsi="Cambria" w:cs="Arial"/>
          <w:sz w:val="20"/>
          <w:szCs w:val="20"/>
        </w:rPr>
        <w:t>ses</w:t>
      </w:r>
      <w:r w:rsidRPr="00207748">
        <w:rPr>
          <w:rFonts w:ascii="Cambria" w:hAnsi="Cambria" w:cs="Arial"/>
          <w:sz w:val="20"/>
          <w:szCs w:val="20"/>
        </w:rPr>
        <w:t xml:space="preserve"> wird durch </w:t>
      </w:r>
      <w:r w:rsidR="007829CF" w:rsidRPr="00DC4B69">
        <w:rPr>
          <w:rFonts w:ascii="Cambria" w:hAnsi="Cambria" w:cs="Arial"/>
          <w:sz w:val="20"/>
          <w:szCs w:val="20"/>
        </w:rPr>
        <w:t xml:space="preserve">eine </w:t>
      </w:r>
      <w:r w:rsidRPr="00F31FDD">
        <w:rPr>
          <w:rFonts w:ascii="Cambria" w:hAnsi="Cambria" w:cs="Arial"/>
          <w:sz w:val="20"/>
          <w:szCs w:val="20"/>
        </w:rPr>
        <w:t xml:space="preserve">aktuelle </w:t>
      </w:r>
      <w:r w:rsidRPr="00207748">
        <w:rPr>
          <w:rFonts w:ascii="Cambria" w:hAnsi="Cambria" w:cs="Arial"/>
          <w:sz w:val="20"/>
          <w:szCs w:val="20"/>
        </w:rPr>
        <w:t>Meta-</w:t>
      </w:r>
      <w:r w:rsidRPr="003A045F">
        <w:rPr>
          <w:rFonts w:ascii="Cambria" w:hAnsi="Cambria" w:cs="Arial"/>
          <w:sz w:val="20"/>
          <w:szCs w:val="20"/>
        </w:rPr>
        <w:t>Analyse</w:t>
      </w:r>
      <w:r w:rsidR="007829CF" w:rsidRPr="00DC4B69">
        <w:rPr>
          <w:rFonts w:ascii="Cambria" w:hAnsi="Cambria" w:cs="Arial"/>
          <w:sz w:val="20"/>
          <w:szCs w:val="20"/>
        </w:rPr>
        <w:t xml:space="preserve"> bestätigt</w:t>
      </w:r>
      <w:r w:rsidRPr="00207748">
        <w:rPr>
          <w:rFonts w:ascii="Cambria" w:hAnsi="Cambria" w:cs="Arial"/>
          <w:sz w:val="20"/>
          <w:szCs w:val="20"/>
        </w:rPr>
        <w:t xml:space="preserve">, die keinen klinischen Vorteil von </w:t>
      </w:r>
      <w:r w:rsidRPr="003A045F">
        <w:rPr>
          <w:rFonts w:ascii="Cambria" w:hAnsi="Cambria" w:cs="Arial"/>
          <w:sz w:val="20"/>
          <w:szCs w:val="20"/>
        </w:rPr>
        <w:t>prophylaktisch</w:t>
      </w:r>
      <w:r w:rsidR="007829CF" w:rsidRPr="00DC4B69">
        <w:rPr>
          <w:rFonts w:ascii="Cambria" w:hAnsi="Cambria" w:cs="Arial"/>
          <w:sz w:val="20"/>
          <w:szCs w:val="20"/>
        </w:rPr>
        <w:t xml:space="preserve"> verabreichten</w:t>
      </w:r>
      <w:r w:rsidR="002B1061">
        <w:rPr>
          <w:rFonts w:ascii="Cambria" w:hAnsi="Cambria" w:cs="Arial"/>
          <w:sz w:val="20"/>
          <w:szCs w:val="20"/>
        </w:rPr>
        <w:t xml:space="preserve"> </w:t>
      </w:r>
      <w:r w:rsidRPr="00207748">
        <w:rPr>
          <w:rFonts w:ascii="Cambria" w:hAnsi="Cambria" w:cs="Arial"/>
          <w:sz w:val="20"/>
          <w:szCs w:val="20"/>
        </w:rPr>
        <w:t xml:space="preserve">Antibiotika </w:t>
      </w:r>
      <w:r w:rsidRPr="00F31FDD">
        <w:rPr>
          <w:rFonts w:ascii="Cambria" w:hAnsi="Cambria" w:cs="Arial"/>
          <w:sz w:val="20"/>
          <w:szCs w:val="20"/>
        </w:rPr>
        <w:t>nachwies</w:t>
      </w:r>
      <w:r w:rsidRPr="003A045F">
        <w:rPr>
          <w:rFonts w:ascii="Cambria" w:hAnsi="Cambria" w:cs="Arial"/>
          <w:sz w:val="20"/>
          <w:szCs w:val="20"/>
        </w:rPr>
        <w:t xml:space="preserve">, </w:t>
      </w:r>
      <w:r w:rsidR="007829CF" w:rsidRPr="00DC4B69">
        <w:rPr>
          <w:rFonts w:ascii="Cambria" w:hAnsi="Cambria" w:cs="Arial"/>
          <w:sz w:val="20"/>
          <w:szCs w:val="20"/>
        </w:rPr>
        <w:t>welche</w:t>
      </w:r>
      <w:r w:rsidRPr="00207748">
        <w:rPr>
          <w:rFonts w:ascii="Cambria" w:hAnsi="Cambria" w:cs="Arial"/>
          <w:sz w:val="20"/>
          <w:szCs w:val="20"/>
        </w:rPr>
        <w:t xml:space="preserve"> deren langfristige Nebenwirkungen aufwiegen würde.</w:t>
      </w:r>
      <w:bookmarkStart w:id="368" w:name="_Ref30504281"/>
      <w:r w:rsidRPr="00207748">
        <w:rPr>
          <w:rFonts w:ascii="Cambria" w:eastAsia="Arial" w:hAnsi="Cambria" w:cs="Arial"/>
          <w:sz w:val="20"/>
          <w:szCs w:val="20"/>
          <w:vertAlign w:val="superscript"/>
        </w:rPr>
        <w:endnoteReference w:id="151"/>
      </w:r>
      <w:bookmarkEnd w:id="368"/>
      <w:r w:rsidRPr="00207748">
        <w:rPr>
          <w:rFonts w:ascii="Cambria" w:hAnsi="Cambria" w:cs="Arial"/>
          <w:sz w:val="20"/>
          <w:szCs w:val="20"/>
        </w:rPr>
        <w:t xml:space="preserve"> </w:t>
      </w:r>
      <w:r w:rsidR="007829CF" w:rsidRPr="00DC4B69">
        <w:rPr>
          <w:rFonts w:ascii="Cambria" w:hAnsi="Cambria" w:cs="Arial"/>
          <w:sz w:val="20"/>
          <w:szCs w:val="20"/>
        </w:rPr>
        <w:t>In gleicher Weise</w:t>
      </w:r>
      <w:r w:rsidRPr="00207748">
        <w:rPr>
          <w:rFonts w:ascii="Cambria" w:hAnsi="Cambria" w:cs="Arial"/>
          <w:sz w:val="20"/>
          <w:szCs w:val="20"/>
        </w:rPr>
        <w:t xml:space="preserve"> wurde eine längere systemische antimikrobielle Prophylaxe für Patienten mit schweren Verbrennungen </w:t>
      </w:r>
      <w:r w:rsidR="007829CF" w:rsidRPr="00DC4B69">
        <w:rPr>
          <w:rFonts w:ascii="Cambria" w:hAnsi="Cambria" w:cs="Arial"/>
          <w:sz w:val="20"/>
          <w:szCs w:val="20"/>
        </w:rPr>
        <w:t>durchgeführt</w:t>
      </w:r>
      <w:r w:rsidRPr="00207748">
        <w:rPr>
          <w:rFonts w:ascii="Cambria" w:hAnsi="Cambria" w:cs="Arial"/>
          <w:sz w:val="20"/>
          <w:szCs w:val="20"/>
        </w:rPr>
        <w:t>. Aktuelle Meta-Analysen weisen jedoch auf den fraglichen klinischen Nutzen dieses Ansatzes hin.</w:t>
      </w:r>
      <w:bookmarkStart w:id="369" w:name="_Ref30504381"/>
      <w:r w:rsidRPr="00207748">
        <w:rPr>
          <w:rFonts w:ascii="Cambria" w:eastAsia="Arial" w:hAnsi="Cambria" w:cs="Arial"/>
          <w:sz w:val="20"/>
          <w:szCs w:val="20"/>
          <w:vertAlign w:val="superscript"/>
        </w:rPr>
        <w:endnoteReference w:id="152"/>
      </w:r>
      <w:bookmarkEnd w:id="369"/>
      <w:r w:rsidRPr="00207748">
        <w:rPr>
          <w:rFonts w:ascii="Cambria" w:hAnsi="Cambria" w:cs="Arial"/>
          <w:sz w:val="20"/>
          <w:szCs w:val="20"/>
        </w:rPr>
        <w:t xml:space="preserve"> </w:t>
      </w:r>
      <w:bookmarkStart w:id="370" w:name="_Ref30504434"/>
      <w:r w:rsidRPr="00207748">
        <w:rPr>
          <w:rFonts w:ascii="Cambria" w:eastAsia="Arial" w:hAnsi="Cambria" w:cs="Arial"/>
          <w:sz w:val="20"/>
          <w:szCs w:val="20"/>
          <w:vertAlign w:val="superscript"/>
        </w:rPr>
        <w:endnoteReference w:id="153"/>
      </w:r>
      <w:bookmarkEnd w:id="370"/>
      <w:r w:rsidRPr="00207748">
        <w:rPr>
          <w:rFonts w:ascii="Cambria" w:hAnsi="Cambria" w:cs="Arial"/>
          <w:sz w:val="20"/>
          <w:szCs w:val="20"/>
        </w:rPr>
        <w:t xml:space="preserve"> Die aktuellen Leitlinien für die Behandlung von Brandwunden unterstützen die Aufrechterhaltung </w:t>
      </w:r>
      <w:r w:rsidR="007829CF" w:rsidRPr="00DC4B69">
        <w:rPr>
          <w:rFonts w:ascii="Cambria" w:hAnsi="Cambria" w:cs="Arial"/>
          <w:sz w:val="20"/>
          <w:szCs w:val="20"/>
        </w:rPr>
        <w:t>einer</w:t>
      </w:r>
      <w:r w:rsidRPr="00207748">
        <w:rPr>
          <w:rFonts w:ascii="Cambria" w:hAnsi="Cambria" w:cs="Arial"/>
          <w:sz w:val="20"/>
          <w:szCs w:val="20"/>
        </w:rPr>
        <w:t xml:space="preserve"> antimikrobiellen Prophylaxe nicht.</w:t>
      </w:r>
      <w:r w:rsidRPr="00207748">
        <w:rPr>
          <w:rFonts w:ascii="Cambria" w:eastAsia="Arial" w:hAnsi="Cambria" w:cs="Arial"/>
          <w:sz w:val="20"/>
          <w:szCs w:val="20"/>
          <w:vertAlign w:val="superscript"/>
        </w:rPr>
        <w:endnoteReference w:id="154"/>
      </w:r>
      <w:r w:rsidRPr="00207748">
        <w:rPr>
          <w:rFonts w:ascii="Cambria" w:hAnsi="Cambria" w:cs="Arial"/>
          <w:sz w:val="20"/>
          <w:szCs w:val="20"/>
        </w:rPr>
        <w:t xml:space="preserve"> Die </w:t>
      </w:r>
      <w:r w:rsidR="008A59B0" w:rsidRPr="00DC4B69">
        <w:rPr>
          <w:rFonts w:ascii="Cambria" w:hAnsi="Cambria" w:cs="Arial"/>
          <w:sz w:val="20"/>
          <w:szCs w:val="20"/>
        </w:rPr>
        <w:t>vorhandende</w:t>
      </w:r>
      <w:r w:rsidR="002B1061">
        <w:rPr>
          <w:rFonts w:ascii="Cambria" w:hAnsi="Cambria" w:cs="Arial"/>
          <w:sz w:val="20"/>
          <w:szCs w:val="20"/>
        </w:rPr>
        <w:t xml:space="preserve"> </w:t>
      </w:r>
      <w:r w:rsidRPr="00207748">
        <w:rPr>
          <w:rFonts w:ascii="Cambria" w:hAnsi="Cambria" w:cs="Arial"/>
          <w:sz w:val="20"/>
          <w:szCs w:val="20"/>
        </w:rPr>
        <w:t xml:space="preserve">Evidenz </w:t>
      </w:r>
      <w:r w:rsidR="008A59B0" w:rsidRPr="00DC4B69">
        <w:rPr>
          <w:rFonts w:ascii="Cambria" w:hAnsi="Cambria" w:cs="Arial"/>
          <w:sz w:val="20"/>
          <w:szCs w:val="20"/>
        </w:rPr>
        <w:t>ist jedoch gering</w:t>
      </w:r>
      <w:r w:rsidRPr="00207748">
        <w:rPr>
          <w:rFonts w:ascii="Cambria" w:hAnsi="Cambria" w:cs="Arial"/>
          <w:sz w:val="20"/>
          <w:szCs w:val="20"/>
        </w:rPr>
        <w:t>, was auf die Diversität der Population zurückzuführen ist. Die Evidenzqualität war niedrig für die Mortalität bei Pankreatitis</w:t>
      </w:r>
      <w:r w:rsidR="00CB26D4" w:rsidRPr="00CB26D4">
        <w:rPr>
          <w:rStyle w:val="EndnoteRealZchn"/>
        </w:rPr>
        <w:fldChar w:fldCharType="begin"/>
      </w:r>
      <w:r w:rsidR="00CB26D4" w:rsidRPr="00CB26D4">
        <w:rPr>
          <w:rStyle w:val="EndnoteRealZchn"/>
        </w:rPr>
        <w:instrText xml:space="preserve"> NOTEREF _Ref30504281 \h </w:instrText>
      </w:r>
      <w:r w:rsidR="00CB26D4">
        <w:rPr>
          <w:rStyle w:val="EndnoteRealZchn"/>
        </w:rPr>
        <w:instrText xml:space="preserve"> \* MERGEFORMAT </w:instrText>
      </w:r>
      <w:r w:rsidR="00CB26D4" w:rsidRPr="00CB26D4">
        <w:rPr>
          <w:rStyle w:val="EndnoteRealZchn"/>
        </w:rPr>
      </w:r>
      <w:r w:rsidR="00CB26D4" w:rsidRPr="00CB26D4">
        <w:rPr>
          <w:rStyle w:val="EndnoteRealZchn"/>
        </w:rPr>
        <w:fldChar w:fldCharType="separate"/>
      </w:r>
      <w:r w:rsidR="001A283B">
        <w:rPr>
          <w:rStyle w:val="EndnoteRealZchn"/>
        </w:rPr>
        <w:t>159</w:t>
      </w:r>
      <w:r w:rsidR="00CB26D4" w:rsidRPr="00CB26D4">
        <w:rPr>
          <w:rStyle w:val="EndnoteRealZchn"/>
        </w:rPr>
        <w:fldChar w:fldCharType="end"/>
      </w:r>
      <w:r w:rsidRPr="00207748">
        <w:rPr>
          <w:rFonts w:ascii="Cambria" w:hAnsi="Cambria" w:cs="Arial"/>
          <w:sz w:val="20"/>
          <w:szCs w:val="20"/>
        </w:rPr>
        <w:t xml:space="preserve"> und ebenfalls niedrig bei Verbrennungen; daher glauben wir, </w:t>
      </w:r>
      <w:r w:rsidRPr="00207748">
        <w:rPr>
          <w:rFonts w:ascii="Cambria" w:hAnsi="Cambria" w:cs="Arial"/>
          <w:sz w:val="20"/>
          <w:szCs w:val="20"/>
        </w:rPr>
        <w:lastRenderedPageBreak/>
        <w:t>dass diese Empfehlung besser als Expertenkonsens zu deklarieren ist, welcher besagt, dass die Alternative der Verabreichung von Antibiotika ohne Anzeichen einer Infektion nicht plausibel ist.</w:t>
      </w:r>
      <w:r w:rsidR="00CB26D4" w:rsidRPr="00CB26D4">
        <w:rPr>
          <w:rStyle w:val="EndnoteRealZchn"/>
        </w:rPr>
        <w:fldChar w:fldCharType="begin"/>
      </w:r>
      <w:r w:rsidR="00CB26D4" w:rsidRPr="00CB26D4">
        <w:rPr>
          <w:rStyle w:val="EndnoteRealZchn"/>
        </w:rPr>
        <w:instrText xml:space="preserve"> NOTEREF _Ref30504281 \h </w:instrText>
      </w:r>
      <w:r w:rsidR="00CB26D4">
        <w:rPr>
          <w:rStyle w:val="EndnoteRealZchn"/>
        </w:rPr>
        <w:instrText xml:space="preserve"> \* MERGEFORMAT </w:instrText>
      </w:r>
      <w:r w:rsidR="00CB26D4" w:rsidRPr="00CB26D4">
        <w:rPr>
          <w:rStyle w:val="EndnoteRealZchn"/>
        </w:rPr>
      </w:r>
      <w:r w:rsidR="00CB26D4" w:rsidRPr="00CB26D4">
        <w:rPr>
          <w:rStyle w:val="EndnoteRealZchn"/>
        </w:rPr>
        <w:fldChar w:fldCharType="separate"/>
      </w:r>
      <w:r w:rsidR="001A283B">
        <w:rPr>
          <w:rStyle w:val="EndnoteRealZchn"/>
        </w:rPr>
        <w:t>159</w:t>
      </w:r>
      <w:r w:rsidR="00CB26D4" w:rsidRPr="00CB26D4">
        <w:rPr>
          <w:rStyle w:val="EndnoteRealZchn"/>
        </w:rPr>
        <w:fldChar w:fldCharType="end"/>
      </w:r>
      <w:r w:rsidRPr="00CB26D4">
        <w:rPr>
          <w:rStyle w:val="EndnoteRealZchn"/>
        </w:rPr>
        <w:t xml:space="preserve"> </w:t>
      </w:r>
      <w:r w:rsidR="00CB26D4">
        <w:rPr>
          <w:sz w:val="20"/>
          <w:szCs w:val="20"/>
        </w:rPr>
        <w:fldChar w:fldCharType="begin"/>
      </w:r>
      <w:r w:rsidR="00CB26D4">
        <w:rPr>
          <w:rStyle w:val="EndnoteRealZchn"/>
        </w:rPr>
        <w:instrText xml:space="preserve"> NOTEREF _Ref30504381 \h </w:instrText>
      </w:r>
      <w:r w:rsidR="00CB26D4">
        <w:rPr>
          <w:sz w:val="20"/>
          <w:szCs w:val="20"/>
        </w:rPr>
      </w:r>
      <w:r w:rsidR="00CB26D4">
        <w:rPr>
          <w:sz w:val="20"/>
          <w:szCs w:val="20"/>
        </w:rPr>
        <w:fldChar w:fldCharType="separate"/>
      </w:r>
      <w:r w:rsidR="001A283B">
        <w:rPr>
          <w:rStyle w:val="EndnoteRealZchn"/>
        </w:rPr>
        <w:t>160</w:t>
      </w:r>
      <w:r w:rsidR="00CB26D4">
        <w:rPr>
          <w:sz w:val="20"/>
          <w:szCs w:val="20"/>
        </w:rPr>
        <w:fldChar w:fldCharType="end"/>
      </w:r>
      <w:r w:rsidR="00CB26D4">
        <w:rPr>
          <w:sz w:val="20"/>
          <w:szCs w:val="20"/>
        </w:rPr>
        <w:t xml:space="preserve"> </w:t>
      </w:r>
      <w:r w:rsidR="00CB26D4" w:rsidRPr="00CB26D4">
        <w:rPr>
          <w:rStyle w:val="EndnoteRealZchn"/>
        </w:rPr>
        <w:fldChar w:fldCharType="begin"/>
      </w:r>
      <w:r w:rsidR="00CB26D4" w:rsidRPr="00CB26D4">
        <w:rPr>
          <w:rStyle w:val="EndnoteRealZchn"/>
        </w:rPr>
        <w:instrText xml:space="preserve"> NOTEREF _Ref30504434 \h </w:instrText>
      </w:r>
      <w:r w:rsidR="00CB26D4">
        <w:rPr>
          <w:rStyle w:val="EndnoteRealZchn"/>
        </w:rPr>
        <w:instrText xml:space="preserve"> \* MERGEFORMAT </w:instrText>
      </w:r>
      <w:r w:rsidR="00CB26D4" w:rsidRPr="00CB26D4">
        <w:rPr>
          <w:rStyle w:val="EndnoteRealZchn"/>
        </w:rPr>
      </w:r>
      <w:r w:rsidR="00CB26D4" w:rsidRPr="00CB26D4">
        <w:rPr>
          <w:rStyle w:val="EndnoteRealZchn"/>
        </w:rPr>
        <w:fldChar w:fldCharType="separate"/>
      </w:r>
      <w:r w:rsidR="001A283B">
        <w:rPr>
          <w:rStyle w:val="EndnoteRealZchn"/>
        </w:rPr>
        <w:t>161</w:t>
      </w:r>
      <w:r w:rsidR="00CB26D4" w:rsidRPr="00CB26D4">
        <w:rPr>
          <w:rStyle w:val="EndnoteRealZchn"/>
        </w:rPr>
        <w:fldChar w:fldCharType="end"/>
      </w:r>
      <w:r w:rsidRPr="00207748">
        <w:rPr>
          <w:rFonts w:ascii="Cambria" w:hAnsi="Cambria" w:cs="Arial"/>
          <w:sz w:val="20"/>
          <w:szCs w:val="20"/>
        </w:rPr>
        <w:t xml:space="preserve"> Trotz unserer Empfehlung, von einer längeren systemischen antimikrobiellen Prophylaxe im Allgemeinen abzusehen, könnte eine kurze antibiotische Prophylaxe für spezifische invasive Eingriffe angemessen sein. Außerdem gilt, </w:t>
      </w:r>
      <w:r w:rsidR="008A59B0" w:rsidRPr="00DC4B69">
        <w:rPr>
          <w:rFonts w:ascii="Cambria" w:hAnsi="Cambria" w:cs="Arial"/>
          <w:sz w:val="20"/>
          <w:szCs w:val="20"/>
        </w:rPr>
        <w:t>dass ein</w:t>
      </w:r>
      <w:r w:rsidRPr="00207748">
        <w:rPr>
          <w:rFonts w:ascii="Cambria" w:hAnsi="Cambria" w:cs="Arial"/>
          <w:sz w:val="20"/>
          <w:szCs w:val="20"/>
        </w:rPr>
        <w:t xml:space="preserve"> ein starker Verdacht bezüglich des gleichzeitigen Vorliegens einer Sepsis oder eines septischen Schocks bei Patienten mit einem schweren inflammatorischen Zustand nicht-infektiösen Ursprungs</w:t>
      </w:r>
      <w:r w:rsidR="002B1061">
        <w:rPr>
          <w:rFonts w:ascii="Cambria" w:hAnsi="Cambria" w:cs="Arial"/>
          <w:sz w:val="20"/>
          <w:szCs w:val="20"/>
        </w:rPr>
        <w:t xml:space="preserve"> </w:t>
      </w:r>
      <w:r w:rsidRPr="00207748">
        <w:rPr>
          <w:rFonts w:ascii="Cambria" w:hAnsi="Cambria" w:cs="Arial"/>
          <w:sz w:val="20"/>
          <w:szCs w:val="20"/>
        </w:rPr>
        <w:t xml:space="preserve">eine antimikrobielle Therapie </w:t>
      </w:r>
      <w:r w:rsidR="008A59B0" w:rsidRPr="00DC4B69">
        <w:rPr>
          <w:rFonts w:ascii="Cambria" w:hAnsi="Cambria" w:cs="Arial"/>
          <w:sz w:val="20"/>
          <w:szCs w:val="20"/>
        </w:rPr>
        <w:t>rechtfertigt</w:t>
      </w:r>
      <w:r w:rsidR="007722E3" w:rsidRPr="00207748">
        <w:rPr>
          <w:rFonts w:ascii="Cambria" w:hAnsi="Cambria" w:cs="Arial"/>
          <w:sz w:val="20"/>
          <w:szCs w:val="20"/>
        </w:rPr>
        <w:t>.</w:t>
      </w: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14"/>
        <w:gridCol w:w="1536"/>
        <w:gridCol w:w="883"/>
      </w:tblGrid>
      <w:tr w:rsidR="00E11869" w:rsidRPr="00207748" w14:paraId="78931FBF" w14:textId="77777777" w:rsidTr="00B26F79">
        <w:trPr>
          <w:trHeight w:val="282"/>
        </w:trPr>
        <w:tc>
          <w:tcPr>
            <w:tcW w:w="2208"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229AA5C2"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t>D.6</w:t>
            </w:r>
          </w:p>
        </w:tc>
        <w:tc>
          <w:tcPr>
            <w:tcW w:w="1773"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21D5BA2D"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 xml:space="preserve">Empfehlung </w:t>
            </w:r>
          </w:p>
        </w:tc>
        <w:tc>
          <w:tcPr>
            <w:tcW w:w="1020"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1F541AC1"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2018</w:t>
            </w:r>
          </w:p>
        </w:tc>
      </w:tr>
      <w:tr w:rsidR="00E11869" w:rsidRPr="00207748" w14:paraId="1999A1BF" w14:textId="77777777" w:rsidTr="00B26F79">
        <w:trPr>
          <w:trHeight w:val="2744"/>
        </w:trPr>
        <w:tc>
          <w:tcPr>
            <w:tcW w:w="2208"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35E716"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Expertenkonsens</w:t>
            </w:r>
          </w:p>
        </w:tc>
        <w:tc>
          <w:tcPr>
            <w:tcW w:w="2792"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F04D9" w14:textId="7E541130" w:rsidR="00E11869" w:rsidRPr="00207748" w:rsidRDefault="00447357" w:rsidP="00B26F79">
            <w:pPr>
              <w:spacing w:after="0"/>
              <w:rPr>
                <w:rFonts w:ascii="Cambria" w:hAnsi="Cambria" w:cs="Arial"/>
                <w:sz w:val="20"/>
                <w:szCs w:val="20"/>
              </w:rPr>
            </w:pPr>
            <w:r w:rsidRPr="00207748">
              <w:rPr>
                <w:rFonts w:ascii="Cambria" w:hAnsi="Cambria" w:cs="Arial"/>
                <w:b/>
                <w:bCs/>
                <w:sz w:val="20"/>
                <w:szCs w:val="20"/>
              </w:rPr>
              <w:t>Wir empfehlen, dass die Dosierung der Antiinfektiva basierend auf anerkannten pharmakokinetischen</w:t>
            </w:r>
            <w:r w:rsidR="00B26F79">
              <w:rPr>
                <w:rFonts w:ascii="Cambria" w:hAnsi="Cambria" w:cs="Arial"/>
                <w:b/>
                <w:bCs/>
                <w:sz w:val="20"/>
                <w:szCs w:val="20"/>
              </w:rPr>
              <w:t xml:space="preserve"> </w:t>
            </w:r>
            <w:r w:rsidRPr="00207748">
              <w:rPr>
                <w:rFonts w:ascii="Cambria" w:hAnsi="Cambria" w:cs="Arial"/>
                <w:b/>
                <w:bCs/>
                <w:sz w:val="20"/>
                <w:szCs w:val="20"/>
              </w:rPr>
              <w:t>/pharmakodynamischen Prinzipien und spezifischen Medikamenten</w:t>
            </w:r>
            <w:r w:rsidR="00B26F79">
              <w:rPr>
                <w:rFonts w:ascii="Cambria" w:hAnsi="Cambria" w:cs="Arial"/>
                <w:b/>
                <w:bCs/>
                <w:sz w:val="20"/>
                <w:szCs w:val="20"/>
              </w:rPr>
              <w:t>-</w:t>
            </w:r>
            <w:r w:rsidRPr="00207748">
              <w:rPr>
                <w:rFonts w:ascii="Cambria" w:hAnsi="Cambria" w:cs="Arial"/>
                <w:b/>
                <w:bCs/>
                <w:sz w:val="20"/>
                <w:szCs w:val="20"/>
              </w:rPr>
              <w:t>eigenschaften bei Patienten mit Sepsis oder septischem Schock optimiert wird.</w:t>
            </w:r>
          </w:p>
        </w:tc>
      </w:tr>
      <w:tr w:rsidR="00E11869" w:rsidRPr="00207748" w14:paraId="4CE0248D" w14:textId="77777777" w:rsidTr="00B26F79">
        <w:trPr>
          <w:trHeight w:val="562"/>
        </w:trPr>
        <w:tc>
          <w:tcPr>
            <w:tcW w:w="2208" w:type="pct"/>
            <w:vMerge/>
            <w:tcBorders>
              <w:top w:val="single" w:sz="4" w:space="0" w:color="000000"/>
              <w:left w:val="single" w:sz="4" w:space="0" w:color="000000"/>
              <w:bottom w:val="single" w:sz="4" w:space="0" w:color="000000"/>
              <w:right w:val="single" w:sz="4" w:space="0" w:color="000000"/>
            </w:tcBorders>
            <w:shd w:val="clear" w:color="auto" w:fill="auto"/>
          </w:tcPr>
          <w:p w14:paraId="35DED69B" w14:textId="77777777" w:rsidR="00E11869" w:rsidRPr="00207748" w:rsidRDefault="00E11869" w:rsidP="004454B6">
            <w:pPr>
              <w:rPr>
                <w:rFonts w:ascii="Cambria" w:hAnsi="Cambria" w:cs="Arial"/>
                <w:sz w:val="20"/>
                <w:szCs w:val="20"/>
              </w:rPr>
            </w:pPr>
          </w:p>
        </w:tc>
        <w:tc>
          <w:tcPr>
            <w:tcW w:w="2792"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BD751" w14:textId="77777777" w:rsidR="00E11869" w:rsidRPr="00207748" w:rsidRDefault="00342FB3" w:rsidP="004454B6">
            <w:pPr>
              <w:spacing w:after="0"/>
              <w:rPr>
                <w:rFonts w:ascii="Cambria" w:hAnsi="Cambria" w:cs="Arial"/>
                <w:sz w:val="20"/>
                <w:szCs w:val="20"/>
              </w:rPr>
            </w:pPr>
            <w:r w:rsidRPr="00207748">
              <w:rPr>
                <w:rFonts w:ascii="Cambria" w:hAnsi="Cambria" w:cs="Arial"/>
                <w:b/>
                <w:bCs/>
                <w:sz w:val="20"/>
                <w:szCs w:val="20"/>
              </w:rPr>
              <w:t>SSC-</w:t>
            </w:r>
            <w:r w:rsidR="00447357" w:rsidRPr="00207748">
              <w:rPr>
                <w:rFonts w:ascii="Cambria" w:hAnsi="Cambria" w:cs="Arial"/>
                <w:b/>
                <w:bCs/>
                <w:sz w:val="20"/>
                <w:szCs w:val="20"/>
              </w:rPr>
              <w:t xml:space="preserve">Leitlinienadaptation </w:t>
            </w:r>
          </w:p>
        </w:tc>
      </w:tr>
      <w:tr w:rsidR="00E11869" w:rsidRPr="00207748" w14:paraId="3672362F" w14:textId="77777777" w:rsidTr="00B26F79">
        <w:trPr>
          <w:trHeight w:val="282"/>
        </w:trPr>
        <w:tc>
          <w:tcPr>
            <w:tcW w:w="22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7252A" w14:textId="77777777" w:rsidR="00E11869" w:rsidRPr="00207748" w:rsidRDefault="00E11869" w:rsidP="004454B6">
            <w:pPr>
              <w:rPr>
                <w:rFonts w:ascii="Cambria" w:hAnsi="Cambria" w:cs="Arial"/>
                <w:sz w:val="20"/>
                <w:szCs w:val="20"/>
              </w:rPr>
            </w:pPr>
          </w:p>
        </w:tc>
        <w:tc>
          <w:tcPr>
            <w:tcW w:w="2792"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9A456" w14:textId="77777777" w:rsidR="00E11869" w:rsidRPr="00207748" w:rsidRDefault="00447357" w:rsidP="004454B6">
            <w:pPr>
              <w:spacing w:after="0"/>
              <w:rPr>
                <w:rFonts w:ascii="Cambria" w:hAnsi="Cambria" w:cs="Arial"/>
                <w:sz w:val="20"/>
                <w:szCs w:val="20"/>
              </w:rPr>
            </w:pPr>
            <w:r w:rsidRPr="00207748">
              <w:rPr>
                <w:rFonts w:ascii="Cambria" w:hAnsi="Cambria" w:cs="Arial"/>
                <w:sz w:val="20"/>
                <w:szCs w:val="20"/>
              </w:rPr>
              <w:t>Konsensstärke: 100 %</w:t>
            </w:r>
          </w:p>
        </w:tc>
      </w:tr>
    </w:tbl>
    <w:p w14:paraId="569572BA" w14:textId="20CAE7F7" w:rsidR="00E11869" w:rsidRPr="00207748" w:rsidRDefault="00342FB3" w:rsidP="004454B6">
      <w:pPr>
        <w:spacing w:before="240"/>
        <w:rPr>
          <w:rFonts w:ascii="Cambria" w:eastAsia="Arial" w:hAnsi="Cambria" w:cs="Arial"/>
          <w:spacing w:val="-1"/>
          <w:sz w:val="20"/>
          <w:szCs w:val="20"/>
        </w:rPr>
      </w:pPr>
      <w:r w:rsidRPr="00207748">
        <w:rPr>
          <w:rFonts w:ascii="Cambria" w:hAnsi="Cambria" w:cs="Arial"/>
          <w:b/>
          <w:bCs/>
          <w:sz w:val="20"/>
          <w:szCs w:val="20"/>
        </w:rPr>
        <w:t>Begründung</w:t>
      </w:r>
      <w:r w:rsidR="00447357" w:rsidRPr="00207748">
        <w:rPr>
          <w:rFonts w:ascii="Cambria" w:hAnsi="Cambria" w:cs="Arial"/>
          <w:b/>
          <w:bCs/>
          <w:sz w:val="20"/>
          <w:szCs w:val="20"/>
        </w:rPr>
        <w:t>:</w:t>
      </w:r>
      <w:r w:rsidR="00447357" w:rsidRPr="00207748">
        <w:rPr>
          <w:rFonts w:ascii="Cambria" w:hAnsi="Cambria" w:cs="Arial"/>
          <w:b/>
          <w:bCs/>
          <w:iCs/>
          <w:sz w:val="20"/>
          <w:szCs w:val="20"/>
        </w:rPr>
        <w:t xml:space="preserve"> </w:t>
      </w:r>
      <w:r w:rsidR="00447357" w:rsidRPr="00207748">
        <w:rPr>
          <w:rFonts w:ascii="Cambria" w:hAnsi="Cambria" w:cs="Arial"/>
          <w:sz w:val="20"/>
          <w:szCs w:val="20"/>
        </w:rPr>
        <w:t xml:space="preserve">Eine frühzeitige Optimierung der antimikrobiellen Pharmakokinetik kann das </w:t>
      </w:r>
      <w:r w:rsidR="008A59B0" w:rsidRPr="00DC4B69">
        <w:rPr>
          <w:rFonts w:ascii="Cambria" w:hAnsi="Cambria" w:cs="Arial"/>
          <w:sz w:val="20"/>
          <w:szCs w:val="20"/>
        </w:rPr>
        <w:t>outcome von</w:t>
      </w:r>
      <w:r w:rsidR="00447357" w:rsidRPr="00207748">
        <w:rPr>
          <w:rFonts w:ascii="Cambria" w:hAnsi="Cambria" w:cs="Arial"/>
          <w:sz w:val="20"/>
          <w:szCs w:val="20"/>
        </w:rPr>
        <w:t xml:space="preserve"> Patienten mit einer schweren </w:t>
      </w:r>
      <w:r w:rsidR="00447357" w:rsidRPr="00207748">
        <w:rPr>
          <w:rFonts w:ascii="Cambria" w:hAnsi="Cambria" w:cs="Arial"/>
          <w:spacing w:val="-1"/>
          <w:sz w:val="20"/>
          <w:szCs w:val="20"/>
        </w:rPr>
        <w:t xml:space="preserve">Infektion verbessern. Verschiedene Aspekte sollten </w:t>
      </w:r>
      <w:r w:rsidR="008A59B0" w:rsidRPr="00DC4B69">
        <w:rPr>
          <w:rFonts w:ascii="Cambria" w:hAnsi="Cambria" w:cs="Arial"/>
          <w:spacing w:val="-1"/>
          <w:sz w:val="20"/>
          <w:szCs w:val="20"/>
        </w:rPr>
        <w:t xml:space="preserve">bei der Dosisfindung </w:t>
      </w:r>
      <w:r w:rsidR="00447357" w:rsidRPr="00207748">
        <w:rPr>
          <w:rFonts w:ascii="Cambria" w:hAnsi="Cambria" w:cs="Arial"/>
          <w:spacing w:val="-1"/>
          <w:sz w:val="20"/>
          <w:szCs w:val="20"/>
        </w:rPr>
        <w:t>berücksichtigt werden</w:t>
      </w:r>
      <w:r w:rsidR="00EF1A9E">
        <w:rPr>
          <w:rFonts w:ascii="Cambria" w:hAnsi="Cambria" w:cs="Arial"/>
          <w:spacing w:val="-1"/>
          <w:sz w:val="20"/>
          <w:szCs w:val="20"/>
        </w:rPr>
        <w:t>.</w:t>
      </w:r>
      <w:r w:rsidR="00447357" w:rsidRPr="003A045F">
        <w:rPr>
          <w:rFonts w:ascii="Cambria" w:hAnsi="Cambria" w:cs="Arial"/>
          <w:spacing w:val="-1"/>
          <w:sz w:val="20"/>
          <w:szCs w:val="20"/>
        </w:rPr>
        <w:t xml:space="preserve"> Bei Patienten</w:t>
      </w:r>
      <w:r w:rsidR="008A59B0" w:rsidRPr="00DC4B69">
        <w:rPr>
          <w:rFonts w:ascii="Cambria" w:hAnsi="Cambria" w:cs="Arial"/>
          <w:spacing w:val="-1"/>
          <w:sz w:val="20"/>
          <w:szCs w:val="20"/>
        </w:rPr>
        <w:t xml:space="preserve">mit </w:t>
      </w:r>
      <w:r w:rsidR="00447357" w:rsidRPr="00207748">
        <w:rPr>
          <w:rFonts w:ascii="Cambria" w:hAnsi="Cambria" w:cs="Arial"/>
          <w:spacing w:val="-1"/>
          <w:sz w:val="20"/>
          <w:szCs w:val="20"/>
        </w:rPr>
        <w:t xml:space="preserve">Sepsis </w:t>
      </w:r>
      <w:r w:rsidR="008A59B0" w:rsidRPr="00DC4B69">
        <w:rPr>
          <w:rFonts w:ascii="Cambria" w:hAnsi="Cambria" w:cs="Arial"/>
          <w:spacing w:val="-1"/>
          <w:sz w:val="20"/>
          <w:szCs w:val="20"/>
        </w:rPr>
        <w:t>oder</w:t>
      </w:r>
      <w:r w:rsidR="00447357" w:rsidRPr="00207748">
        <w:rPr>
          <w:rFonts w:ascii="Cambria" w:hAnsi="Cambria" w:cs="Arial"/>
          <w:spacing w:val="-1"/>
          <w:sz w:val="20"/>
          <w:szCs w:val="20"/>
        </w:rPr>
        <w:t xml:space="preserve"> septischem Schock </w:t>
      </w:r>
      <w:r w:rsidR="008A59B0" w:rsidRPr="00DC4B69">
        <w:rPr>
          <w:rFonts w:ascii="Cambria" w:hAnsi="Cambria" w:cs="Arial"/>
          <w:spacing w:val="-1"/>
          <w:sz w:val="20"/>
          <w:szCs w:val="20"/>
        </w:rPr>
        <w:t>liegt häufig eine</w:t>
      </w:r>
      <w:r w:rsidR="002B1061">
        <w:rPr>
          <w:rFonts w:ascii="Cambria" w:hAnsi="Cambria" w:cs="Arial"/>
          <w:spacing w:val="-1"/>
          <w:sz w:val="20"/>
          <w:szCs w:val="20"/>
        </w:rPr>
        <w:t xml:space="preserve"> </w:t>
      </w:r>
      <w:r w:rsidR="00447357" w:rsidRPr="003A045F">
        <w:rPr>
          <w:rFonts w:ascii="Cambria" w:hAnsi="Cambria" w:cs="Arial"/>
          <w:spacing w:val="-1"/>
          <w:sz w:val="20"/>
          <w:szCs w:val="20"/>
        </w:rPr>
        <w:t>hepatische oder renale</w:t>
      </w:r>
      <w:r w:rsidR="00447357" w:rsidRPr="00207748">
        <w:rPr>
          <w:rFonts w:ascii="Cambria" w:hAnsi="Cambria" w:cs="Arial"/>
          <w:spacing w:val="-1"/>
          <w:sz w:val="20"/>
          <w:szCs w:val="20"/>
        </w:rPr>
        <w:t xml:space="preserve"> Dysfunktion</w:t>
      </w:r>
      <w:r w:rsidR="008A59B0" w:rsidRPr="00DC4B69">
        <w:rPr>
          <w:rFonts w:ascii="Cambria" w:hAnsi="Cambria" w:cs="Arial"/>
          <w:spacing w:val="-1"/>
          <w:sz w:val="20"/>
          <w:szCs w:val="20"/>
        </w:rPr>
        <w:t xml:space="preserve"> vor.</w:t>
      </w:r>
      <w:r w:rsidR="00447357" w:rsidRPr="00F31FDD">
        <w:rPr>
          <w:rFonts w:ascii="Cambria" w:hAnsi="Cambria" w:cs="Arial"/>
          <w:spacing w:val="-1"/>
          <w:sz w:val="20"/>
          <w:szCs w:val="20"/>
        </w:rPr>
        <w:t xml:space="preserve"> </w:t>
      </w:r>
      <w:r w:rsidR="008A59B0" w:rsidRPr="00DC4B69">
        <w:rPr>
          <w:rFonts w:ascii="Cambria" w:hAnsi="Cambria" w:cs="Arial"/>
          <w:spacing w:val="-1"/>
          <w:sz w:val="20"/>
          <w:szCs w:val="20"/>
        </w:rPr>
        <w:t>Weiterhin bestehen immunologische Dysfunktionen und</w:t>
      </w:r>
      <w:r w:rsidR="002B1061">
        <w:rPr>
          <w:rFonts w:ascii="Cambria" w:hAnsi="Cambria" w:cs="Arial"/>
          <w:spacing w:val="-1"/>
          <w:sz w:val="20"/>
          <w:szCs w:val="20"/>
        </w:rPr>
        <w:t xml:space="preserve"> </w:t>
      </w:r>
      <w:r w:rsidR="00447357" w:rsidRPr="00207748">
        <w:rPr>
          <w:rFonts w:ascii="Cambria" w:hAnsi="Cambria" w:cs="Arial"/>
          <w:spacing w:val="-1"/>
          <w:sz w:val="20"/>
          <w:szCs w:val="20"/>
        </w:rPr>
        <w:t xml:space="preserve">und eine </w:t>
      </w:r>
      <w:r w:rsidR="008A59B0" w:rsidRPr="00DC4B69">
        <w:rPr>
          <w:rFonts w:ascii="Cambria" w:hAnsi="Cambria" w:cs="Arial"/>
          <w:spacing w:val="-1"/>
          <w:sz w:val="20"/>
          <w:szCs w:val="20"/>
        </w:rPr>
        <w:t xml:space="preserve">erhöhte </w:t>
      </w:r>
      <w:r w:rsidR="00447357" w:rsidRPr="00207748">
        <w:rPr>
          <w:rFonts w:ascii="Cambria" w:hAnsi="Cambria" w:cs="Arial"/>
          <w:spacing w:val="-1"/>
          <w:sz w:val="20"/>
          <w:szCs w:val="20"/>
        </w:rPr>
        <w:t xml:space="preserve">Prädisposition in Bezug auf Infektionen mit resistenten Organismen. Wahrscheinlich am wichtigsten in Bezug auf die initiale </w:t>
      </w:r>
      <w:r w:rsidR="00447357" w:rsidRPr="00207748">
        <w:rPr>
          <w:rFonts w:ascii="Cambria" w:hAnsi="Cambria" w:cs="Arial"/>
          <w:spacing w:val="-1"/>
          <w:sz w:val="20"/>
          <w:szCs w:val="20"/>
        </w:rPr>
        <w:lastRenderedPageBreak/>
        <w:t xml:space="preserve">antimikrobielle Dosierung ist ein erhöhtes Distributionsvolumen für die meisten </w:t>
      </w:r>
      <w:r w:rsidR="00447357" w:rsidRPr="003A045F">
        <w:rPr>
          <w:rFonts w:ascii="Cambria" w:hAnsi="Cambria" w:cs="Arial"/>
          <w:spacing w:val="-1"/>
          <w:sz w:val="20"/>
          <w:szCs w:val="20"/>
        </w:rPr>
        <w:t>Antibiotika</w:t>
      </w:r>
      <w:r w:rsidR="00447357" w:rsidRPr="00207748">
        <w:rPr>
          <w:rFonts w:ascii="Cambria" w:hAnsi="Cambria" w:cs="Arial"/>
          <w:spacing w:val="-1"/>
          <w:sz w:val="20"/>
          <w:szCs w:val="20"/>
        </w:rPr>
        <w:t xml:space="preserve">, was teilweise auf die schnelle Expansion des extrazellulären Volumens als Folge einer aggressiven Flüssigkeitstherapie zurückzuführen ist. Dies führt zu einer unerwartet hohen Häufigkeit von suboptimalen Medikamentenkonzentrationen bei einem großen Spektrum von </w:t>
      </w:r>
      <w:r w:rsidR="00447357" w:rsidRPr="003A045F">
        <w:rPr>
          <w:rFonts w:ascii="Cambria" w:hAnsi="Cambria" w:cs="Arial"/>
          <w:spacing w:val="-1"/>
          <w:sz w:val="20"/>
          <w:szCs w:val="20"/>
        </w:rPr>
        <w:t>Antibiotika.</w:t>
      </w:r>
    </w:p>
    <w:p w14:paraId="3E5F389D" w14:textId="06A5629A" w:rsidR="00E11869" w:rsidRPr="00207748" w:rsidRDefault="00447357" w:rsidP="004454B6">
      <w:pPr>
        <w:rPr>
          <w:rFonts w:ascii="Cambria" w:eastAsia="Arial" w:hAnsi="Cambria" w:cs="Arial"/>
          <w:spacing w:val="-1"/>
          <w:sz w:val="20"/>
          <w:szCs w:val="20"/>
        </w:rPr>
      </w:pPr>
      <w:r w:rsidRPr="003A045F">
        <w:rPr>
          <w:rFonts w:ascii="Cambria" w:hAnsi="Cambria" w:cs="Arial"/>
          <w:spacing w:val="-1"/>
          <w:sz w:val="20"/>
          <w:szCs w:val="20"/>
        </w:rPr>
        <w:t>Antibiotika</w:t>
      </w:r>
      <w:r w:rsidRPr="00207748">
        <w:rPr>
          <w:rFonts w:ascii="Cambria" w:hAnsi="Cambria" w:cs="Arial"/>
          <w:spacing w:val="-1"/>
          <w:sz w:val="20"/>
          <w:szCs w:val="20"/>
        </w:rPr>
        <w:t xml:space="preserve"> haben unterschiedliche Plasma-Zielwerte, die </w:t>
      </w:r>
      <w:r w:rsidR="00B06955" w:rsidRPr="00DC4B69">
        <w:rPr>
          <w:rFonts w:ascii="Cambria" w:hAnsi="Cambria" w:cs="Arial"/>
          <w:spacing w:val="-1"/>
          <w:sz w:val="20"/>
          <w:szCs w:val="20"/>
        </w:rPr>
        <w:t>anzustreben</w:t>
      </w:r>
      <w:r w:rsidRPr="00207748">
        <w:rPr>
          <w:rFonts w:ascii="Cambria" w:hAnsi="Cambria" w:cs="Arial"/>
          <w:spacing w:val="-1"/>
          <w:sz w:val="20"/>
          <w:szCs w:val="20"/>
        </w:rPr>
        <w:t xml:space="preserve"> sind. </w:t>
      </w:r>
      <w:r w:rsidR="00B06955" w:rsidRPr="00DC4B69">
        <w:rPr>
          <w:rFonts w:ascii="Cambria" w:hAnsi="Cambria" w:cs="Arial"/>
          <w:spacing w:val="-1"/>
          <w:sz w:val="20"/>
          <w:szCs w:val="20"/>
        </w:rPr>
        <w:t>Das</w:t>
      </w:r>
      <w:r w:rsidRPr="00207748">
        <w:rPr>
          <w:rFonts w:ascii="Cambria" w:hAnsi="Cambria" w:cs="Arial"/>
          <w:spacing w:val="-1"/>
          <w:sz w:val="20"/>
          <w:szCs w:val="20"/>
        </w:rPr>
        <w:t xml:space="preserve"> Nicht-Erreichen </w:t>
      </w:r>
      <w:r w:rsidR="00B06955" w:rsidRPr="00DC4B69">
        <w:rPr>
          <w:rFonts w:ascii="Cambria" w:hAnsi="Cambria" w:cs="Arial"/>
          <w:spacing w:val="-1"/>
          <w:sz w:val="20"/>
          <w:szCs w:val="20"/>
        </w:rPr>
        <w:t>von</w:t>
      </w:r>
      <w:r w:rsidRPr="00207748">
        <w:rPr>
          <w:rFonts w:ascii="Cambria" w:hAnsi="Cambria" w:cs="Arial"/>
          <w:spacing w:val="-1"/>
          <w:sz w:val="20"/>
          <w:szCs w:val="20"/>
        </w:rPr>
        <w:t xml:space="preserve"> maximalen Plasma-</w:t>
      </w:r>
      <w:r w:rsidRPr="003A045F">
        <w:rPr>
          <w:rFonts w:ascii="Cambria" w:hAnsi="Cambria" w:cs="Arial"/>
          <w:spacing w:val="-1"/>
          <w:sz w:val="20"/>
          <w:szCs w:val="20"/>
        </w:rPr>
        <w:t>Zielwerte</w:t>
      </w:r>
      <w:r w:rsidR="006A789A" w:rsidRPr="00DC4B69">
        <w:rPr>
          <w:rFonts w:ascii="Cambria" w:hAnsi="Cambria" w:cs="Arial"/>
          <w:spacing w:val="-1"/>
          <w:sz w:val="20"/>
          <w:szCs w:val="20"/>
        </w:rPr>
        <w:t>n</w:t>
      </w:r>
      <w:r w:rsidRPr="00207748">
        <w:rPr>
          <w:rFonts w:ascii="Cambria" w:hAnsi="Cambria" w:cs="Arial"/>
          <w:spacing w:val="-1"/>
          <w:sz w:val="20"/>
          <w:szCs w:val="20"/>
        </w:rPr>
        <w:t xml:space="preserve"> bei der </w:t>
      </w:r>
      <w:r w:rsidR="006A789A" w:rsidRPr="00DC4B69">
        <w:rPr>
          <w:rFonts w:ascii="Cambria" w:hAnsi="Cambria" w:cs="Arial"/>
          <w:spacing w:val="-1"/>
          <w:sz w:val="20"/>
          <w:szCs w:val="20"/>
        </w:rPr>
        <w:t>Inititaldosis</w:t>
      </w:r>
      <w:r w:rsidRPr="00207748">
        <w:rPr>
          <w:rFonts w:ascii="Cambria" w:hAnsi="Cambria" w:cs="Arial"/>
          <w:spacing w:val="-1"/>
          <w:sz w:val="20"/>
          <w:szCs w:val="20"/>
        </w:rPr>
        <w:t xml:space="preserve"> wurde mit einem </w:t>
      </w:r>
      <w:r w:rsidR="006A789A" w:rsidRPr="00DC4B69">
        <w:rPr>
          <w:rFonts w:ascii="Cambria" w:hAnsi="Cambria" w:cs="Arial"/>
          <w:spacing w:val="-1"/>
          <w:sz w:val="20"/>
          <w:szCs w:val="20"/>
        </w:rPr>
        <w:t>Therapieversagen von</w:t>
      </w:r>
      <w:r w:rsidR="002B1061">
        <w:rPr>
          <w:rFonts w:ascii="Cambria" w:hAnsi="Cambria" w:cs="Arial"/>
          <w:spacing w:val="-1"/>
          <w:sz w:val="20"/>
          <w:szCs w:val="20"/>
        </w:rPr>
        <w:t xml:space="preserve"> </w:t>
      </w:r>
      <w:r w:rsidRPr="003A045F">
        <w:rPr>
          <w:rFonts w:ascii="Cambria" w:hAnsi="Cambria" w:cs="Arial"/>
          <w:spacing w:val="-1"/>
          <w:sz w:val="20"/>
          <w:szCs w:val="20"/>
        </w:rPr>
        <w:t>Aminoglycoside</w:t>
      </w:r>
      <w:r w:rsidR="006A789A" w:rsidRPr="00DC4B69">
        <w:rPr>
          <w:rFonts w:ascii="Cambria" w:hAnsi="Cambria" w:cs="Arial"/>
          <w:spacing w:val="-1"/>
          <w:sz w:val="20"/>
          <w:szCs w:val="20"/>
        </w:rPr>
        <w:t>n</w:t>
      </w:r>
      <w:r w:rsidRPr="003A045F">
        <w:rPr>
          <w:rFonts w:ascii="Cambria" w:hAnsi="Cambria" w:cs="Arial"/>
          <w:spacing w:val="-1"/>
          <w:sz w:val="20"/>
          <w:szCs w:val="20"/>
        </w:rPr>
        <w:t xml:space="preserve"> </w:t>
      </w:r>
      <w:r w:rsidR="006A789A" w:rsidRPr="00DC4B69">
        <w:rPr>
          <w:rFonts w:ascii="Cambria" w:hAnsi="Cambria" w:cs="Arial"/>
          <w:spacing w:val="-1"/>
          <w:sz w:val="20"/>
          <w:szCs w:val="20"/>
        </w:rPr>
        <w:t>nachgewiesen</w:t>
      </w:r>
      <w:r w:rsidRPr="003A045F">
        <w:rPr>
          <w:rFonts w:ascii="Cambria" w:hAnsi="Cambria" w:cs="Arial"/>
          <w:spacing w:val="-1"/>
          <w:sz w:val="20"/>
          <w:szCs w:val="20"/>
        </w:rPr>
        <w:t>.</w:t>
      </w:r>
      <w:r w:rsidRPr="00207748">
        <w:rPr>
          <w:rFonts w:ascii="Cambria" w:hAnsi="Cambria" w:cs="Arial"/>
          <w:spacing w:val="-1"/>
          <w:sz w:val="20"/>
          <w:szCs w:val="20"/>
        </w:rPr>
        <w:t xml:space="preserve"> </w:t>
      </w:r>
      <w:r w:rsidRPr="00207748">
        <w:rPr>
          <w:rFonts w:ascii="Cambria" w:eastAsia="Arial" w:hAnsi="Cambria" w:cs="Arial"/>
          <w:spacing w:val="-1"/>
          <w:sz w:val="20"/>
          <w:szCs w:val="20"/>
          <w:vertAlign w:val="superscript"/>
        </w:rPr>
        <w:endnoteReference w:id="155"/>
      </w:r>
      <w:r w:rsidRPr="00207748">
        <w:rPr>
          <w:rFonts w:ascii="Cambria" w:hAnsi="Cambria" w:cs="Arial"/>
          <w:spacing w:val="-1"/>
          <w:sz w:val="20"/>
          <w:szCs w:val="20"/>
        </w:rPr>
        <w:t xml:space="preserve"> Ebenso wird </w:t>
      </w:r>
      <w:r w:rsidRPr="003A045F">
        <w:rPr>
          <w:rFonts w:ascii="Cambria" w:hAnsi="Cambria" w:cs="Arial"/>
          <w:spacing w:val="-1"/>
          <w:sz w:val="20"/>
          <w:szCs w:val="20"/>
        </w:rPr>
        <w:t>ein</w:t>
      </w:r>
      <w:r w:rsidRPr="00F31FDD">
        <w:rPr>
          <w:rFonts w:ascii="Cambria" w:hAnsi="Cambria" w:cs="Arial"/>
          <w:spacing w:val="-1"/>
          <w:sz w:val="20"/>
          <w:szCs w:val="20"/>
        </w:rPr>
        <w:t xml:space="preserve"> unzureichende</w:t>
      </w:r>
      <w:r w:rsidR="00EF12F9" w:rsidRPr="00DC4B69">
        <w:rPr>
          <w:rFonts w:ascii="Cambria" w:hAnsi="Cambria" w:cs="Arial"/>
          <w:spacing w:val="-1"/>
          <w:sz w:val="20"/>
          <w:szCs w:val="20"/>
        </w:rPr>
        <w:t>r</w:t>
      </w:r>
      <w:r w:rsidRPr="003A045F">
        <w:rPr>
          <w:rFonts w:ascii="Cambria" w:hAnsi="Cambria" w:cs="Arial"/>
          <w:spacing w:val="-1"/>
          <w:sz w:val="20"/>
          <w:szCs w:val="20"/>
        </w:rPr>
        <w:t xml:space="preserve"> früh</w:t>
      </w:r>
      <w:r w:rsidR="00EF12F9" w:rsidRPr="00DC4B69">
        <w:rPr>
          <w:rFonts w:ascii="Cambria" w:hAnsi="Cambria" w:cs="Arial"/>
          <w:spacing w:val="-1"/>
          <w:sz w:val="20"/>
          <w:szCs w:val="20"/>
        </w:rPr>
        <w:t>er</w:t>
      </w:r>
      <w:r w:rsidRPr="003A045F">
        <w:rPr>
          <w:rFonts w:ascii="Cambria" w:hAnsi="Cambria" w:cs="Arial"/>
          <w:spacing w:val="-1"/>
          <w:sz w:val="20"/>
          <w:szCs w:val="20"/>
        </w:rPr>
        <w:t xml:space="preserve"> </w:t>
      </w:r>
      <w:r w:rsidR="00EF12F9" w:rsidRPr="00DC4B69">
        <w:rPr>
          <w:rFonts w:ascii="Cambria" w:hAnsi="Cambria" w:cs="Arial"/>
          <w:spacing w:val="-1"/>
          <w:sz w:val="20"/>
          <w:szCs w:val="20"/>
        </w:rPr>
        <w:t xml:space="preserve">Talspiegel von </w:t>
      </w:r>
      <w:r w:rsidRPr="003A045F">
        <w:rPr>
          <w:rFonts w:ascii="Cambria" w:hAnsi="Cambria" w:cs="Arial"/>
          <w:spacing w:val="-1"/>
          <w:sz w:val="20"/>
          <w:szCs w:val="20"/>
        </w:rPr>
        <w:t>Vancomycin</w:t>
      </w:r>
      <w:r w:rsidRPr="00207748">
        <w:rPr>
          <w:rFonts w:ascii="Cambria" w:hAnsi="Cambria" w:cs="Arial"/>
          <w:spacing w:val="-1"/>
          <w:sz w:val="20"/>
          <w:szCs w:val="20"/>
        </w:rPr>
        <w:t xml:space="preserve"> in Bezug auf den Spitzenplasmaspiegel (im Verhältnis zur Minimalen Hemmstoffkonzentration (MHK)/ Minimal Inhibition Concentration (MIC)) mit einem klinischen Versagen bei schweren MRSA-Infektionen in Zusammenhang gebracht</w:t>
      </w:r>
      <w:r w:rsidRPr="00207748">
        <w:rPr>
          <w:rFonts w:ascii="Cambria" w:eastAsia="Arial" w:hAnsi="Cambria" w:cs="Arial"/>
          <w:spacing w:val="-1"/>
          <w:sz w:val="20"/>
          <w:szCs w:val="20"/>
          <w:vertAlign w:val="superscript"/>
        </w:rPr>
        <w:endnoteReference w:id="156"/>
      </w:r>
      <w:r w:rsidRPr="00207748">
        <w:rPr>
          <w:rFonts w:ascii="Cambria" w:hAnsi="Cambria" w:cs="Arial"/>
          <w:spacing w:val="-1"/>
          <w:sz w:val="20"/>
          <w:szCs w:val="20"/>
        </w:rPr>
        <w:t xml:space="preserve"> (einschließlich nosokomialer Pneumonie</w:t>
      </w:r>
      <w:r w:rsidRPr="00207748">
        <w:rPr>
          <w:rFonts w:ascii="Cambria" w:eastAsia="Arial" w:hAnsi="Cambria" w:cs="Arial"/>
          <w:spacing w:val="-1"/>
          <w:sz w:val="20"/>
          <w:szCs w:val="20"/>
          <w:vertAlign w:val="superscript"/>
        </w:rPr>
        <w:endnoteReference w:id="157"/>
      </w:r>
      <w:r w:rsidR="002B1061">
        <w:rPr>
          <w:rFonts w:ascii="Cambria" w:hAnsi="Cambria" w:cs="Arial"/>
          <w:spacing w:val="-1"/>
          <w:sz w:val="20"/>
          <w:szCs w:val="20"/>
        </w:rPr>
        <w:t xml:space="preserve"> </w:t>
      </w:r>
      <w:r w:rsidRPr="00207748">
        <w:rPr>
          <w:rFonts w:ascii="Cambria" w:hAnsi="Cambria" w:cs="Arial"/>
          <w:spacing w:val="-1"/>
          <w:sz w:val="20"/>
          <w:szCs w:val="20"/>
        </w:rPr>
        <w:t>und septischem Schock</w:t>
      </w:r>
      <w:r w:rsidRPr="00207748">
        <w:rPr>
          <w:rFonts w:ascii="Cambria" w:eastAsia="Arial" w:hAnsi="Cambria" w:cs="Arial"/>
          <w:spacing w:val="-1"/>
          <w:sz w:val="20"/>
          <w:szCs w:val="20"/>
          <w:vertAlign w:val="superscript"/>
        </w:rPr>
        <w:endnoteReference w:id="158"/>
      </w:r>
      <w:r w:rsidRPr="00207748">
        <w:rPr>
          <w:rFonts w:ascii="Cambria" w:hAnsi="Cambria" w:cs="Arial"/>
          <w:spacing w:val="-1"/>
          <w:sz w:val="20"/>
          <w:szCs w:val="20"/>
        </w:rPr>
        <w:t xml:space="preserve">). Die klinische Erfolgsrate </w:t>
      </w:r>
      <w:r w:rsidR="006A789A" w:rsidRPr="00DC4B69">
        <w:rPr>
          <w:rFonts w:ascii="Cambria" w:hAnsi="Cambria" w:cs="Arial"/>
          <w:spacing w:val="-1"/>
          <w:sz w:val="20"/>
          <w:szCs w:val="20"/>
        </w:rPr>
        <w:t>bei der</w:t>
      </w:r>
      <w:r w:rsidR="002B1061">
        <w:rPr>
          <w:rFonts w:ascii="Cambria" w:hAnsi="Cambria" w:cs="Arial"/>
          <w:spacing w:val="-1"/>
          <w:sz w:val="20"/>
          <w:szCs w:val="20"/>
        </w:rPr>
        <w:t xml:space="preserve">  </w:t>
      </w:r>
      <w:r w:rsidRPr="00207748">
        <w:rPr>
          <w:rFonts w:ascii="Cambria" w:hAnsi="Cambria" w:cs="Arial"/>
          <w:spacing w:val="-1"/>
          <w:sz w:val="20"/>
          <w:szCs w:val="20"/>
        </w:rPr>
        <w:t xml:space="preserve">Behandlung </w:t>
      </w:r>
      <w:r w:rsidRPr="00F31FDD">
        <w:rPr>
          <w:rFonts w:ascii="Cambria" w:hAnsi="Cambria" w:cs="Arial"/>
          <w:spacing w:val="-1"/>
          <w:sz w:val="20"/>
          <w:szCs w:val="20"/>
        </w:rPr>
        <w:t>schwere</w:t>
      </w:r>
      <w:r w:rsidR="006A789A" w:rsidRPr="00DC4B69">
        <w:rPr>
          <w:rFonts w:ascii="Cambria" w:hAnsi="Cambria" w:cs="Arial"/>
          <w:spacing w:val="-1"/>
          <w:sz w:val="20"/>
          <w:szCs w:val="20"/>
        </w:rPr>
        <w:t>r</w:t>
      </w:r>
      <w:r w:rsidRPr="00207748">
        <w:rPr>
          <w:rFonts w:ascii="Cambria" w:hAnsi="Cambria" w:cs="Arial"/>
          <w:spacing w:val="-1"/>
          <w:sz w:val="20"/>
          <w:szCs w:val="20"/>
        </w:rPr>
        <w:t xml:space="preserve"> Infektionen korreliert mit einem höheren Spitzenwert für die Blutkonzentration (im Verhältnis zur Pathogen-MIC) der Fluorchinolone (nosokomiale Pneumonie und andere schwere Infektionen) </w:t>
      </w:r>
      <w:r w:rsidRPr="00207748">
        <w:rPr>
          <w:rFonts w:ascii="Cambria" w:eastAsia="Arial" w:hAnsi="Cambria" w:cs="Arial"/>
          <w:spacing w:val="-1"/>
          <w:sz w:val="20"/>
          <w:szCs w:val="20"/>
          <w:vertAlign w:val="superscript"/>
        </w:rPr>
        <w:endnoteReference w:id="159"/>
      </w:r>
      <w:r w:rsidRPr="00207748">
        <w:rPr>
          <w:rFonts w:ascii="Cambria" w:hAnsi="Cambria" w:cs="Arial"/>
          <w:spacing w:val="-1"/>
          <w:sz w:val="20"/>
          <w:szCs w:val="20"/>
        </w:rPr>
        <w:t xml:space="preserve"> </w:t>
      </w:r>
      <w:r w:rsidRPr="00207748">
        <w:rPr>
          <w:rFonts w:ascii="Cambria" w:eastAsia="Arial" w:hAnsi="Cambria" w:cs="Arial"/>
          <w:spacing w:val="-1"/>
          <w:sz w:val="20"/>
          <w:szCs w:val="20"/>
          <w:vertAlign w:val="superscript"/>
        </w:rPr>
        <w:endnoteReference w:id="160"/>
      </w:r>
      <w:r w:rsidRPr="00207748">
        <w:rPr>
          <w:rFonts w:ascii="Cambria" w:hAnsi="Cambria" w:cs="Arial"/>
          <w:spacing w:val="-1"/>
          <w:sz w:val="20"/>
          <w:szCs w:val="20"/>
        </w:rPr>
        <w:t xml:space="preserve"> </w:t>
      </w:r>
      <w:r w:rsidRPr="00207748">
        <w:rPr>
          <w:rFonts w:ascii="Cambria" w:eastAsia="Arial" w:hAnsi="Cambria" w:cs="Arial"/>
          <w:spacing w:val="-1"/>
          <w:sz w:val="20"/>
          <w:szCs w:val="20"/>
          <w:vertAlign w:val="superscript"/>
        </w:rPr>
        <w:endnoteReference w:id="161"/>
      </w:r>
      <w:r w:rsidRPr="00207748">
        <w:rPr>
          <w:rFonts w:ascii="Cambria" w:hAnsi="Cambria" w:cs="Arial"/>
          <w:spacing w:val="-1"/>
          <w:sz w:val="20"/>
          <w:szCs w:val="20"/>
        </w:rPr>
        <w:t xml:space="preserve"> und Aminoglycoside (gram-negative Bakteriämie, nosokomiale Pneumonie und andere schwere Infektionen). </w:t>
      </w:r>
      <w:r w:rsidRPr="00207748">
        <w:rPr>
          <w:rFonts w:ascii="Cambria" w:eastAsia="Arial" w:hAnsi="Cambria" w:cs="Arial"/>
          <w:spacing w:val="-1"/>
          <w:sz w:val="20"/>
          <w:szCs w:val="20"/>
          <w:vertAlign w:val="superscript"/>
        </w:rPr>
        <w:endnoteReference w:id="162"/>
      </w:r>
      <w:r w:rsidRPr="00207748">
        <w:rPr>
          <w:rFonts w:ascii="Cambria" w:hAnsi="Cambria" w:cs="Arial"/>
          <w:spacing w:val="-1"/>
          <w:sz w:val="20"/>
          <w:szCs w:val="20"/>
        </w:rPr>
        <w:t xml:space="preserve"> Bei ß-Laktamen scheinen überlegene klinische und mikrobiologische </w:t>
      </w:r>
      <w:r w:rsidR="006A789A" w:rsidRPr="00DC4B69">
        <w:rPr>
          <w:rFonts w:ascii="Cambria" w:hAnsi="Cambria" w:cs="Arial"/>
          <w:spacing w:val="-1"/>
          <w:sz w:val="20"/>
          <w:szCs w:val="20"/>
        </w:rPr>
        <w:t>Erfolgsraten</w:t>
      </w:r>
      <w:r w:rsidRPr="00207748">
        <w:rPr>
          <w:rFonts w:ascii="Cambria" w:hAnsi="Cambria" w:cs="Arial"/>
          <w:spacing w:val="-1"/>
          <w:sz w:val="20"/>
          <w:szCs w:val="20"/>
        </w:rPr>
        <w:t xml:space="preserve"> mit einer längeren Dauer in Bezug auf höhere Plasmaspiegel im Verhältnis zur Pathogen-MIC verbunden zu sein, was insbesondere kritisch erkrankte Patienten betrifft.</w:t>
      </w:r>
      <w:r w:rsidRPr="00207748">
        <w:rPr>
          <w:rFonts w:ascii="Cambria" w:eastAsia="Arial" w:hAnsi="Cambria" w:cs="Arial"/>
          <w:spacing w:val="-1"/>
          <w:sz w:val="20"/>
          <w:szCs w:val="20"/>
          <w:vertAlign w:val="superscript"/>
        </w:rPr>
        <w:endnoteReference w:id="163"/>
      </w:r>
      <w:r w:rsidRPr="00207748">
        <w:rPr>
          <w:rFonts w:ascii="Cambria" w:hAnsi="Cambria" w:cs="Arial"/>
          <w:spacing w:val="-1"/>
          <w:sz w:val="20"/>
          <w:szCs w:val="20"/>
        </w:rPr>
        <w:t xml:space="preserve"> </w:t>
      </w:r>
      <w:r w:rsidRPr="00207748">
        <w:rPr>
          <w:rFonts w:ascii="Cambria" w:eastAsia="Arial" w:hAnsi="Cambria" w:cs="Arial"/>
          <w:spacing w:val="-1"/>
          <w:sz w:val="20"/>
          <w:szCs w:val="20"/>
          <w:vertAlign w:val="superscript"/>
        </w:rPr>
        <w:endnoteReference w:id="164"/>
      </w:r>
      <w:r w:rsidRPr="00207748">
        <w:rPr>
          <w:rFonts w:ascii="Cambria" w:hAnsi="Cambria" w:cs="Arial"/>
          <w:spacing w:val="-1"/>
          <w:sz w:val="20"/>
          <w:szCs w:val="20"/>
        </w:rPr>
        <w:t xml:space="preserve"> </w:t>
      </w:r>
      <w:r w:rsidRPr="00207748">
        <w:rPr>
          <w:rFonts w:ascii="Cambria" w:eastAsia="Arial" w:hAnsi="Cambria" w:cs="Arial"/>
          <w:spacing w:val="-1"/>
          <w:sz w:val="20"/>
          <w:szCs w:val="20"/>
          <w:vertAlign w:val="superscript"/>
        </w:rPr>
        <w:endnoteReference w:id="165"/>
      </w:r>
      <w:r w:rsidRPr="00207748">
        <w:rPr>
          <w:rFonts w:ascii="Cambria" w:hAnsi="Cambria" w:cs="Arial"/>
          <w:spacing w:val="-1"/>
          <w:sz w:val="20"/>
          <w:szCs w:val="20"/>
        </w:rPr>
        <w:t xml:space="preserve"> </w:t>
      </w:r>
      <w:bookmarkStart w:id="371" w:name="_Ref30504557"/>
      <w:r w:rsidRPr="00207748">
        <w:rPr>
          <w:rFonts w:ascii="Cambria" w:eastAsia="Arial" w:hAnsi="Cambria" w:cs="Arial"/>
          <w:spacing w:val="-1"/>
          <w:sz w:val="20"/>
          <w:szCs w:val="20"/>
          <w:vertAlign w:val="superscript"/>
        </w:rPr>
        <w:endnoteReference w:id="166"/>
      </w:r>
      <w:bookmarkEnd w:id="371"/>
    </w:p>
    <w:p w14:paraId="660BC037" w14:textId="5F6EECDC" w:rsidR="00E11869" w:rsidRPr="00207748" w:rsidRDefault="00447357" w:rsidP="004454B6">
      <w:pPr>
        <w:rPr>
          <w:rFonts w:ascii="Cambria" w:eastAsia="Arial" w:hAnsi="Cambria" w:cs="Arial"/>
          <w:spacing w:val="-2"/>
          <w:sz w:val="20"/>
          <w:szCs w:val="20"/>
        </w:rPr>
      </w:pPr>
      <w:r w:rsidRPr="00207748">
        <w:rPr>
          <w:rFonts w:ascii="Cambria" w:hAnsi="Cambria" w:cs="Arial"/>
          <w:spacing w:val="-2"/>
          <w:sz w:val="20"/>
          <w:szCs w:val="20"/>
        </w:rPr>
        <w:t xml:space="preserve">Die optimale Dosierungsstrategie für Aminoglycoside und Fluorchinolone beinhaltet eine Optimierung der Plasma-Spitzenwerte. Bei Aminoglycosiden kann dies am einfachsten durch eine </w:t>
      </w:r>
      <w:r w:rsidRPr="003A045F">
        <w:rPr>
          <w:rFonts w:ascii="Cambria" w:hAnsi="Cambria" w:cs="Arial"/>
          <w:spacing w:val="-2"/>
          <w:sz w:val="20"/>
          <w:szCs w:val="20"/>
        </w:rPr>
        <w:t>einmal</w:t>
      </w:r>
      <w:r w:rsidR="006A789A" w:rsidRPr="00DC4B69">
        <w:rPr>
          <w:rFonts w:ascii="Cambria" w:hAnsi="Cambria" w:cs="Arial"/>
          <w:spacing w:val="-2"/>
          <w:sz w:val="20"/>
          <w:szCs w:val="20"/>
        </w:rPr>
        <w:t>ige</w:t>
      </w:r>
      <w:r w:rsidRPr="00207748">
        <w:rPr>
          <w:rFonts w:ascii="Cambria" w:hAnsi="Cambria" w:cs="Arial"/>
          <w:spacing w:val="-2"/>
          <w:sz w:val="20"/>
          <w:szCs w:val="20"/>
        </w:rPr>
        <w:t xml:space="preserve"> tägliche Dosisgabe (5-7 mg/kg tägliche Gentamicin-Äquivalentdosis) erreicht werden. Die einmal tägliche Dosisgabe führt zumindest zu einer vergleichbaren klinischen Wirksamkeit bei möglicherweise reduzierter renaler Toxizität im Vergleich zur mehrmals täglichen Dosisgabe.</w:t>
      </w:r>
      <w:r w:rsidRPr="00207748">
        <w:rPr>
          <w:rFonts w:ascii="Cambria" w:eastAsia="Arial" w:hAnsi="Cambria" w:cs="Arial"/>
          <w:spacing w:val="-2"/>
          <w:sz w:val="20"/>
          <w:szCs w:val="20"/>
          <w:vertAlign w:val="superscript"/>
        </w:rPr>
        <w:endnoteReference w:id="167"/>
      </w:r>
      <w:r w:rsidRPr="00207748">
        <w:rPr>
          <w:rFonts w:ascii="Cambria" w:hAnsi="Cambria" w:cs="Arial"/>
          <w:spacing w:val="-2"/>
          <w:sz w:val="20"/>
          <w:szCs w:val="20"/>
        </w:rPr>
        <w:t xml:space="preserve"> </w:t>
      </w:r>
      <w:r w:rsidRPr="00207748">
        <w:rPr>
          <w:rFonts w:ascii="Cambria" w:eastAsia="Arial" w:hAnsi="Cambria" w:cs="Arial"/>
          <w:spacing w:val="-2"/>
          <w:sz w:val="20"/>
          <w:szCs w:val="20"/>
          <w:vertAlign w:val="superscript"/>
        </w:rPr>
        <w:endnoteReference w:id="168"/>
      </w:r>
      <w:r w:rsidRPr="00207748">
        <w:rPr>
          <w:rFonts w:ascii="Cambria" w:hAnsi="Cambria" w:cs="Arial"/>
          <w:spacing w:val="-2"/>
          <w:sz w:val="20"/>
          <w:szCs w:val="20"/>
        </w:rPr>
        <w:t xml:space="preserve"> Die einmal tägliche </w:t>
      </w:r>
      <w:r w:rsidRPr="00207748">
        <w:rPr>
          <w:rFonts w:ascii="Cambria" w:hAnsi="Cambria" w:cs="Arial"/>
          <w:spacing w:val="-2"/>
          <w:sz w:val="20"/>
          <w:szCs w:val="20"/>
        </w:rPr>
        <w:lastRenderedPageBreak/>
        <w:t xml:space="preserve">Dosisgabe von Aminoglycosiden wird bei Patienten mit erhaltener Nierenfunktion genutzt. Patienten mit einer leichten chronischen Beeinträchtigung der Nierenfunktion sollten dennoch eine einmal tägliche Äquivalentdosis erhalten, wobei bei </w:t>
      </w:r>
      <w:r w:rsidR="006A789A" w:rsidRPr="00DC4B69">
        <w:rPr>
          <w:rFonts w:ascii="Cambria" w:hAnsi="Cambria" w:cs="Arial"/>
          <w:spacing w:val="-2"/>
          <w:sz w:val="20"/>
          <w:szCs w:val="20"/>
        </w:rPr>
        <w:t>diesen Patienten</w:t>
      </w:r>
      <w:r w:rsidR="002B1061">
        <w:rPr>
          <w:rFonts w:ascii="Cambria" w:hAnsi="Cambria" w:cs="Arial"/>
          <w:spacing w:val="-2"/>
          <w:sz w:val="20"/>
          <w:szCs w:val="20"/>
        </w:rPr>
        <w:t xml:space="preserve"> </w:t>
      </w:r>
      <w:r w:rsidR="006A789A" w:rsidRPr="00DC4B69">
        <w:rPr>
          <w:rFonts w:ascii="Cambria" w:hAnsi="Cambria" w:cs="Arial"/>
          <w:spacing w:val="-2"/>
          <w:sz w:val="20"/>
          <w:szCs w:val="20"/>
        </w:rPr>
        <w:t>üblicher</w:t>
      </w:r>
      <w:r w:rsidRPr="003A045F">
        <w:rPr>
          <w:rFonts w:ascii="Cambria" w:hAnsi="Cambria" w:cs="Arial"/>
          <w:spacing w:val="-2"/>
          <w:sz w:val="20"/>
          <w:szCs w:val="20"/>
        </w:rPr>
        <w:t>weise</w:t>
      </w:r>
      <w:r w:rsidRPr="00207748">
        <w:rPr>
          <w:rFonts w:ascii="Cambria" w:hAnsi="Cambria" w:cs="Arial"/>
          <w:spacing w:val="-2"/>
          <w:sz w:val="20"/>
          <w:szCs w:val="20"/>
        </w:rPr>
        <w:t xml:space="preserve"> ein größerer Zeitraum (von bis zu drei Tagen) ohne Dosisgabe vor der nächsten Dosis eingehalten wird. Dieses Dosierungsschema sollte nicht bei Patienten mit schwerer Beeinträchtigung der Nierenfunktion genutzt werden, bei denen keine </w:t>
      </w:r>
      <w:r w:rsidR="00EC3DBA" w:rsidRPr="00207748">
        <w:rPr>
          <w:rFonts w:ascii="Cambria" w:hAnsi="Cambria" w:cs="Arial"/>
          <w:spacing w:val="-2"/>
          <w:sz w:val="20"/>
          <w:szCs w:val="20"/>
        </w:rPr>
        <w:t>Ausscheidung</w:t>
      </w:r>
      <w:r w:rsidRPr="00207748">
        <w:rPr>
          <w:rFonts w:ascii="Cambria" w:hAnsi="Cambria" w:cs="Arial"/>
          <w:spacing w:val="-2"/>
          <w:sz w:val="20"/>
          <w:szCs w:val="20"/>
        </w:rPr>
        <w:t xml:space="preserve"> der Aminoglycoside innerhalb von wenigen Tagen zu erwarten ist. </w:t>
      </w:r>
      <w:r w:rsidRPr="003A045F">
        <w:rPr>
          <w:rFonts w:ascii="Cambria" w:hAnsi="Cambria" w:cs="Arial"/>
          <w:spacing w:val="-2"/>
          <w:sz w:val="20"/>
          <w:szCs w:val="20"/>
        </w:rPr>
        <w:t>D</w:t>
      </w:r>
      <w:r w:rsidR="005956DD" w:rsidRPr="00DC4B69">
        <w:rPr>
          <w:rFonts w:ascii="Cambria" w:hAnsi="Cambria" w:cs="Arial"/>
          <w:spacing w:val="-2"/>
          <w:sz w:val="20"/>
          <w:szCs w:val="20"/>
        </w:rPr>
        <w:t>as</w:t>
      </w:r>
      <w:r w:rsidRPr="00207748">
        <w:rPr>
          <w:rFonts w:ascii="Cambria" w:hAnsi="Cambria" w:cs="Arial"/>
          <w:spacing w:val="-2"/>
          <w:sz w:val="20"/>
          <w:szCs w:val="20"/>
        </w:rPr>
        <w:t xml:space="preserve"> therapeutische </w:t>
      </w:r>
      <w:r w:rsidR="005956DD" w:rsidRPr="00DC4B69">
        <w:rPr>
          <w:rFonts w:ascii="Cambria" w:hAnsi="Cambria" w:cs="Arial"/>
          <w:spacing w:val="-2"/>
          <w:sz w:val="20"/>
          <w:szCs w:val="20"/>
        </w:rPr>
        <w:t>Drug Monitoring</w:t>
      </w:r>
      <w:r w:rsidR="002B1061">
        <w:rPr>
          <w:rFonts w:ascii="Cambria" w:hAnsi="Cambria" w:cs="Arial"/>
          <w:spacing w:val="-2"/>
          <w:sz w:val="20"/>
          <w:szCs w:val="20"/>
        </w:rPr>
        <w:t xml:space="preserve"> </w:t>
      </w:r>
      <w:r w:rsidRPr="00207748">
        <w:rPr>
          <w:rFonts w:ascii="Cambria" w:hAnsi="Cambria" w:cs="Arial"/>
          <w:spacing w:val="-2"/>
          <w:sz w:val="20"/>
          <w:szCs w:val="20"/>
        </w:rPr>
        <w:t xml:space="preserve">der Aminoglycoside in diesem Kontext soll hauptsächlich sicherstellen, dass die </w:t>
      </w:r>
      <w:r w:rsidRPr="003A045F">
        <w:rPr>
          <w:rFonts w:ascii="Cambria" w:hAnsi="Cambria" w:cs="Arial"/>
          <w:spacing w:val="-2"/>
          <w:sz w:val="20"/>
          <w:szCs w:val="20"/>
        </w:rPr>
        <w:t>T</w:t>
      </w:r>
      <w:r w:rsidR="00EF12F9" w:rsidRPr="00DC4B69">
        <w:rPr>
          <w:rFonts w:ascii="Cambria" w:hAnsi="Cambria" w:cs="Arial"/>
          <w:spacing w:val="-2"/>
          <w:sz w:val="20"/>
          <w:szCs w:val="20"/>
        </w:rPr>
        <w:t>alspiegel</w:t>
      </w:r>
      <w:r w:rsidRPr="00207748">
        <w:rPr>
          <w:rFonts w:ascii="Cambria" w:hAnsi="Cambria" w:cs="Arial"/>
          <w:spacing w:val="-2"/>
          <w:sz w:val="20"/>
          <w:szCs w:val="20"/>
        </w:rPr>
        <w:t xml:space="preserve"> ausreichend gering sind, um das Potenzial für eine renale Toxizität zu minimieren. In Bezug auf die Fluorchinolone </w:t>
      </w:r>
      <w:r w:rsidR="00EF12F9" w:rsidRPr="00DC4B69">
        <w:rPr>
          <w:rFonts w:ascii="Cambria" w:hAnsi="Cambria" w:cs="Arial"/>
          <w:spacing w:val="-2"/>
          <w:sz w:val="20"/>
          <w:szCs w:val="20"/>
        </w:rPr>
        <w:t>ist</w:t>
      </w:r>
      <w:r w:rsidRPr="00207748">
        <w:rPr>
          <w:rFonts w:ascii="Cambria" w:hAnsi="Cambria" w:cs="Arial"/>
          <w:spacing w:val="-2"/>
          <w:sz w:val="20"/>
          <w:szCs w:val="20"/>
        </w:rPr>
        <w:t xml:space="preserve"> ein Ansatz, der die Dosis innerhalb eines nicht-toxischen Bereichs optimiert (z.B. Ciprofloxacin, 600 mg alle 12 Stunden oder Levofloxacin, 750 mg alle</w:t>
      </w:r>
      <w:r w:rsidRPr="00207748">
        <w:rPr>
          <w:rFonts w:ascii="Cambria" w:hAnsi="Cambria" w:cs="Arial"/>
          <w:sz w:val="20"/>
          <w:szCs w:val="20"/>
        </w:rPr>
        <w:t xml:space="preserve"> 24 Stunden, ausgehend von einer erhaltenen Nierenfunktion) </w:t>
      </w:r>
      <w:r w:rsidR="00EF12F9" w:rsidRPr="00DC4B69">
        <w:rPr>
          <w:rFonts w:ascii="Cambria" w:hAnsi="Cambria" w:cs="Arial"/>
          <w:sz w:val="20"/>
          <w:szCs w:val="20"/>
        </w:rPr>
        <w:t>mit einem verbesserten</w:t>
      </w:r>
      <w:r w:rsidR="002B1061">
        <w:rPr>
          <w:rFonts w:ascii="Cambria" w:hAnsi="Cambria" w:cs="Arial"/>
          <w:sz w:val="20"/>
          <w:szCs w:val="20"/>
        </w:rPr>
        <w:t xml:space="preserve"> </w:t>
      </w:r>
      <w:r w:rsidRPr="00207748">
        <w:rPr>
          <w:rFonts w:ascii="Cambria" w:hAnsi="Cambria" w:cs="Arial"/>
          <w:sz w:val="20"/>
          <w:szCs w:val="20"/>
        </w:rPr>
        <w:t xml:space="preserve">mikrobiologischen und klinischen </w:t>
      </w:r>
      <w:r w:rsidR="00EF12F9" w:rsidRPr="00DC4B69">
        <w:rPr>
          <w:rFonts w:ascii="Cambria" w:hAnsi="Cambria" w:cs="Arial"/>
          <w:sz w:val="20"/>
          <w:szCs w:val="20"/>
        </w:rPr>
        <w:t>Therapieerfolg verbunden</w:t>
      </w:r>
      <w:r w:rsidRPr="00207748">
        <w:rPr>
          <w:rFonts w:ascii="Cambria" w:hAnsi="Cambria" w:cs="Arial"/>
          <w:sz w:val="20"/>
          <w:szCs w:val="20"/>
        </w:rPr>
        <w:t>.</w:t>
      </w:r>
      <w:r w:rsidRPr="00207748">
        <w:rPr>
          <w:rFonts w:ascii="Cambria" w:eastAsia="Arial" w:hAnsi="Cambria" w:cs="Arial"/>
          <w:sz w:val="20"/>
          <w:szCs w:val="20"/>
          <w:vertAlign w:val="superscript"/>
        </w:rPr>
        <w:endnoteReference w:id="169"/>
      </w:r>
      <w:r w:rsidRPr="00207748">
        <w:rPr>
          <w:rFonts w:ascii="Cambria" w:hAnsi="Cambria" w:cs="Arial"/>
          <w:sz w:val="20"/>
          <w:szCs w:val="20"/>
        </w:rPr>
        <w:t xml:space="preserve"> </w:t>
      </w:r>
      <w:r w:rsidRPr="00207748">
        <w:rPr>
          <w:rFonts w:ascii="Cambria" w:eastAsia="Arial" w:hAnsi="Cambria" w:cs="Arial"/>
          <w:sz w:val="20"/>
          <w:szCs w:val="20"/>
          <w:vertAlign w:val="superscript"/>
        </w:rPr>
        <w:endnoteReference w:id="170"/>
      </w:r>
      <w:r w:rsidRPr="00207748">
        <w:rPr>
          <w:rFonts w:ascii="Cambria" w:hAnsi="Cambria" w:cs="Arial"/>
          <w:sz w:val="20"/>
          <w:szCs w:val="20"/>
        </w:rPr>
        <w:t xml:space="preserve"> </w:t>
      </w:r>
      <w:r w:rsidRPr="00207748">
        <w:rPr>
          <w:rFonts w:ascii="Cambria" w:eastAsia="Arial" w:hAnsi="Cambria" w:cs="Arial"/>
          <w:sz w:val="20"/>
          <w:szCs w:val="20"/>
          <w:vertAlign w:val="superscript"/>
        </w:rPr>
        <w:endnoteReference w:id="171"/>
      </w:r>
    </w:p>
    <w:p w14:paraId="6BD9EE5F" w14:textId="6823A232" w:rsidR="00E11869" w:rsidRPr="00207748" w:rsidRDefault="00447357" w:rsidP="004454B6">
      <w:pPr>
        <w:rPr>
          <w:rFonts w:ascii="Cambria" w:eastAsia="Arial" w:hAnsi="Cambria" w:cs="Arial"/>
          <w:spacing w:val="-3"/>
          <w:sz w:val="20"/>
          <w:szCs w:val="20"/>
        </w:rPr>
      </w:pPr>
      <w:r w:rsidRPr="00207748">
        <w:rPr>
          <w:rFonts w:ascii="Cambria" w:hAnsi="Cambria" w:cs="Arial"/>
          <w:spacing w:val="-3"/>
          <w:sz w:val="20"/>
          <w:szCs w:val="20"/>
        </w:rPr>
        <w:t xml:space="preserve">Vancomycin ist ein </w:t>
      </w:r>
      <w:r w:rsidR="00EF12F9" w:rsidRPr="00DC4B69">
        <w:rPr>
          <w:rFonts w:ascii="Cambria" w:hAnsi="Cambria" w:cs="Arial"/>
          <w:spacing w:val="-3"/>
          <w:sz w:val="20"/>
          <w:szCs w:val="20"/>
        </w:rPr>
        <w:t>weiteres</w:t>
      </w:r>
      <w:r w:rsidRPr="00207748">
        <w:rPr>
          <w:rFonts w:ascii="Cambria" w:hAnsi="Cambria" w:cs="Arial"/>
          <w:spacing w:val="-3"/>
          <w:sz w:val="20"/>
          <w:szCs w:val="20"/>
        </w:rPr>
        <w:t xml:space="preserve"> Antibiotikum, dessen Wirksamkeit zumindest teilweise konzentrationsabhängig ist. Die Dosierung mit einem </w:t>
      </w:r>
      <w:r w:rsidR="00EF12F9" w:rsidRPr="00DC4B69">
        <w:rPr>
          <w:rFonts w:ascii="Cambria" w:hAnsi="Cambria" w:cs="Arial"/>
          <w:spacing w:val="-3"/>
          <w:sz w:val="20"/>
          <w:szCs w:val="20"/>
        </w:rPr>
        <w:t>Talspiegel</w:t>
      </w:r>
      <w:r w:rsidRPr="00207748">
        <w:rPr>
          <w:rFonts w:ascii="Cambria" w:hAnsi="Cambria" w:cs="Arial"/>
          <w:spacing w:val="-3"/>
          <w:sz w:val="20"/>
          <w:szCs w:val="20"/>
        </w:rPr>
        <w:t xml:space="preserve"> von 15-20 mg/l wird von </w:t>
      </w:r>
      <w:r w:rsidR="00EF12F9" w:rsidRPr="00DC4B69">
        <w:rPr>
          <w:rFonts w:ascii="Cambria" w:hAnsi="Cambria" w:cs="Arial"/>
          <w:spacing w:val="-3"/>
          <w:sz w:val="20"/>
          <w:szCs w:val="20"/>
        </w:rPr>
        <w:t>Experten</w:t>
      </w:r>
      <w:r w:rsidRPr="00207748">
        <w:rPr>
          <w:rFonts w:ascii="Cambria" w:hAnsi="Cambria" w:cs="Arial"/>
          <w:spacing w:val="-3"/>
          <w:sz w:val="20"/>
          <w:szCs w:val="20"/>
        </w:rPr>
        <w:t xml:space="preserve"> empfohlen, um die Wahrscheinlichkeit des Erreichens angemessener pharmakodynamischer Ziele zu maximieren, die Gewebepenetration zu verbessern und die klinischen Ergebnisse zu optimieren.</w:t>
      </w:r>
      <w:r w:rsidRPr="00207748">
        <w:rPr>
          <w:rFonts w:ascii="Cambria" w:eastAsia="Arial" w:hAnsi="Cambria" w:cs="Arial"/>
          <w:spacing w:val="-3"/>
          <w:sz w:val="20"/>
          <w:szCs w:val="20"/>
          <w:vertAlign w:val="superscript"/>
        </w:rPr>
        <w:endnoteReference w:id="172"/>
      </w:r>
      <w:r w:rsidRPr="00207748">
        <w:rPr>
          <w:rFonts w:ascii="Cambria" w:hAnsi="Cambria" w:cs="Arial"/>
          <w:spacing w:val="-3"/>
          <w:sz w:val="20"/>
          <w:szCs w:val="20"/>
        </w:rPr>
        <w:t xml:space="preserve"> </w:t>
      </w:r>
      <w:r w:rsidRPr="00207748">
        <w:rPr>
          <w:rFonts w:ascii="Cambria" w:eastAsia="Arial" w:hAnsi="Cambria" w:cs="Arial"/>
          <w:spacing w:val="-3"/>
          <w:sz w:val="20"/>
          <w:szCs w:val="20"/>
          <w:vertAlign w:val="superscript"/>
        </w:rPr>
        <w:endnoteReference w:id="173"/>
      </w:r>
      <w:r w:rsidRPr="00207748">
        <w:rPr>
          <w:rFonts w:ascii="Cambria" w:hAnsi="Cambria" w:cs="Arial"/>
          <w:spacing w:val="-3"/>
          <w:sz w:val="20"/>
          <w:szCs w:val="20"/>
        </w:rPr>
        <w:t xml:space="preserve"> </w:t>
      </w:r>
      <w:r w:rsidRPr="00207748">
        <w:rPr>
          <w:rFonts w:ascii="Cambria" w:eastAsia="Arial" w:hAnsi="Cambria" w:cs="Arial"/>
          <w:spacing w:val="-3"/>
          <w:sz w:val="20"/>
          <w:szCs w:val="20"/>
          <w:vertAlign w:val="superscript"/>
        </w:rPr>
        <w:endnoteReference w:id="174"/>
      </w:r>
      <w:r w:rsidRPr="00207748">
        <w:rPr>
          <w:rFonts w:ascii="Cambria" w:hAnsi="Cambria" w:cs="Arial"/>
          <w:spacing w:val="-3"/>
          <w:sz w:val="20"/>
          <w:szCs w:val="20"/>
        </w:rPr>
        <w:t xml:space="preserve"> </w:t>
      </w:r>
      <w:r w:rsidRPr="003A045F">
        <w:rPr>
          <w:rFonts w:ascii="Cambria" w:hAnsi="Cambria" w:cs="Arial"/>
          <w:spacing w:val="-3"/>
          <w:sz w:val="20"/>
          <w:szCs w:val="20"/>
        </w:rPr>
        <w:t>Ein</w:t>
      </w:r>
      <w:r w:rsidR="00EF12F9" w:rsidRPr="00DC4B69">
        <w:rPr>
          <w:rFonts w:ascii="Cambria" w:hAnsi="Cambria" w:cs="Arial"/>
          <w:spacing w:val="-3"/>
          <w:sz w:val="20"/>
          <w:szCs w:val="20"/>
        </w:rPr>
        <w:t xml:space="preserve"> Monitoring</w:t>
      </w:r>
      <w:r w:rsidRPr="00207748">
        <w:rPr>
          <w:rFonts w:ascii="Cambria" w:hAnsi="Cambria" w:cs="Arial"/>
          <w:spacing w:val="-3"/>
          <w:sz w:val="20"/>
          <w:szCs w:val="20"/>
        </w:rPr>
        <w:t xml:space="preserve"> der </w:t>
      </w:r>
      <w:r w:rsidR="00EF12F9" w:rsidRPr="00DC4B69">
        <w:rPr>
          <w:rFonts w:ascii="Cambria" w:hAnsi="Cambria" w:cs="Arial"/>
          <w:spacing w:val="-3"/>
          <w:sz w:val="20"/>
          <w:szCs w:val="20"/>
        </w:rPr>
        <w:t>Talspiegel</w:t>
      </w:r>
      <w:r w:rsidRPr="00207748">
        <w:rPr>
          <w:rFonts w:ascii="Cambria" w:hAnsi="Cambria" w:cs="Arial"/>
          <w:spacing w:val="-3"/>
          <w:sz w:val="20"/>
          <w:szCs w:val="20"/>
        </w:rPr>
        <w:t xml:space="preserve"> vor der </w:t>
      </w:r>
      <w:r w:rsidR="00EF12F9" w:rsidRPr="00DC4B69">
        <w:rPr>
          <w:rFonts w:ascii="Cambria" w:hAnsi="Cambria" w:cs="Arial"/>
          <w:spacing w:val="-3"/>
          <w:sz w:val="20"/>
          <w:szCs w:val="20"/>
        </w:rPr>
        <w:t xml:space="preserve">nächsten </w:t>
      </w:r>
      <w:r w:rsidRPr="00207748">
        <w:rPr>
          <w:rFonts w:ascii="Cambria" w:hAnsi="Cambria" w:cs="Arial"/>
          <w:spacing w:val="-3"/>
          <w:sz w:val="20"/>
          <w:szCs w:val="20"/>
        </w:rPr>
        <w:t xml:space="preserve">Dosisgabe wird empfohlen. Bei Sepsis und septischem Schock wird eine intravenöse Sättigungsdosis von 25-30 mg/kg (basierend auf dem tatsächlichen Körpergewicht) vorgeschlagen, um schnell die </w:t>
      </w:r>
      <w:r w:rsidR="00EF12F9" w:rsidRPr="00DC4B69">
        <w:rPr>
          <w:rFonts w:ascii="Cambria" w:hAnsi="Cambria" w:cs="Arial"/>
          <w:spacing w:val="-3"/>
          <w:sz w:val="20"/>
          <w:szCs w:val="20"/>
        </w:rPr>
        <w:t>avisierten Talspiegel</w:t>
      </w:r>
      <w:r w:rsidR="002B1061">
        <w:rPr>
          <w:rFonts w:ascii="Cambria" w:hAnsi="Cambria" w:cs="Arial"/>
          <w:spacing w:val="-3"/>
          <w:sz w:val="20"/>
          <w:szCs w:val="20"/>
        </w:rPr>
        <w:t xml:space="preserve"> </w:t>
      </w:r>
      <w:r w:rsidRPr="00207748">
        <w:rPr>
          <w:rFonts w:ascii="Cambria" w:hAnsi="Cambria" w:cs="Arial"/>
          <w:spacing w:val="-3"/>
          <w:sz w:val="20"/>
          <w:szCs w:val="20"/>
        </w:rPr>
        <w:t xml:space="preserve">zu erreichen. Eine </w:t>
      </w:r>
      <w:r w:rsidR="00EF12F9" w:rsidRPr="00DC4B69">
        <w:rPr>
          <w:rFonts w:ascii="Cambria" w:hAnsi="Cambria" w:cs="Arial"/>
          <w:spacing w:val="-3"/>
          <w:sz w:val="20"/>
          <w:szCs w:val="20"/>
        </w:rPr>
        <w:t>Aufs</w:t>
      </w:r>
      <w:r w:rsidRPr="003A045F">
        <w:rPr>
          <w:rFonts w:ascii="Cambria" w:hAnsi="Cambria" w:cs="Arial"/>
          <w:spacing w:val="-3"/>
          <w:sz w:val="20"/>
          <w:szCs w:val="20"/>
        </w:rPr>
        <w:t xml:space="preserve">ättigungsdosis </w:t>
      </w:r>
      <w:r w:rsidR="003A045F" w:rsidRPr="00DC4B69">
        <w:rPr>
          <w:rFonts w:ascii="Cambria" w:hAnsi="Cambria" w:cs="Arial"/>
          <w:spacing w:val="-3"/>
          <w:sz w:val="20"/>
          <w:szCs w:val="20"/>
        </w:rPr>
        <w:t>(loading dose)</w:t>
      </w:r>
      <w:r w:rsidRPr="00207748">
        <w:rPr>
          <w:rFonts w:ascii="Cambria" w:hAnsi="Cambria" w:cs="Arial"/>
          <w:spacing w:val="-3"/>
          <w:sz w:val="20"/>
          <w:szCs w:val="20"/>
        </w:rPr>
        <w:t xml:space="preserve"> von 1 Gramm Vancomycin wird die frühzeitigen therapeutischen Konzentrationen bei einer signifikanten Untergruppe der Patienten nicht erreichen können. Tatsächlich sind </w:t>
      </w:r>
      <w:r w:rsidR="003A045F" w:rsidRPr="00DC4B69">
        <w:rPr>
          <w:rFonts w:ascii="Cambria" w:hAnsi="Cambria" w:cs="Arial"/>
          <w:spacing w:val="-3"/>
          <w:sz w:val="20"/>
          <w:szCs w:val="20"/>
        </w:rPr>
        <w:t>Aufs</w:t>
      </w:r>
      <w:r w:rsidRPr="003A045F">
        <w:rPr>
          <w:rFonts w:ascii="Cambria" w:hAnsi="Cambria" w:cs="Arial"/>
          <w:spacing w:val="-3"/>
          <w:sz w:val="20"/>
          <w:szCs w:val="20"/>
        </w:rPr>
        <w:t>ättigungsdosen</w:t>
      </w:r>
      <w:r w:rsidRPr="00207748">
        <w:rPr>
          <w:rFonts w:ascii="Cambria" w:hAnsi="Cambria" w:cs="Arial"/>
          <w:spacing w:val="-3"/>
          <w:sz w:val="20"/>
          <w:szCs w:val="20"/>
        </w:rPr>
        <w:t xml:space="preserve"> von </w:t>
      </w:r>
      <w:r w:rsidRPr="003A045F">
        <w:rPr>
          <w:rFonts w:ascii="Cambria" w:hAnsi="Cambria" w:cs="Arial"/>
          <w:spacing w:val="-3"/>
          <w:sz w:val="20"/>
          <w:szCs w:val="20"/>
        </w:rPr>
        <w:t>Antibiotika</w:t>
      </w:r>
      <w:r w:rsidRPr="00207748">
        <w:rPr>
          <w:rFonts w:ascii="Cambria" w:hAnsi="Cambria" w:cs="Arial"/>
          <w:spacing w:val="-3"/>
          <w:sz w:val="20"/>
          <w:szCs w:val="20"/>
        </w:rPr>
        <w:t xml:space="preserve"> mit niedrigem Distributionsvolumen (Teicoplanin, Vancomycin, Colistin) bei kritisch </w:t>
      </w:r>
      <w:r w:rsidR="00EF12F9" w:rsidRPr="00DC4B69">
        <w:rPr>
          <w:rFonts w:ascii="Cambria" w:hAnsi="Cambria" w:cs="Arial"/>
          <w:spacing w:val="-3"/>
          <w:sz w:val="20"/>
          <w:szCs w:val="20"/>
        </w:rPr>
        <w:t>kranken</w:t>
      </w:r>
      <w:r w:rsidR="002B1061">
        <w:rPr>
          <w:rFonts w:ascii="Cambria" w:hAnsi="Cambria" w:cs="Arial"/>
          <w:spacing w:val="-3"/>
          <w:sz w:val="20"/>
          <w:szCs w:val="20"/>
        </w:rPr>
        <w:t xml:space="preserve"> </w:t>
      </w:r>
      <w:r w:rsidRPr="00207748">
        <w:rPr>
          <w:rFonts w:ascii="Cambria" w:hAnsi="Cambria" w:cs="Arial"/>
          <w:spacing w:val="-3"/>
          <w:sz w:val="20"/>
          <w:szCs w:val="20"/>
        </w:rPr>
        <w:t xml:space="preserve">Patienten </w:t>
      </w:r>
      <w:r w:rsidRPr="00207748">
        <w:rPr>
          <w:rFonts w:ascii="Cambria" w:hAnsi="Cambria" w:cs="Arial"/>
          <w:spacing w:val="-3"/>
          <w:sz w:val="20"/>
          <w:szCs w:val="20"/>
        </w:rPr>
        <w:lastRenderedPageBreak/>
        <w:t>gerechtfertigt, um schneller therapeutische Medikamentenkonzentrationen zu erreichen, was auf deren erweitertes extrazelluläres Volumen im Zusammenhang mit der Volumenexpansion nach der Flüssigkeitstherapie zurückzuführen ist.</w:t>
      </w:r>
      <w:r w:rsidRPr="00207748">
        <w:rPr>
          <w:rFonts w:ascii="Cambria" w:eastAsia="Arial" w:hAnsi="Cambria" w:cs="Arial"/>
          <w:spacing w:val="-3"/>
          <w:sz w:val="20"/>
          <w:szCs w:val="20"/>
          <w:vertAlign w:val="superscript"/>
        </w:rPr>
        <w:endnoteReference w:id="175"/>
      </w:r>
      <w:r w:rsidRPr="00207748">
        <w:rPr>
          <w:rFonts w:ascii="Cambria" w:hAnsi="Cambria" w:cs="Arial"/>
          <w:spacing w:val="-3"/>
          <w:sz w:val="20"/>
          <w:szCs w:val="20"/>
        </w:rPr>
        <w:t xml:space="preserve"> </w:t>
      </w:r>
      <w:r w:rsidRPr="00207748">
        <w:rPr>
          <w:rFonts w:ascii="Cambria" w:eastAsia="Arial" w:hAnsi="Cambria" w:cs="Arial"/>
          <w:spacing w:val="-3"/>
          <w:sz w:val="20"/>
          <w:szCs w:val="20"/>
          <w:vertAlign w:val="superscript"/>
        </w:rPr>
        <w:endnoteReference w:id="176"/>
      </w:r>
      <w:r w:rsidRPr="00207748">
        <w:rPr>
          <w:rFonts w:ascii="Cambria" w:hAnsi="Cambria" w:cs="Arial"/>
          <w:spacing w:val="-3"/>
          <w:sz w:val="20"/>
          <w:szCs w:val="20"/>
        </w:rPr>
        <w:t xml:space="preserve"> </w:t>
      </w:r>
      <w:r w:rsidRPr="00207748">
        <w:rPr>
          <w:rFonts w:ascii="Cambria" w:eastAsia="Arial" w:hAnsi="Cambria" w:cs="Arial"/>
          <w:spacing w:val="-3"/>
          <w:sz w:val="20"/>
          <w:szCs w:val="20"/>
          <w:vertAlign w:val="superscript"/>
        </w:rPr>
        <w:endnoteReference w:id="177"/>
      </w:r>
      <w:r w:rsidRPr="00207748">
        <w:rPr>
          <w:rFonts w:ascii="Cambria" w:hAnsi="Cambria" w:cs="Arial"/>
          <w:spacing w:val="-3"/>
          <w:sz w:val="20"/>
          <w:szCs w:val="20"/>
        </w:rPr>
        <w:t xml:space="preserve"> </w:t>
      </w:r>
      <w:r w:rsidRPr="00207748">
        <w:rPr>
          <w:rFonts w:ascii="Cambria" w:eastAsia="Arial" w:hAnsi="Cambria" w:cs="Arial"/>
          <w:spacing w:val="-3"/>
          <w:sz w:val="20"/>
          <w:szCs w:val="20"/>
          <w:vertAlign w:val="superscript"/>
        </w:rPr>
        <w:endnoteReference w:id="178"/>
      </w:r>
      <w:r w:rsidRPr="00207748">
        <w:rPr>
          <w:rFonts w:ascii="Cambria" w:hAnsi="Cambria" w:cs="Arial"/>
          <w:spacing w:val="-3"/>
          <w:sz w:val="20"/>
          <w:szCs w:val="20"/>
        </w:rPr>
        <w:t xml:space="preserve"> </w:t>
      </w:r>
      <w:bookmarkStart w:id="372" w:name="_Ref30585421"/>
      <w:r w:rsidRPr="00207748">
        <w:rPr>
          <w:rFonts w:ascii="Cambria" w:eastAsia="Arial" w:hAnsi="Cambria" w:cs="Arial"/>
          <w:spacing w:val="-3"/>
          <w:sz w:val="20"/>
          <w:szCs w:val="20"/>
          <w:vertAlign w:val="superscript"/>
        </w:rPr>
        <w:endnoteReference w:id="179"/>
      </w:r>
      <w:bookmarkEnd w:id="372"/>
      <w:r w:rsidRPr="00207748">
        <w:rPr>
          <w:rFonts w:ascii="Cambria" w:hAnsi="Cambria" w:cs="Arial"/>
          <w:spacing w:val="-3"/>
          <w:sz w:val="20"/>
          <w:szCs w:val="20"/>
        </w:rPr>
        <w:t xml:space="preserve"> </w:t>
      </w:r>
      <w:r w:rsidR="003A045F" w:rsidRPr="00DC4B69">
        <w:rPr>
          <w:rFonts w:ascii="Cambria" w:hAnsi="Cambria" w:cs="Arial"/>
          <w:spacing w:val="-3"/>
          <w:sz w:val="20"/>
          <w:szCs w:val="20"/>
        </w:rPr>
        <w:t>Aufs</w:t>
      </w:r>
      <w:r w:rsidRPr="003A045F">
        <w:rPr>
          <w:rFonts w:ascii="Cambria" w:hAnsi="Cambria" w:cs="Arial"/>
          <w:spacing w:val="-3"/>
          <w:sz w:val="20"/>
          <w:szCs w:val="20"/>
        </w:rPr>
        <w:t>ättigungsdosen</w:t>
      </w:r>
      <w:r w:rsidRPr="00207748">
        <w:rPr>
          <w:rFonts w:ascii="Cambria" w:hAnsi="Cambria" w:cs="Arial"/>
          <w:spacing w:val="-3"/>
          <w:sz w:val="20"/>
          <w:szCs w:val="20"/>
        </w:rPr>
        <w:t xml:space="preserve"> werden auch für ß-Laktame empfohlen, die als kontinuierliche oder </w:t>
      </w:r>
      <w:r w:rsidRPr="003A045F">
        <w:rPr>
          <w:rFonts w:ascii="Cambria" w:hAnsi="Cambria" w:cs="Arial"/>
          <w:spacing w:val="-3"/>
          <w:sz w:val="20"/>
          <w:szCs w:val="20"/>
        </w:rPr>
        <w:t>langsam</w:t>
      </w:r>
      <w:r w:rsidR="003A045F" w:rsidRPr="00DC4B69">
        <w:rPr>
          <w:rFonts w:ascii="Cambria" w:hAnsi="Cambria" w:cs="Arial"/>
          <w:spacing w:val="-3"/>
          <w:sz w:val="20"/>
          <w:szCs w:val="20"/>
        </w:rPr>
        <w:t xml:space="preserve"> („extended“) verabreicht</w:t>
      </w:r>
      <w:r w:rsidRPr="003A045F">
        <w:rPr>
          <w:rFonts w:ascii="Cambria" w:hAnsi="Cambria" w:cs="Arial"/>
          <w:spacing w:val="-3"/>
          <w:sz w:val="20"/>
          <w:szCs w:val="20"/>
        </w:rPr>
        <w:t>e</w:t>
      </w:r>
      <w:r w:rsidRPr="00207748">
        <w:rPr>
          <w:rFonts w:ascii="Cambria" w:hAnsi="Cambria" w:cs="Arial"/>
          <w:spacing w:val="-3"/>
          <w:sz w:val="20"/>
          <w:szCs w:val="20"/>
        </w:rPr>
        <w:t xml:space="preserve"> Infusionen verabreicht werden, um die Akkumulation des Medikaments in Bezug auf therapeutische Konzentrationen zu beschleunigen.</w:t>
      </w:r>
      <w:r w:rsidRPr="00207748">
        <w:rPr>
          <w:rFonts w:ascii="Cambria" w:eastAsia="Arial" w:hAnsi="Cambria" w:cs="Arial"/>
          <w:spacing w:val="-3"/>
          <w:sz w:val="20"/>
          <w:szCs w:val="20"/>
          <w:vertAlign w:val="superscript"/>
        </w:rPr>
        <w:endnoteReference w:id="180"/>
      </w:r>
      <w:r w:rsidRPr="00207748">
        <w:rPr>
          <w:rFonts w:ascii="Cambria" w:hAnsi="Cambria" w:cs="Arial"/>
          <w:spacing w:val="-3"/>
          <w:sz w:val="20"/>
          <w:szCs w:val="20"/>
        </w:rPr>
        <w:t xml:space="preserve"> Zu beachten ist, dass die erforderliche </w:t>
      </w:r>
      <w:r w:rsidR="003A045F" w:rsidRPr="00DC4B69">
        <w:rPr>
          <w:rFonts w:ascii="Cambria" w:hAnsi="Cambria" w:cs="Arial"/>
          <w:spacing w:val="-3"/>
          <w:sz w:val="20"/>
          <w:szCs w:val="20"/>
        </w:rPr>
        <w:t>Aufs</w:t>
      </w:r>
      <w:r w:rsidRPr="003A045F">
        <w:rPr>
          <w:rFonts w:ascii="Cambria" w:hAnsi="Cambria" w:cs="Arial"/>
          <w:spacing w:val="-3"/>
          <w:sz w:val="20"/>
          <w:szCs w:val="20"/>
        </w:rPr>
        <w:t>ättigungsdosis</w:t>
      </w:r>
      <w:r w:rsidRPr="00207748">
        <w:rPr>
          <w:rFonts w:ascii="Cambria" w:hAnsi="Cambria" w:cs="Arial"/>
          <w:spacing w:val="-3"/>
          <w:sz w:val="20"/>
          <w:szCs w:val="20"/>
        </w:rPr>
        <w:t xml:space="preserve"> von antimikrobiellen Medikamenten nicht durch Änderungen der Nierenfunktion beeinträchtigt wird, obwohl dadurch die Verabreichungshäufigkeit und/oder die tägliche Gesamtdosis beeinflusst werden könnten.</w:t>
      </w:r>
    </w:p>
    <w:p w14:paraId="229A9E09" w14:textId="322F3D5F" w:rsidR="00E11869" w:rsidRPr="00207748" w:rsidRDefault="00447357" w:rsidP="004454B6">
      <w:pPr>
        <w:rPr>
          <w:rFonts w:ascii="Cambria" w:eastAsia="Arial" w:hAnsi="Cambria" w:cs="Arial"/>
          <w:sz w:val="20"/>
          <w:szCs w:val="20"/>
        </w:rPr>
      </w:pPr>
      <w:r w:rsidRPr="00207748">
        <w:rPr>
          <w:rFonts w:ascii="Cambria" w:hAnsi="Cambria" w:cs="Arial"/>
          <w:sz w:val="20"/>
          <w:szCs w:val="20"/>
        </w:rPr>
        <w:t>Bei ß-Laktamen korreliert der wichtigste pharmakodynamische Parameter mit der mikrobiologischen und klinischen Reaktion. Dabei handelt es sich um die Zeit, in der die Plasmakonzentration des Medikaments die Pathogen-MIC im Verhältnis zum Dosisintervall übersteigt (T &gt; MIC). Ein Mindest-Unterschied in Bezug auf T &gt; MIC in Höhe von 60 % ist im Allgemeinen ausreichend, um ein gutes klinisches Ansprechen bei einer leichten bis mittelschweren Erkrankung zu ermöglichen. Ein optimales Ansprechen bei schweren Infektionen einschließlich Sepsis kann jedoch mit einem Unterschied in Bezug auf T &gt; MIC in Höhe von 100 % erreicht werden.</w:t>
      </w:r>
      <w:r w:rsidRPr="00207748">
        <w:rPr>
          <w:rFonts w:ascii="Cambria" w:eastAsia="Arial" w:hAnsi="Cambria" w:cs="Arial"/>
          <w:sz w:val="20"/>
          <w:szCs w:val="20"/>
          <w:vertAlign w:val="superscript"/>
        </w:rPr>
        <w:endnoteReference w:id="181"/>
      </w:r>
      <w:r w:rsidRPr="00207748">
        <w:rPr>
          <w:rFonts w:ascii="Cambria" w:hAnsi="Cambria" w:cs="Arial"/>
          <w:sz w:val="20"/>
          <w:szCs w:val="20"/>
        </w:rPr>
        <w:t xml:space="preserve"> Der einfachste Weg, um einen höheren Unterschied in Bezug auf T &gt; MIC zu erreichen, besteht in einer erhöhten Dosisfrequenz (bei einer identischen täglichen Dosis). Beispielsweise kann Piperacillin/Tazobactam entweder in Höhe von 4,5 g alle 8 Stunden oder 3,375 g alle 6 Stunden </w:t>
      </w:r>
      <w:r w:rsidR="003A045F" w:rsidRPr="00DC4B69">
        <w:rPr>
          <w:rFonts w:ascii="Cambria" w:hAnsi="Cambria" w:cs="Arial"/>
          <w:sz w:val="20"/>
          <w:szCs w:val="20"/>
        </w:rPr>
        <w:t>bei</w:t>
      </w:r>
      <w:r w:rsidR="003A045F" w:rsidRPr="00F31FDD">
        <w:rPr>
          <w:rFonts w:ascii="Cambria" w:hAnsi="Cambria" w:cs="Arial"/>
          <w:sz w:val="20"/>
          <w:szCs w:val="20"/>
        </w:rPr>
        <w:t xml:space="preserve"> </w:t>
      </w:r>
      <w:r w:rsidRPr="00F31FDD">
        <w:rPr>
          <w:rFonts w:ascii="Cambria" w:hAnsi="Cambria" w:cs="Arial"/>
          <w:sz w:val="20"/>
          <w:szCs w:val="20"/>
        </w:rPr>
        <w:t>schwere</w:t>
      </w:r>
      <w:r w:rsidR="003A045F" w:rsidRPr="00DC4B69">
        <w:rPr>
          <w:rFonts w:ascii="Cambria" w:hAnsi="Cambria" w:cs="Arial"/>
          <w:sz w:val="20"/>
          <w:szCs w:val="20"/>
        </w:rPr>
        <w:t>n</w:t>
      </w:r>
      <w:r w:rsidRPr="00207748">
        <w:rPr>
          <w:rFonts w:ascii="Cambria" w:hAnsi="Cambria" w:cs="Arial"/>
          <w:sz w:val="20"/>
          <w:szCs w:val="20"/>
        </w:rPr>
        <w:t xml:space="preserve"> Infektionen dosiert werden. Wenn alle sonstigen Umstände übereinstimmen, würde durch die letztgenannte Dosis ein höherer Unterschied in Bezug auf T &gt; MIC erreicht werden.</w:t>
      </w:r>
    </w:p>
    <w:p w14:paraId="20AD8BEC" w14:textId="3300E0F1" w:rsidR="00E11869" w:rsidRPr="00207748" w:rsidRDefault="00447357" w:rsidP="004454B6">
      <w:pPr>
        <w:rPr>
          <w:rFonts w:ascii="Cambria" w:eastAsia="Arial" w:hAnsi="Cambria" w:cs="Arial"/>
          <w:sz w:val="20"/>
          <w:szCs w:val="20"/>
        </w:rPr>
      </w:pPr>
      <w:r w:rsidRPr="00207748">
        <w:rPr>
          <w:rFonts w:ascii="Cambria" w:hAnsi="Cambria" w:cs="Arial"/>
          <w:sz w:val="20"/>
          <w:szCs w:val="20"/>
        </w:rPr>
        <w:t xml:space="preserve">Wir haben zuvor vorgeschlagen, dass initiale Dosen an ß-Laktamen als Bolus oder </w:t>
      </w:r>
      <w:r w:rsidR="003A045F" w:rsidRPr="00DC4B69">
        <w:rPr>
          <w:rFonts w:ascii="Cambria" w:hAnsi="Cambria" w:cs="Arial"/>
          <w:sz w:val="20"/>
          <w:szCs w:val="20"/>
        </w:rPr>
        <w:t>Kurz</w:t>
      </w:r>
      <w:r w:rsidR="003A045F" w:rsidRPr="00F31FDD">
        <w:rPr>
          <w:rFonts w:ascii="Cambria" w:hAnsi="Cambria" w:cs="Arial"/>
          <w:sz w:val="20"/>
          <w:szCs w:val="20"/>
        </w:rPr>
        <w:t>infektion</w:t>
      </w:r>
      <w:r w:rsidRPr="00207748">
        <w:rPr>
          <w:rFonts w:ascii="Cambria" w:hAnsi="Cambria" w:cs="Arial"/>
          <w:sz w:val="20"/>
          <w:szCs w:val="20"/>
        </w:rPr>
        <w:t xml:space="preserve"> verabreicht werden, um schnell eine therapeutische Blutkonzentration zu erreichen. Nach der initialen Dosis sollte jedoch bevorzugt eine verlängerte Infusion des </w:t>
      </w:r>
      <w:r w:rsidRPr="00207748">
        <w:rPr>
          <w:rFonts w:ascii="Cambria" w:hAnsi="Cambria" w:cs="Arial"/>
          <w:sz w:val="20"/>
          <w:szCs w:val="20"/>
        </w:rPr>
        <w:lastRenderedPageBreak/>
        <w:t xml:space="preserve">Medikaments über mehrere Stunden (zur Erhöhung des Unterschieds in Bezug auf T &gt; MIC) verabreicht werden, anstelle der dem Standard entsprechenden 30-minütigen Infusion, die </w:t>
      </w:r>
      <w:r w:rsidR="003A045F" w:rsidRPr="00DC4B69">
        <w:rPr>
          <w:rFonts w:ascii="Cambria" w:hAnsi="Cambria" w:cs="Arial"/>
          <w:sz w:val="20"/>
          <w:szCs w:val="20"/>
        </w:rPr>
        <w:t>von</w:t>
      </w:r>
      <w:r w:rsidRPr="00207748">
        <w:rPr>
          <w:rFonts w:ascii="Cambria" w:hAnsi="Cambria" w:cs="Arial"/>
          <w:sz w:val="20"/>
          <w:szCs w:val="20"/>
        </w:rPr>
        <w:t xml:space="preserve"> einigen </w:t>
      </w:r>
      <w:r w:rsidR="003A045F" w:rsidRPr="00DC4B69">
        <w:rPr>
          <w:rFonts w:ascii="Cambria" w:hAnsi="Cambria" w:cs="Arial"/>
          <w:sz w:val="20"/>
          <w:szCs w:val="20"/>
        </w:rPr>
        <w:t>Autoren</w:t>
      </w:r>
      <w:r w:rsidRPr="00207748">
        <w:rPr>
          <w:rFonts w:ascii="Cambria" w:hAnsi="Cambria" w:cs="Arial"/>
          <w:sz w:val="20"/>
          <w:szCs w:val="20"/>
        </w:rPr>
        <w:t xml:space="preserve"> empfohlen wird.</w:t>
      </w:r>
      <w:r w:rsidRPr="00207748">
        <w:rPr>
          <w:rFonts w:ascii="Cambria" w:eastAsia="Arial" w:hAnsi="Cambria" w:cs="Arial"/>
          <w:sz w:val="20"/>
          <w:szCs w:val="20"/>
          <w:vertAlign w:val="superscript"/>
        </w:rPr>
        <w:endnoteReference w:id="182"/>
      </w:r>
      <w:r w:rsidRPr="00207748">
        <w:rPr>
          <w:rFonts w:ascii="Cambria" w:hAnsi="Cambria" w:cs="Arial"/>
          <w:sz w:val="20"/>
          <w:szCs w:val="20"/>
        </w:rPr>
        <w:t xml:space="preserve"> </w:t>
      </w:r>
      <w:r w:rsidRPr="00207748">
        <w:rPr>
          <w:rFonts w:ascii="Cambria" w:eastAsia="Arial" w:hAnsi="Cambria" w:cs="Arial"/>
          <w:sz w:val="20"/>
          <w:szCs w:val="20"/>
          <w:vertAlign w:val="superscript"/>
        </w:rPr>
        <w:endnoteReference w:id="183"/>
      </w:r>
      <w:r w:rsidRPr="00207748">
        <w:rPr>
          <w:rFonts w:ascii="Cambria" w:hAnsi="Cambria" w:cs="Arial"/>
          <w:sz w:val="20"/>
          <w:szCs w:val="20"/>
        </w:rPr>
        <w:t xml:space="preserve"> Außerdem deuten manche Meta-Analysen darauf hin, dass eine verlängerte/kontinuierliche Infusion von ß-Laktamen effektiver sein könnte als eine intermittierende </w:t>
      </w:r>
      <w:r w:rsidR="003A045F" w:rsidRPr="00DC4B69">
        <w:rPr>
          <w:rFonts w:ascii="Cambria" w:hAnsi="Cambria" w:cs="Arial"/>
          <w:sz w:val="20"/>
          <w:szCs w:val="20"/>
        </w:rPr>
        <w:t>Kurz</w:t>
      </w:r>
      <w:r w:rsidRPr="00F31FDD">
        <w:rPr>
          <w:rFonts w:ascii="Cambria" w:hAnsi="Cambria" w:cs="Arial"/>
          <w:sz w:val="20"/>
          <w:szCs w:val="20"/>
        </w:rPr>
        <w:t>infusion</w:t>
      </w:r>
      <w:r w:rsidRPr="00207748">
        <w:rPr>
          <w:rFonts w:ascii="Cambria" w:hAnsi="Cambria" w:cs="Arial"/>
          <w:sz w:val="20"/>
          <w:szCs w:val="20"/>
        </w:rPr>
        <w:t>, insbesondere bei relativ resistenten Organismen und Patienten mit Sepsis.</w:t>
      </w:r>
      <w:r w:rsidR="00CB26D4" w:rsidRPr="00CB26D4">
        <w:rPr>
          <w:rStyle w:val="EndnoteRealZchn"/>
        </w:rPr>
        <w:fldChar w:fldCharType="begin"/>
      </w:r>
      <w:r w:rsidR="00CB26D4" w:rsidRPr="00CB26D4">
        <w:rPr>
          <w:rStyle w:val="EndnoteRealZchn"/>
        </w:rPr>
        <w:instrText xml:space="preserve"> NOTEREF _Ref30504557 \h </w:instrText>
      </w:r>
      <w:r w:rsidR="00CB26D4">
        <w:rPr>
          <w:rStyle w:val="EndnoteRealZchn"/>
        </w:rPr>
        <w:instrText xml:space="preserve"> \* MERGEFORMAT </w:instrText>
      </w:r>
      <w:r w:rsidR="00CB26D4" w:rsidRPr="00CB26D4">
        <w:rPr>
          <w:rStyle w:val="EndnoteRealZchn"/>
        </w:rPr>
      </w:r>
      <w:r w:rsidR="00CB26D4" w:rsidRPr="00CB26D4">
        <w:rPr>
          <w:rStyle w:val="EndnoteRealZchn"/>
        </w:rPr>
        <w:fldChar w:fldCharType="separate"/>
      </w:r>
      <w:r w:rsidR="001A283B">
        <w:rPr>
          <w:rStyle w:val="EndnoteRealZchn"/>
        </w:rPr>
        <w:t>178</w:t>
      </w:r>
      <w:r w:rsidR="00CB26D4" w:rsidRPr="00CB26D4">
        <w:rPr>
          <w:rStyle w:val="EndnoteRealZchn"/>
        </w:rPr>
        <w:fldChar w:fldCharType="end"/>
      </w:r>
      <w:r w:rsidRPr="00207748">
        <w:rPr>
          <w:rFonts w:ascii="Cambria" w:hAnsi="Cambria" w:cs="Arial"/>
          <w:sz w:val="20"/>
          <w:szCs w:val="20"/>
        </w:rPr>
        <w:t xml:space="preserve"> </w:t>
      </w:r>
      <w:r w:rsidRPr="00207748">
        <w:rPr>
          <w:rFonts w:ascii="Cambria" w:eastAsia="Arial" w:hAnsi="Cambria" w:cs="Arial"/>
          <w:sz w:val="20"/>
          <w:szCs w:val="20"/>
          <w:vertAlign w:val="superscript"/>
        </w:rPr>
        <w:endnoteReference w:id="184"/>
      </w:r>
      <w:r w:rsidRPr="00207748">
        <w:rPr>
          <w:rFonts w:ascii="Cambria" w:hAnsi="Cambria" w:cs="Arial"/>
          <w:sz w:val="20"/>
          <w:szCs w:val="20"/>
        </w:rPr>
        <w:t xml:space="preserve"> </w:t>
      </w:r>
      <w:r w:rsidRPr="00207748">
        <w:rPr>
          <w:rFonts w:ascii="Cambria" w:eastAsia="Arial" w:hAnsi="Cambria" w:cs="Arial"/>
          <w:sz w:val="20"/>
          <w:szCs w:val="20"/>
          <w:vertAlign w:val="superscript"/>
        </w:rPr>
        <w:endnoteReference w:id="185"/>
      </w:r>
      <w:r w:rsidRPr="00207748">
        <w:rPr>
          <w:rFonts w:ascii="Cambria" w:hAnsi="Cambria" w:cs="Arial"/>
          <w:sz w:val="20"/>
          <w:szCs w:val="20"/>
        </w:rPr>
        <w:t xml:space="preserve"> </w:t>
      </w:r>
      <w:r w:rsidRPr="00207748">
        <w:rPr>
          <w:rFonts w:ascii="Cambria" w:eastAsia="Arial" w:hAnsi="Cambria" w:cs="Arial"/>
          <w:sz w:val="20"/>
          <w:szCs w:val="20"/>
          <w:vertAlign w:val="superscript"/>
        </w:rPr>
        <w:endnoteReference w:id="186"/>
      </w:r>
      <w:r w:rsidRPr="00207748">
        <w:rPr>
          <w:rFonts w:ascii="Cambria" w:hAnsi="Cambria" w:cs="Arial"/>
          <w:sz w:val="20"/>
          <w:szCs w:val="20"/>
        </w:rPr>
        <w:t xml:space="preserve"> Eine aktuelle individuelle Patientendaten-Meta-Analyse von randomisierten kontrollierten Studien zum Vergleich von kontinuierlichen und intermittierenden Infusionen von ß-Laktam-Antibiotika bei Patienten mit schwerer Sepsis ergab einen unabhängigen schützenden Effekt einer kontinuierlichen Therapie nach </w:t>
      </w:r>
      <w:r w:rsidR="003A045F" w:rsidRPr="00DC4B69">
        <w:rPr>
          <w:rFonts w:ascii="Cambria" w:hAnsi="Cambria" w:cs="Arial"/>
          <w:sz w:val="20"/>
          <w:szCs w:val="20"/>
        </w:rPr>
        <w:t>Adjustierung um</w:t>
      </w:r>
      <w:r w:rsidRPr="00207748">
        <w:rPr>
          <w:rFonts w:ascii="Cambria" w:hAnsi="Cambria" w:cs="Arial"/>
          <w:sz w:val="20"/>
          <w:szCs w:val="20"/>
        </w:rPr>
        <w:t xml:space="preserve"> andere korrelierte</w:t>
      </w:r>
      <w:r w:rsidR="00EF1A9E">
        <w:rPr>
          <w:rFonts w:ascii="Cambria" w:hAnsi="Cambria" w:cs="Arial"/>
          <w:sz w:val="20"/>
          <w:szCs w:val="20"/>
        </w:rPr>
        <w:t xml:space="preserve"> </w:t>
      </w:r>
      <w:r w:rsidRPr="00207748">
        <w:rPr>
          <w:rFonts w:ascii="Cambria" w:hAnsi="Cambria" w:cs="Arial"/>
          <w:sz w:val="20"/>
          <w:szCs w:val="20"/>
        </w:rPr>
        <w:t>Ergebnisdaten.</w:t>
      </w:r>
      <w:r w:rsidR="00CB26D4" w:rsidRPr="00CB26D4">
        <w:rPr>
          <w:rStyle w:val="EndnoteRealZchn"/>
        </w:rPr>
        <w:fldChar w:fldCharType="begin"/>
      </w:r>
      <w:r w:rsidR="00CB26D4" w:rsidRPr="00CB26D4">
        <w:rPr>
          <w:rStyle w:val="EndnoteRealZchn"/>
        </w:rPr>
        <w:instrText xml:space="preserve"> NOTEREF _Ref30504557 \h </w:instrText>
      </w:r>
      <w:r w:rsidR="00CB26D4">
        <w:rPr>
          <w:rStyle w:val="EndnoteRealZchn"/>
        </w:rPr>
        <w:instrText xml:space="preserve"> \* MERGEFORMAT </w:instrText>
      </w:r>
      <w:r w:rsidR="00CB26D4" w:rsidRPr="00CB26D4">
        <w:rPr>
          <w:rStyle w:val="EndnoteRealZchn"/>
        </w:rPr>
      </w:r>
      <w:r w:rsidR="00CB26D4" w:rsidRPr="00CB26D4">
        <w:rPr>
          <w:rStyle w:val="EndnoteRealZchn"/>
        </w:rPr>
        <w:fldChar w:fldCharType="separate"/>
      </w:r>
      <w:r w:rsidR="001A283B">
        <w:rPr>
          <w:rStyle w:val="EndnoteRealZchn"/>
        </w:rPr>
        <w:t>178</w:t>
      </w:r>
      <w:r w:rsidR="00CB26D4" w:rsidRPr="00CB26D4">
        <w:rPr>
          <w:rStyle w:val="EndnoteRealZchn"/>
        </w:rPr>
        <w:fldChar w:fldCharType="end"/>
      </w:r>
    </w:p>
    <w:p w14:paraId="1FA6A31B" w14:textId="0555C821" w:rsidR="00E11869" w:rsidRPr="00207748" w:rsidRDefault="00447357" w:rsidP="004454B6">
      <w:pPr>
        <w:spacing w:after="120"/>
        <w:rPr>
          <w:rFonts w:ascii="Cambria" w:eastAsia="Arial" w:hAnsi="Cambria" w:cs="Arial"/>
          <w:sz w:val="20"/>
          <w:szCs w:val="20"/>
        </w:rPr>
      </w:pPr>
      <w:r w:rsidRPr="00207748">
        <w:rPr>
          <w:rFonts w:ascii="Cambria" w:hAnsi="Cambria" w:cs="Arial"/>
          <w:sz w:val="20"/>
          <w:szCs w:val="20"/>
        </w:rPr>
        <w:t xml:space="preserve">Während die </w:t>
      </w:r>
      <w:r w:rsidR="00413F6A" w:rsidRPr="00DC4B69">
        <w:rPr>
          <w:rFonts w:ascii="Cambria" w:hAnsi="Cambria" w:cs="Arial"/>
          <w:sz w:val="20"/>
          <w:szCs w:val="20"/>
        </w:rPr>
        <w:t xml:space="preserve">vorliegende </w:t>
      </w:r>
      <w:r w:rsidRPr="00F31FDD">
        <w:rPr>
          <w:rFonts w:ascii="Cambria" w:hAnsi="Cambria" w:cs="Arial"/>
          <w:sz w:val="20"/>
          <w:szCs w:val="20"/>
        </w:rPr>
        <w:t>Evidenz</w:t>
      </w:r>
      <w:r w:rsidRPr="00207748">
        <w:rPr>
          <w:rFonts w:ascii="Cambria" w:hAnsi="Cambria" w:cs="Arial"/>
          <w:sz w:val="20"/>
          <w:szCs w:val="20"/>
        </w:rPr>
        <w:t xml:space="preserve"> pharmakokinetisch optimierte antimikrobielle Dosisstrategien bei Patienten mit Sepsis und septischem Schock unterstützt, ist dies </w:t>
      </w:r>
      <w:r w:rsidR="00413F6A" w:rsidRPr="00DC4B69">
        <w:rPr>
          <w:rFonts w:ascii="Cambria" w:hAnsi="Cambria" w:cs="Arial"/>
          <w:sz w:val="20"/>
          <w:szCs w:val="20"/>
        </w:rPr>
        <w:t>in der Praxis</w:t>
      </w:r>
      <w:r w:rsidR="002B1061">
        <w:rPr>
          <w:rFonts w:ascii="Cambria" w:hAnsi="Cambria" w:cs="Arial"/>
          <w:sz w:val="20"/>
          <w:szCs w:val="20"/>
        </w:rPr>
        <w:t xml:space="preserve"> </w:t>
      </w:r>
      <w:r w:rsidRPr="00207748">
        <w:rPr>
          <w:rFonts w:ascii="Cambria" w:hAnsi="Cambria" w:cs="Arial"/>
          <w:sz w:val="20"/>
          <w:szCs w:val="20"/>
        </w:rPr>
        <w:t xml:space="preserve">schwer </w:t>
      </w:r>
      <w:r w:rsidR="00413F6A" w:rsidRPr="00DC4B69">
        <w:rPr>
          <w:rFonts w:ascii="Cambria" w:hAnsi="Cambria" w:cs="Arial"/>
          <w:sz w:val="20"/>
          <w:szCs w:val="20"/>
        </w:rPr>
        <w:t>umsetzbar</w:t>
      </w:r>
      <w:r w:rsidRPr="00207748">
        <w:rPr>
          <w:rFonts w:ascii="Cambria" w:hAnsi="Cambria" w:cs="Arial"/>
          <w:sz w:val="20"/>
          <w:szCs w:val="20"/>
        </w:rPr>
        <w:t xml:space="preserve">, ohne dass </w:t>
      </w:r>
      <w:r w:rsidRPr="00F31FDD">
        <w:rPr>
          <w:rFonts w:ascii="Cambria" w:hAnsi="Cambria" w:cs="Arial"/>
          <w:sz w:val="20"/>
          <w:szCs w:val="20"/>
        </w:rPr>
        <w:t xml:space="preserve">schnelle </w:t>
      </w:r>
      <w:r w:rsidR="00413F6A" w:rsidRPr="00DC4B69">
        <w:rPr>
          <w:rFonts w:ascii="Cambria" w:hAnsi="Cambria" w:cs="Arial"/>
          <w:sz w:val="20"/>
          <w:szCs w:val="20"/>
        </w:rPr>
        <w:t xml:space="preserve">Verfahren für ein therapeutisches drug monitoring verfügbar sind </w:t>
      </w:r>
      <w:r w:rsidRPr="00207748">
        <w:rPr>
          <w:rFonts w:ascii="Cambria" w:hAnsi="Cambria" w:cs="Arial"/>
          <w:sz w:val="20"/>
          <w:szCs w:val="20"/>
        </w:rPr>
        <w:t xml:space="preserve">(d.h. Vancomycin, Teicoplanin und Aminoglycoside). </w:t>
      </w:r>
      <w:r w:rsidR="00BD59E6" w:rsidRPr="00DC4B69">
        <w:rPr>
          <w:rFonts w:ascii="Cambria" w:hAnsi="Cambria" w:cs="Arial"/>
          <w:sz w:val="20"/>
          <w:szCs w:val="20"/>
        </w:rPr>
        <w:t>S</w:t>
      </w:r>
      <w:r w:rsidRPr="00F31FDD">
        <w:rPr>
          <w:rFonts w:ascii="Cambria" w:hAnsi="Cambria" w:cs="Arial"/>
          <w:sz w:val="20"/>
          <w:szCs w:val="20"/>
        </w:rPr>
        <w:t>eptische</w:t>
      </w:r>
      <w:r w:rsidRPr="00207748">
        <w:rPr>
          <w:rFonts w:ascii="Cambria" w:hAnsi="Cambria" w:cs="Arial"/>
          <w:sz w:val="20"/>
          <w:szCs w:val="20"/>
        </w:rPr>
        <w:t xml:space="preserve"> Patienten </w:t>
      </w:r>
      <w:r w:rsidRPr="00816C96">
        <w:rPr>
          <w:rFonts w:ascii="Cambria" w:hAnsi="Cambria" w:cs="Arial"/>
          <w:sz w:val="20"/>
          <w:szCs w:val="20"/>
        </w:rPr>
        <w:t>zeig</w:t>
      </w:r>
      <w:r w:rsidR="00BD59E6" w:rsidRPr="00DC4B69">
        <w:rPr>
          <w:rFonts w:ascii="Cambria" w:hAnsi="Cambria" w:cs="Arial"/>
          <w:sz w:val="20"/>
          <w:szCs w:val="20"/>
        </w:rPr>
        <w:t>en</w:t>
      </w:r>
      <w:r w:rsidRPr="00207748">
        <w:rPr>
          <w:rFonts w:ascii="Cambria" w:hAnsi="Cambria" w:cs="Arial"/>
          <w:sz w:val="20"/>
          <w:szCs w:val="20"/>
        </w:rPr>
        <w:t xml:space="preserve"> eine Vielfalt von physiologischen Störungen</w:t>
      </w:r>
      <w:r w:rsidR="00BD59E6" w:rsidRPr="00DC4B69">
        <w:rPr>
          <w:rFonts w:ascii="Cambria" w:hAnsi="Cambria" w:cs="Arial"/>
          <w:sz w:val="20"/>
          <w:szCs w:val="20"/>
        </w:rPr>
        <w:t xml:space="preserve"> auf</w:t>
      </w:r>
      <w:r w:rsidRPr="00207748">
        <w:rPr>
          <w:rFonts w:ascii="Cambria" w:hAnsi="Cambria" w:cs="Arial"/>
          <w:sz w:val="20"/>
          <w:szCs w:val="20"/>
        </w:rPr>
        <w:t xml:space="preserve">, die </w:t>
      </w:r>
      <w:r w:rsidR="00BD59E6" w:rsidRPr="00DC4B69">
        <w:rPr>
          <w:rFonts w:ascii="Cambria" w:hAnsi="Cambria" w:cs="Arial"/>
          <w:sz w:val="20"/>
          <w:szCs w:val="20"/>
        </w:rPr>
        <w:t>Pharmakokinetik von Antiinfektiva beeinflussen. Dazu</w:t>
      </w:r>
      <w:r w:rsidR="002B1061">
        <w:rPr>
          <w:rFonts w:ascii="Cambria" w:hAnsi="Cambria" w:cs="Arial"/>
          <w:sz w:val="20"/>
          <w:szCs w:val="20"/>
        </w:rPr>
        <w:t xml:space="preserve"> </w:t>
      </w:r>
      <w:r w:rsidRPr="00207748">
        <w:rPr>
          <w:rFonts w:ascii="Cambria" w:hAnsi="Cambria" w:cs="Arial"/>
          <w:sz w:val="20"/>
          <w:szCs w:val="20"/>
        </w:rPr>
        <w:t xml:space="preserve">gehören eine instabile Hämodynamik, ein erhöhtes </w:t>
      </w:r>
      <w:r w:rsidRPr="00F31FDD">
        <w:rPr>
          <w:rFonts w:ascii="Cambria" w:hAnsi="Cambria" w:cs="Arial"/>
          <w:sz w:val="20"/>
          <w:szCs w:val="20"/>
        </w:rPr>
        <w:t>Herz</w:t>
      </w:r>
      <w:r w:rsidR="00BD59E6" w:rsidRPr="00DC4B69">
        <w:rPr>
          <w:rFonts w:ascii="Cambria" w:hAnsi="Cambria" w:cs="Arial"/>
          <w:sz w:val="20"/>
          <w:szCs w:val="20"/>
        </w:rPr>
        <w:t>zeit</w:t>
      </w:r>
      <w:r w:rsidRPr="00F31FDD">
        <w:rPr>
          <w:rFonts w:ascii="Cambria" w:hAnsi="Cambria" w:cs="Arial"/>
          <w:sz w:val="20"/>
          <w:szCs w:val="20"/>
        </w:rPr>
        <w:t>volumen</w:t>
      </w:r>
      <w:r w:rsidRPr="00207748">
        <w:rPr>
          <w:rFonts w:ascii="Cambria" w:hAnsi="Cambria" w:cs="Arial"/>
          <w:sz w:val="20"/>
          <w:szCs w:val="20"/>
        </w:rPr>
        <w:t>, ein erhöhtes extrazelluläres Volumen</w:t>
      </w:r>
      <w:r w:rsidRPr="00F31FDD">
        <w:rPr>
          <w:rFonts w:ascii="Cambria" w:hAnsi="Cambria" w:cs="Arial"/>
          <w:sz w:val="20"/>
          <w:szCs w:val="20"/>
        </w:rPr>
        <w:t>,</w:t>
      </w:r>
      <w:r w:rsidRPr="00207748">
        <w:rPr>
          <w:rFonts w:ascii="Cambria" w:hAnsi="Cambria" w:cs="Arial"/>
          <w:sz w:val="20"/>
          <w:szCs w:val="20"/>
        </w:rPr>
        <w:t xml:space="preserve"> eine variable Nieren- und Leberperfusion (welche die Medikamenten-Clearance </w:t>
      </w:r>
      <w:r w:rsidRPr="00F31FDD">
        <w:rPr>
          <w:rFonts w:ascii="Cambria" w:hAnsi="Cambria" w:cs="Arial"/>
          <w:sz w:val="20"/>
          <w:szCs w:val="20"/>
        </w:rPr>
        <w:t>beeinträchtig</w:t>
      </w:r>
      <w:r w:rsidR="00BD59E6" w:rsidRPr="00DC4B69">
        <w:rPr>
          <w:rFonts w:ascii="Cambria" w:hAnsi="Cambria" w:cs="Arial"/>
          <w:sz w:val="20"/>
          <w:szCs w:val="20"/>
        </w:rPr>
        <w:t>en</w:t>
      </w:r>
      <w:r w:rsidRPr="00207748">
        <w:rPr>
          <w:rFonts w:ascii="Cambria" w:hAnsi="Cambria" w:cs="Arial"/>
          <w:sz w:val="20"/>
          <w:szCs w:val="20"/>
        </w:rPr>
        <w:t>) und eine geänderte Medikamentenbindung aufgrund des reduzierten Serumalbumins.</w:t>
      </w:r>
      <w:r w:rsidR="00CB26D4" w:rsidRPr="00CB26D4">
        <w:rPr>
          <w:rStyle w:val="EndnoteRealZchn"/>
        </w:rPr>
        <w:fldChar w:fldCharType="begin"/>
      </w:r>
      <w:r w:rsidR="00CB26D4" w:rsidRPr="00CB26D4">
        <w:rPr>
          <w:rStyle w:val="EndnoteRealZchn"/>
        </w:rPr>
        <w:instrText xml:space="preserve"> NOTEREF _Ref30504557 \h </w:instrText>
      </w:r>
      <w:r w:rsidR="00CB26D4">
        <w:rPr>
          <w:rStyle w:val="EndnoteRealZchn"/>
        </w:rPr>
        <w:instrText xml:space="preserve"> \* MERGEFORMAT </w:instrText>
      </w:r>
      <w:r w:rsidR="00CB26D4" w:rsidRPr="00CB26D4">
        <w:rPr>
          <w:rStyle w:val="EndnoteRealZchn"/>
        </w:rPr>
      </w:r>
      <w:r w:rsidR="00CB26D4" w:rsidRPr="00CB26D4">
        <w:rPr>
          <w:rStyle w:val="EndnoteRealZchn"/>
        </w:rPr>
        <w:fldChar w:fldCharType="separate"/>
      </w:r>
      <w:r w:rsidR="001A283B">
        <w:rPr>
          <w:rStyle w:val="EndnoteRealZchn"/>
        </w:rPr>
        <w:t>178</w:t>
      </w:r>
      <w:r w:rsidR="00CB26D4" w:rsidRPr="00CB26D4">
        <w:rPr>
          <w:rStyle w:val="EndnoteRealZchn"/>
        </w:rPr>
        <w:fldChar w:fldCharType="end"/>
      </w:r>
      <w:r w:rsidRPr="00F31FDD">
        <w:rPr>
          <w:rFonts w:ascii="Cambria" w:hAnsi="Cambria" w:cs="Arial"/>
          <w:sz w:val="20"/>
          <w:szCs w:val="20"/>
        </w:rPr>
        <w:t xml:space="preserve"> </w:t>
      </w:r>
      <w:r w:rsidR="00BD59E6" w:rsidRPr="00DC4B69">
        <w:rPr>
          <w:rFonts w:ascii="Cambria" w:hAnsi="Cambria" w:cs="Arial"/>
          <w:sz w:val="20"/>
          <w:szCs w:val="20"/>
        </w:rPr>
        <w:t>Darüber hinaus könnte eine erhöhte renale</w:t>
      </w:r>
      <w:r w:rsidR="00CB26D4">
        <w:rPr>
          <w:rFonts w:ascii="Cambria" w:eastAsia="Arial" w:hAnsi="Cambria" w:cs="Arial"/>
          <w:sz w:val="20"/>
          <w:szCs w:val="20"/>
          <w:vertAlign w:val="superscript"/>
        </w:rPr>
        <w:t xml:space="preserve"> </w:t>
      </w:r>
      <w:r w:rsidRPr="00207748">
        <w:rPr>
          <w:rFonts w:ascii="Cambria" w:hAnsi="Cambria" w:cs="Arial"/>
          <w:sz w:val="20"/>
          <w:szCs w:val="20"/>
        </w:rPr>
        <w:t xml:space="preserve">Außerdem handelt es sich bei der erhöhten renalen Clearance </w:t>
      </w:r>
      <w:r w:rsidRPr="00F31FDD">
        <w:rPr>
          <w:rFonts w:ascii="Cambria" w:hAnsi="Cambria" w:cs="Arial"/>
          <w:sz w:val="20"/>
          <w:szCs w:val="20"/>
        </w:rPr>
        <w:t xml:space="preserve">zu </w:t>
      </w:r>
      <w:r w:rsidR="00BD59E6" w:rsidRPr="00DC4B69">
        <w:rPr>
          <w:rFonts w:ascii="Cambria" w:hAnsi="Cambria" w:cs="Arial"/>
          <w:sz w:val="20"/>
          <w:szCs w:val="20"/>
        </w:rPr>
        <w:t xml:space="preserve">einer </w:t>
      </w:r>
      <w:r w:rsidRPr="00207748">
        <w:rPr>
          <w:rFonts w:ascii="Cambria" w:hAnsi="Cambria" w:cs="Arial"/>
          <w:sz w:val="20"/>
          <w:szCs w:val="20"/>
        </w:rPr>
        <w:t>verringerten antimikrobiellen Serumkonzentrationen in der frühen Phase der Sepsis führen</w:t>
      </w:r>
      <w:r w:rsidR="00EF1A9E">
        <w:rPr>
          <w:rFonts w:ascii="Cambria" w:hAnsi="Cambria" w:cs="Arial"/>
          <w:sz w:val="20"/>
          <w:szCs w:val="20"/>
        </w:rPr>
        <w:t>.</w:t>
      </w:r>
      <w:r w:rsidR="00EF1A9E" w:rsidRPr="00207748">
        <w:rPr>
          <w:rFonts w:ascii="Cambria" w:hAnsi="Cambria" w:cs="Arial"/>
          <w:sz w:val="20"/>
          <w:szCs w:val="20"/>
        </w:rPr>
        <w:t xml:space="preserve"> </w:t>
      </w:r>
      <w:r w:rsidRPr="00207748">
        <w:rPr>
          <w:rFonts w:ascii="Cambria" w:hAnsi="Cambria" w:cs="Arial"/>
          <w:sz w:val="20"/>
          <w:szCs w:val="20"/>
        </w:rPr>
        <w:t xml:space="preserve">Basierend auf Studien mit </w:t>
      </w:r>
      <w:r w:rsidR="00BD59E6" w:rsidRPr="00DC4B69">
        <w:rPr>
          <w:rFonts w:ascii="Cambria" w:hAnsi="Cambria" w:cs="Arial"/>
          <w:sz w:val="20"/>
          <w:szCs w:val="20"/>
        </w:rPr>
        <w:t>therapeutischem drug monitoring</w:t>
      </w:r>
      <w:r w:rsidR="002B1061">
        <w:rPr>
          <w:rFonts w:ascii="Cambria" w:hAnsi="Cambria" w:cs="Arial"/>
          <w:sz w:val="20"/>
          <w:szCs w:val="20"/>
        </w:rPr>
        <w:t xml:space="preserve"> </w:t>
      </w:r>
      <w:r w:rsidRPr="00207748">
        <w:rPr>
          <w:rFonts w:ascii="Cambria" w:hAnsi="Cambria" w:cs="Arial"/>
          <w:sz w:val="20"/>
          <w:szCs w:val="20"/>
        </w:rPr>
        <w:t xml:space="preserve">ist eine Unterdosierung (insbesondere in der frühen Behandlungsphase) </w:t>
      </w:r>
      <w:r w:rsidRPr="00F31FDD">
        <w:rPr>
          <w:rFonts w:ascii="Cambria" w:hAnsi="Cambria" w:cs="Arial"/>
          <w:sz w:val="20"/>
          <w:szCs w:val="20"/>
        </w:rPr>
        <w:t>bei septischen Patienten</w:t>
      </w:r>
      <w:r w:rsidR="00BD59E6" w:rsidRPr="00DC4B69">
        <w:rPr>
          <w:rFonts w:ascii="Cambria" w:hAnsi="Cambria" w:cs="Arial"/>
          <w:sz w:val="20"/>
          <w:szCs w:val="20"/>
        </w:rPr>
        <w:t xml:space="preserve"> </w:t>
      </w:r>
      <w:r w:rsidRPr="00207748">
        <w:rPr>
          <w:rFonts w:ascii="Cambria" w:hAnsi="Cambria" w:cs="Arial"/>
          <w:sz w:val="20"/>
          <w:szCs w:val="20"/>
        </w:rPr>
        <w:t xml:space="preserve">häufig, wobei jedoch auch Medikamententoxizitäten wie z.B. eine Irritation </w:t>
      </w:r>
      <w:r w:rsidRPr="00207748">
        <w:rPr>
          <w:rFonts w:ascii="Cambria" w:hAnsi="Cambria" w:cs="Arial"/>
          <w:sz w:val="20"/>
          <w:szCs w:val="20"/>
        </w:rPr>
        <w:lastRenderedPageBreak/>
        <w:t xml:space="preserve">des zentralen Nervensystems beim Einsatz von β-Laktamen und Nierenschäden bei der Verwendung von Colistin </w:t>
      </w:r>
      <w:r w:rsidR="00BD59E6" w:rsidRPr="00DC4B69">
        <w:rPr>
          <w:rFonts w:ascii="Cambria" w:hAnsi="Cambria" w:cs="Arial"/>
          <w:sz w:val="20"/>
          <w:szCs w:val="20"/>
        </w:rPr>
        <w:t>zu berücksichtigen</w:t>
      </w:r>
      <w:r w:rsidRPr="00207748">
        <w:rPr>
          <w:rFonts w:ascii="Cambria" w:hAnsi="Cambria" w:cs="Arial"/>
          <w:sz w:val="20"/>
          <w:szCs w:val="20"/>
        </w:rPr>
        <w:t xml:space="preserve"> sind.</w:t>
      </w:r>
      <w:r w:rsidRPr="00207748">
        <w:rPr>
          <w:rFonts w:ascii="Cambria" w:eastAsia="Arial" w:hAnsi="Cambria" w:cs="Arial"/>
          <w:sz w:val="20"/>
          <w:szCs w:val="20"/>
          <w:vertAlign w:val="superscript"/>
        </w:rPr>
        <w:endnoteReference w:id="187"/>
      </w:r>
      <w:r w:rsidRPr="00207748">
        <w:rPr>
          <w:rFonts w:ascii="Cambria" w:hAnsi="Cambria" w:cs="Arial"/>
          <w:sz w:val="20"/>
          <w:szCs w:val="20"/>
        </w:rPr>
        <w:t xml:space="preserve"> </w:t>
      </w:r>
      <w:r w:rsidRPr="00207748">
        <w:rPr>
          <w:rFonts w:ascii="Cambria" w:eastAsia="Arial" w:hAnsi="Cambria" w:cs="Arial"/>
          <w:sz w:val="20"/>
          <w:szCs w:val="20"/>
          <w:vertAlign w:val="superscript"/>
        </w:rPr>
        <w:endnoteReference w:id="188"/>
      </w:r>
      <w:r w:rsidRPr="00207748">
        <w:rPr>
          <w:rFonts w:ascii="Cambria" w:hAnsi="Cambria" w:cs="Arial"/>
          <w:sz w:val="20"/>
          <w:szCs w:val="20"/>
        </w:rPr>
        <w:t xml:space="preserve"> </w:t>
      </w:r>
      <w:r w:rsidRPr="00207748">
        <w:rPr>
          <w:rFonts w:ascii="Cambria" w:eastAsia="Arial" w:hAnsi="Cambria" w:cs="Arial"/>
          <w:sz w:val="20"/>
          <w:szCs w:val="20"/>
          <w:vertAlign w:val="superscript"/>
        </w:rPr>
        <w:endnoteReference w:id="189"/>
      </w:r>
      <w:r w:rsidRPr="00207748">
        <w:rPr>
          <w:rFonts w:ascii="Cambria" w:hAnsi="Cambria" w:cs="Arial"/>
          <w:sz w:val="20"/>
          <w:szCs w:val="20"/>
        </w:rPr>
        <w:t xml:space="preserve"> </w:t>
      </w:r>
      <w:r w:rsidRPr="00207748">
        <w:rPr>
          <w:rFonts w:ascii="Cambria" w:eastAsia="Arial" w:hAnsi="Cambria" w:cs="Arial"/>
          <w:sz w:val="20"/>
          <w:szCs w:val="20"/>
          <w:vertAlign w:val="superscript"/>
        </w:rPr>
        <w:endnoteReference w:id="190"/>
      </w:r>
      <w:r w:rsidRPr="00207748">
        <w:rPr>
          <w:rFonts w:ascii="Cambria" w:hAnsi="Cambria" w:cs="Arial"/>
          <w:sz w:val="20"/>
          <w:szCs w:val="20"/>
        </w:rPr>
        <w:t xml:space="preserve"> </w:t>
      </w:r>
      <w:r w:rsidRPr="00F31FDD">
        <w:rPr>
          <w:rFonts w:ascii="Cambria" w:hAnsi="Cambria" w:cs="Arial"/>
          <w:sz w:val="20"/>
          <w:szCs w:val="20"/>
        </w:rPr>
        <w:t>Diese</w:t>
      </w:r>
      <w:r w:rsidR="00BD59E6" w:rsidRPr="00DC4B69">
        <w:rPr>
          <w:rFonts w:ascii="Cambria" w:hAnsi="Cambria" w:cs="Arial"/>
          <w:sz w:val="20"/>
          <w:szCs w:val="20"/>
        </w:rPr>
        <w:t>s</w:t>
      </w:r>
      <w:r w:rsidRPr="00F31FDD">
        <w:rPr>
          <w:rFonts w:ascii="Cambria" w:hAnsi="Cambria" w:cs="Arial"/>
          <w:sz w:val="20"/>
          <w:szCs w:val="20"/>
        </w:rPr>
        <w:t xml:space="preserve"> </w:t>
      </w:r>
      <w:r w:rsidR="00BD59E6" w:rsidRPr="00DC4B69">
        <w:rPr>
          <w:rFonts w:ascii="Cambria" w:hAnsi="Cambria" w:cs="Arial"/>
          <w:sz w:val="20"/>
          <w:szCs w:val="20"/>
        </w:rPr>
        <w:t>unterstreicht die Bedeutung eines erweiterten</w:t>
      </w:r>
      <w:r w:rsidRPr="00207748">
        <w:rPr>
          <w:rFonts w:ascii="Cambria" w:hAnsi="Cambria" w:cs="Arial"/>
          <w:sz w:val="20"/>
          <w:szCs w:val="20"/>
        </w:rPr>
        <w:t xml:space="preserve"> therapeutischen </w:t>
      </w:r>
      <w:r w:rsidR="00BD59E6" w:rsidRPr="00DC4B69">
        <w:rPr>
          <w:rFonts w:ascii="Cambria" w:hAnsi="Cambria" w:cs="Arial"/>
          <w:sz w:val="20"/>
          <w:szCs w:val="20"/>
        </w:rPr>
        <w:t>drug monitorings bei</w:t>
      </w:r>
      <w:r w:rsidRPr="00207748">
        <w:rPr>
          <w:rFonts w:ascii="Cambria" w:hAnsi="Cambria" w:cs="Arial"/>
          <w:sz w:val="20"/>
          <w:szCs w:val="20"/>
        </w:rPr>
        <w:t xml:space="preserve"> Patienten mit Sepsis </w:t>
      </w:r>
      <w:r w:rsidR="00BD59E6" w:rsidRPr="00DC4B69">
        <w:rPr>
          <w:rFonts w:ascii="Cambria" w:hAnsi="Cambria" w:cs="Arial"/>
          <w:sz w:val="20"/>
          <w:szCs w:val="20"/>
        </w:rPr>
        <w:t xml:space="preserve">und septischem Schock. </w:t>
      </w:r>
      <w:r w:rsidRPr="00207748">
        <w:rPr>
          <w:rFonts w:ascii="Cambria" w:hAnsi="Cambria" w:cs="Arial"/>
          <w:sz w:val="20"/>
          <w:szCs w:val="20"/>
        </w:rPr>
        <w:t>.</w:t>
      </w: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788"/>
        <w:gridCol w:w="1697"/>
        <w:gridCol w:w="848"/>
      </w:tblGrid>
      <w:tr w:rsidR="00E11869" w:rsidRPr="00207748" w14:paraId="2675A0CC" w14:textId="77777777" w:rsidTr="002B1061">
        <w:trPr>
          <w:trHeight w:val="282"/>
        </w:trPr>
        <w:tc>
          <w:tcPr>
            <w:tcW w:w="2063"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6CBF576"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t>D. 7</w:t>
            </w:r>
          </w:p>
        </w:tc>
        <w:tc>
          <w:tcPr>
            <w:tcW w:w="1958"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994819D"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 xml:space="preserve">Empfehlung </w:t>
            </w:r>
          </w:p>
        </w:tc>
        <w:tc>
          <w:tcPr>
            <w:tcW w:w="979"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013D4466"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201</w:t>
            </w:r>
            <w:r w:rsidR="002F45C9" w:rsidRPr="00207748">
              <w:rPr>
                <w:rFonts w:ascii="Cambria" w:hAnsi="Cambria" w:cs="Arial"/>
                <w:b/>
                <w:bCs/>
                <w:sz w:val="20"/>
                <w:szCs w:val="20"/>
              </w:rPr>
              <w:t>8</w:t>
            </w:r>
          </w:p>
        </w:tc>
      </w:tr>
      <w:tr w:rsidR="00E11869" w:rsidRPr="00207748" w14:paraId="7CB3B8FC" w14:textId="77777777" w:rsidTr="002B1061">
        <w:trPr>
          <w:trHeight w:val="2329"/>
        </w:trPr>
        <w:tc>
          <w:tcPr>
            <w:tcW w:w="2063"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67E3E"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t>Empfehlungsgrad</w:t>
            </w:r>
          </w:p>
          <w:p w14:paraId="5345BE1E" w14:textId="77777777" w:rsidR="00E11869" w:rsidRPr="00207748" w:rsidRDefault="00E11869" w:rsidP="004454B6">
            <w:pPr>
              <w:spacing w:after="0"/>
              <w:rPr>
                <w:rFonts w:ascii="Cambria" w:eastAsia="Arial" w:hAnsi="Cambria" w:cs="Arial"/>
                <w:sz w:val="20"/>
                <w:szCs w:val="20"/>
              </w:rPr>
            </w:pPr>
          </w:p>
          <w:p w14:paraId="359B5FD3" w14:textId="77777777" w:rsidR="00E11869" w:rsidRPr="00207748" w:rsidRDefault="00447357" w:rsidP="004454B6">
            <w:pPr>
              <w:spacing w:after="0"/>
              <w:rPr>
                <w:rFonts w:ascii="Cambria" w:eastAsia="Arial" w:hAnsi="Cambria" w:cs="Arial"/>
                <w:b/>
                <w:bCs/>
                <w:sz w:val="20"/>
                <w:szCs w:val="20"/>
              </w:rPr>
            </w:pPr>
            <w:r w:rsidRPr="00207748">
              <w:rPr>
                <w:rFonts w:ascii="Cambria" w:hAnsi="Cambria" w:cs="Arial"/>
                <w:b/>
                <w:bCs/>
                <w:sz w:val="20"/>
                <w:szCs w:val="20"/>
              </w:rPr>
              <w:t>schwach</w:t>
            </w:r>
          </w:p>
          <w:p w14:paraId="24B7F86C" w14:textId="77777777" w:rsidR="00E11869" w:rsidRPr="00207748" w:rsidRDefault="00E11869" w:rsidP="004454B6">
            <w:pPr>
              <w:spacing w:after="0"/>
              <w:rPr>
                <w:rFonts w:ascii="Cambria" w:eastAsia="Arial" w:hAnsi="Cambria" w:cs="Arial"/>
                <w:sz w:val="20"/>
                <w:szCs w:val="20"/>
              </w:rPr>
            </w:pPr>
          </w:p>
          <w:p w14:paraId="40C207BF"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t>Evidenzgrad</w:t>
            </w:r>
          </w:p>
          <w:p w14:paraId="6EB01349" w14:textId="77777777" w:rsidR="00E11869" w:rsidRPr="00207748" w:rsidRDefault="00E11869" w:rsidP="004454B6">
            <w:pPr>
              <w:spacing w:after="0"/>
              <w:rPr>
                <w:rFonts w:ascii="Cambria" w:eastAsia="Arial" w:hAnsi="Cambria" w:cs="Arial"/>
                <w:b/>
                <w:bCs/>
                <w:sz w:val="20"/>
                <w:szCs w:val="20"/>
              </w:rPr>
            </w:pPr>
          </w:p>
          <w:p w14:paraId="73E0BCBF"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niedrig</w:t>
            </w:r>
          </w:p>
        </w:tc>
        <w:tc>
          <w:tcPr>
            <w:tcW w:w="293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14:paraId="0FB5D484" w14:textId="77777777" w:rsidR="004B63CB" w:rsidRPr="00207748" w:rsidRDefault="00447357" w:rsidP="004454B6">
            <w:pPr>
              <w:spacing w:after="0"/>
              <w:ind w:right="72"/>
              <w:rPr>
                <w:rFonts w:ascii="Cambria" w:hAnsi="Cambria" w:cs="Arial"/>
                <w:b/>
                <w:bCs/>
                <w:spacing w:val="-2"/>
                <w:sz w:val="20"/>
                <w:szCs w:val="20"/>
              </w:rPr>
            </w:pPr>
            <w:r w:rsidRPr="00207748">
              <w:rPr>
                <w:rFonts w:ascii="Cambria" w:hAnsi="Cambria" w:cs="Arial"/>
                <w:b/>
                <w:bCs/>
                <w:spacing w:val="-2"/>
                <w:sz w:val="20"/>
                <w:szCs w:val="20"/>
              </w:rPr>
              <w:t>Wir schlagen vor, dass eine kalkulierte Kombinationstherapie NICHT routinemäßig zur Behandlung der Sepsis eingesetzt wird.</w:t>
            </w:r>
          </w:p>
          <w:p w14:paraId="4DA6796F" w14:textId="77777777" w:rsidR="004B63CB" w:rsidRPr="00207748" w:rsidRDefault="004B63CB" w:rsidP="004454B6">
            <w:pPr>
              <w:spacing w:after="0"/>
              <w:ind w:right="72"/>
              <w:rPr>
                <w:rFonts w:ascii="Cambria" w:hAnsi="Cambria" w:cs="Arial"/>
                <w:b/>
                <w:bCs/>
                <w:spacing w:val="-2"/>
                <w:sz w:val="20"/>
                <w:szCs w:val="20"/>
              </w:rPr>
            </w:pPr>
          </w:p>
          <w:p w14:paraId="068D7AFC" w14:textId="77777777" w:rsidR="00E11869" w:rsidRPr="00207748" w:rsidRDefault="004B63CB" w:rsidP="00BF7786">
            <w:pPr>
              <w:spacing w:after="0"/>
              <w:rPr>
                <w:rFonts w:ascii="Cambria" w:eastAsia="Arial" w:hAnsi="Cambria" w:cs="Arial"/>
                <w:b/>
                <w:bCs/>
                <w:spacing w:val="-2"/>
                <w:sz w:val="20"/>
                <w:szCs w:val="20"/>
              </w:rPr>
            </w:pPr>
            <w:r w:rsidRPr="00207748">
              <w:rPr>
                <w:rFonts w:ascii="Cambria" w:hAnsi="Cambria" w:cs="Arial"/>
                <w:b/>
                <w:sz w:val="20"/>
                <w:szCs w:val="20"/>
              </w:rPr>
              <w:t>Bemerkungen:</w:t>
            </w:r>
            <w:r w:rsidRPr="00207748">
              <w:rPr>
                <w:rFonts w:ascii="Cambria" w:hAnsi="Cambria" w:cs="Arial"/>
                <w:sz w:val="20"/>
                <w:szCs w:val="20"/>
              </w:rPr>
              <w:t xml:space="preserve"> Davon ausgenommen sind Situationen, bei denen für die auslösende Infektion in den entsprechenden Leitlinien eine Kombinationstherapie empfohlen wird (z. B. Endokarditis, ambulant erworbene Pneumonie, Toxic Schock Syndrom, ZNS-Infektionen, hohes Risiko für multiresistente Erreger). </w:t>
            </w:r>
          </w:p>
        </w:tc>
      </w:tr>
      <w:tr w:rsidR="00E11869" w:rsidRPr="00207748" w14:paraId="70E3CD53" w14:textId="77777777" w:rsidTr="002B1061">
        <w:trPr>
          <w:trHeight w:val="562"/>
        </w:trPr>
        <w:tc>
          <w:tcPr>
            <w:tcW w:w="2063" w:type="pct"/>
            <w:vMerge/>
            <w:tcBorders>
              <w:top w:val="single" w:sz="4" w:space="0" w:color="000000"/>
              <w:left w:val="single" w:sz="4" w:space="0" w:color="000000"/>
              <w:bottom w:val="single" w:sz="4" w:space="0" w:color="000000"/>
              <w:right w:val="single" w:sz="4" w:space="0" w:color="000000"/>
            </w:tcBorders>
            <w:shd w:val="clear" w:color="auto" w:fill="auto"/>
          </w:tcPr>
          <w:p w14:paraId="15CC9888" w14:textId="77777777" w:rsidR="00E11869" w:rsidRPr="00207748" w:rsidRDefault="00E11869" w:rsidP="004454B6">
            <w:pPr>
              <w:rPr>
                <w:rFonts w:ascii="Cambria" w:hAnsi="Cambria" w:cs="Arial"/>
                <w:sz w:val="20"/>
                <w:szCs w:val="20"/>
              </w:rPr>
            </w:pPr>
          </w:p>
        </w:tc>
        <w:tc>
          <w:tcPr>
            <w:tcW w:w="293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44BFB" w14:textId="165A7763"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SSC</w:t>
            </w:r>
            <w:r w:rsidR="001A58EF" w:rsidRPr="00207748">
              <w:rPr>
                <w:rFonts w:ascii="Cambria" w:hAnsi="Cambria" w:cs="Arial"/>
                <w:b/>
                <w:bCs/>
                <w:sz w:val="20"/>
                <w:szCs w:val="20"/>
              </w:rPr>
              <w:t>-</w:t>
            </w:r>
            <w:r w:rsidRPr="00207748">
              <w:rPr>
                <w:rFonts w:ascii="Cambria" w:hAnsi="Cambria" w:cs="Arial"/>
                <w:b/>
                <w:bCs/>
                <w:sz w:val="20"/>
                <w:szCs w:val="20"/>
              </w:rPr>
              <w:t>Leitl</w:t>
            </w:r>
            <w:r w:rsidR="002F45C9" w:rsidRPr="00207748">
              <w:rPr>
                <w:rFonts w:ascii="Cambria" w:hAnsi="Cambria" w:cs="Arial"/>
                <w:b/>
                <w:bCs/>
                <w:sz w:val="20"/>
                <w:szCs w:val="20"/>
              </w:rPr>
              <w:t xml:space="preserve">inienadaptation und </w:t>
            </w:r>
            <w:r w:rsidRPr="00207748">
              <w:rPr>
                <w:rFonts w:ascii="Cambria" w:hAnsi="Cambria" w:cs="Arial"/>
                <w:b/>
                <w:bCs/>
                <w:sz w:val="20"/>
                <w:szCs w:val="20"/>
              </w:rPr>
              <w:t>SSC</w:t>
            </w:r>
            <w:r w:rsidR="001A58EF" w:rsidRPr="00207748">
              <w:rPr>
                <w:rFonts w:ascii="Cambria" w:hAnsi="Cambria" w:cs="Arial"/>
                <w:b/>
                <w:bCs/>
                <w:sz w:val="20"/>
                <w:szCs w:val="20"/>
              </w:rPr>
              <w:t>-</w:t>
            </w:r>
            <w:r w:rsidRPr="00207748">
              <w:rPr>
                <w:rFonts w:ascii="Cambria" w:hAnsi="Cambria" w:cs="Arial"/>
                <w:b/>
                <w:bCs/>
                <w:sz w:val="20"/>
                <w:szCs w:val="20"/>
              </w:rPr>
              <w:t>Leitlinien</w:t>
            </w:r>
            <w:r w:rsidR="00B26F79">
              <w:rPr>
                <w:rFonts w:ascii="Cambria" w:hAnsi="Cambria" w:cs="Arial"/>
                <w:b/>
                <w:bCs/>
                <w:sz w:val="20"/>
                <w:szCs w:val="20"/>
              </w:rPr>
              <w:t>-</w:t>
            </w:r>
            <w:r w:rsidRPr="00207748">
              <w:rPr>
                <w:rFonts w:ascii="Cambria" w:hAnsi="Cambria" w:cs="Arial"/>
                <w:b/>
                <w:bCs/>
                <w:sz w:val="20"/>
                <w:szCs w:val="20"/>
              </w:rPr>
              <w:t xml:space="preserve">modifikation </w:t>
            </w:r>
          </w:p>
        </w:tc>
      </w:tr>
      <w:tr w:rsidR="00E11869" w:rsidRPr="00207748" w14:paraId="417EC8B9" w14:textId="77777777" w:rsidTr="002B1061">
        <w:trPr>
          <w:trHeight w:val="282"/>
        </w:trPr>
        <w:tc>
          <w:tcPr>
            <w:tcW w:w="20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8CDA1" w14:textId="77777777" w:rsidR="00E11869" w:rsidRPr="00207748" w:rsidRDefault="00E11869" w:rsidP="004454B6">
            <w:pPr>
              <w:rPr>
                <w:rFonts w:ascii="Cambria" w:hAnsi="Cambria" w:cs="Arial"/>
                <w:sz w:val="20"/>
                <w:szCs w:val="20"/>
              </w:rPr>
            </w:pPr>
          </w:p>
        </w:tc>
        <w:tc>
          <w:tcPr>
            <w:tcW w:w="293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589A7" w14:textId="4701DBD4" w:rsidR="00E11869" w:rsidRPr="00207748" w:rsidRDefault="00447357" w:rsidP="004454B6">
            <w:pPr>
              <w:spacing w:after="0"/>
              <w:rPr>
                <w:rFonts w:ascii="Cambria" w:hAnsi="Cambria" w:cs="Arial"/>
                <w:sz w:val="20"/>
                <w:szCs w:val="20"/>
              </w:rPr>
            </w:pPr>
            <w:r w:rsidRPr="00207748">
              <w:rPr>
                <w:rFonts w:ascii="Cambria" w:hAnsi="Cambria" w:cs="Arial"/>
                <w:sz w:val="20"/>
                <w:szCs w:val="20"/>
              </w:rPr>
              <w:t>Konsensstärke: 100 %</w:t>
            </w:r>
            <w:r w:rsidR="002B1061">
              <w:rPr>
                <w:rFonts w:ascii="Cambria" w:hAnsi="Cambria" w:cs="Arial"/>
                <w:sz w:val="20"/>
                <w:szCs w:val="20"/>
              </w:rPr>
              <w:t xml:space="preserve"> </w:t>
            </w:r>
          </w:p>
        </w:tc>
      </w:tr>
    </w:tbl>
    <w:p w14:paraId="37E74131" w14:textId="77777777" w:rsidR="00E11869" w:rsidRPr="00207748" w:rsidRDefault="00E11869" w:rsidP="004454B6">
      <w:pPr>
        <w:spacing w:after="120"/>
        <w:rPr>
          <w:rFonts w:ascii="Cambria" w:eastAsia="Arial" w:hAnsi="Cambria" w:cs="Arial"/>
          <w:sz w:val="20"/>
          <w:szCs w:val="20"/>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784"/>
        <w:gridCol w:w="1700"/>
        <w:gridCol w:w="849"/>
      </w:tblGrid>
      <w:tr w:rsidR="00E11869" w:rsidRPr="00207748" w14:paraId="73E253C0" w14:textId="77777777" w:rsidTr="002B1061">
        <w:trPr>
          <w:trHeight w:val="282"/>
        </w:trPr>
        <w:tc>
          <w:tcPr>
            <w:tcW w:w="2058"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3DBCC26D"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t>D. 8</w:t>
            </w:r>
          </w:p>
        </w:tc>
        <w:tc>
          <w:tcPr>
            <w:tcW w:w="1962"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0D7BB055"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 xml:space="preserve">Empfehlung </w:t>
            </w:r>
          </w:p>
        </w:tc>
        <w:tc>
          <w:tcPr>
            <w:tcW w:w="980"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D287376"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2018</w:t>
            </w:r>
          </w:p>
        </w:tc>
      </w:tr>
      <w:tr w:rsidR="00E11869" w:rsidRPr="00207748" w14:paraId="34DC9978" w14:textId="77777777" w:rsidTr="002B1061">
        <w:trPr>
          <w:trHeight w:val="2242"/>
        </w:trPr>
        <w:tc>
          <w:tcPr>
            <w:tcW w:w="2058"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3DD71"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t>Empfehlungsgrad</w:t>
            </w:r>
          </w:p>
          <w:p w14:paraId="2B431916" w14:textId="77777777" w:rsidR="00E11869" w:rsidRPr="00207748" w:rsidRDefault="00E11869" w:rsidP="004454B6">
            <w:pPr>
              <w:spacing w:after="0"/>
              <w:rPr>
                <w:rFonts w:ascii="Cambria" w:eastAsia="Arial" w:hAnsi="Cambria" w:cs="Arial"/>
                <w:sz w:val="20"/>
                <w:szCs w:val="20"/>
              </w:rPr>
            </w:pPr>
          </w:p>
          <w:p w14:paraId="48261D16" w14:textId="77777777" w:rsidR="00E11869" w:rsidRPr="00207748" w:rsidRDefault="00447357" w:rsidP="004454B6">
            <w:pPr>
              <w:spacing w:after="0"/>
              <w:rPr>
                <w:rFonts w:ascii="Cambria" w:eastAsia="Arial" w:hAnsi="Cambria" w:cs="Arial"/>
                <w:b/>
                <w:bCs/>
                <w:sz w:val="20"/>
                <w:szCs w:val="20"/>
              </w:rPr>
            </w:pPr>
            <w:r w:rsidRPr="00207748">
              <w:rPr>
                <w:rFonts w:ascii="Cambria" w:hAnsi="Cambria" w:cs="Arial"/>
                <w:b/>
                <w:bCs/>
                <w:sz w:val="20"/>
                <w:szCs w:val="20"/>
              </w:rPr>
              <w:t>stark</w:t>
            </w:r>
          </w:p>
          <w:p w14:paraId="7936A264" w14:textId="77777777" w:rsidR="00E11869" w:rsidRPr="00207748" w:rsidRDefault="00E11869" w:rsidP="004454B6">
            <w:pPr>
              <w:spacing w:after="0"/>
              <w:rPr>
                <w:rFonts w:ascii="Cambria" w:eastAsia="Arial" w:hAnsi="Cambria" w:cs="Arial"/>
                <w:sz w:val="20"/>
                <w:szCs w:val="20"/>
              </w:rPr>
            </w:pPr>
          </w:p>
          <w:p w14:paraId="4000C885"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t>Evidenzgrad</w:t>
            </w:r>
          </w:p>
          <w:p w14:paraId="79196942" w14:textId="77777777" w:rsidR="00E11869" w:rsidRPr="00207748" w:rsidRDefault="00E11869" w:rsidP="004454B6">
            <w:pPr>
              <w:spacing w:after="0"/>
              <w:rPr>
                <w:rFonts w:ascii="Cambria" w:eastAsia="Arial" w:hAnsi="Cambria" w:cs="Arial"/>
                <w:b/>
                <w:bCs/>
                <w:sz w:val="20"/>
                <w:szCs w:val="20"/>
              </w:rPr>
            </w:pPr>
          </w:p>
          <w:p w14:paraId="5EE80C19"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moderat</w:t>
            </w:r>
          </w:p>
        </w:tc>
        <w:tc>
          <w:tcPr>
            <w:tcW w:w="2942"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14:paraId="0725167E" w14:textId="77777777" w:rsidR="00E11869" w:rsidRPr="00207748" w:rsidRDefault="00447357" w:rsidP="004454B6">
            <w:pPr>
              <w:spacing w:after="0"/>
              <w:ind w:right="72"/>
              <w:rPr>
                <w:rFonts w:ascii="Cambria" w:hAnsi="Cambria" w:cs="Arial"/>
                <w:sz w:val="20"/>
                <w:szCs w:val="20"/>
              </w:rPr>
            </w:pPr>
            <w:r w:rsidRPr="00207748">
              <w:rPr>
                <w:rFonts w:ascii="Cambria" w:hAnsi="Cambria" w:cs="Arial"/>
                <w:b/>
                <w:bCs/>
                <w:sz w:val="20"/>
                <w:szCs w:val="20"/>
              </w:rPr>
              <w:t xml:space="preserve">Wir empfehlen, dass von einer Kombinationstherapie zur routinemäßigen Behandlung von neutropenischer Sepsis/ Bakteriämie abgesehen wird. </w:t>
            </w:r>
          </w:p>
        </w:tc>
      </w:tr>
      <w:tr w:rsidR="00E11869" w:rsidRPr="00207748" w14:paraId="21041CAF" w14:textId="77777777" w:rsidTr="002B1061">
        <w:trPr>
          <w:trHeight w:val="562"/>
        </w:trPr>
        <w:tc>
          <w:tcPr>
            <w:tcW w:w="2058" w:type="pct"/>
            <w:vMerge/>
            <w:tcBorders>
              <w:top w:val="single" w:sz="4" w:space="0" w:color="000000"/>
              <w:left w:val="single" w:sz="4" w:space="0" w:color="000000"/>
              <w:bottom w:val="single" w:sz="4" w:space="0" w:color="000000"/>
              <w:right w:val="single" w:sz="4" w:space="0" w:color="000000"/>
            </w:tcBorders>
            <w:shd w:val="clear" w:color="auto" w:fill="auto"/>
          </w:tcPr>
          <w:p w14:paraId="0DF86531" w14:textId="77777777" w:rsidR="00E11869" w:rsidRPr="00207748" w:rsidRDefault="00E11869" w:rsidP="004454B6">
            <w:pPr>
              <w:rPr>
                <w:rFonts w:ascii="Cambria" w:hAnsi="Cambria" w:cs="Arial"/>
                <w:sz w:val="20"/>
                <w:szCs w:val="20"/>
              </w:rPr>
            </w:pPr>
          </w:p>
        </w:tc>
        <w:tc>
          <w:tcPr>
            <w:tcW w:w="2942"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EBF0D"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SSC</w:t>
            </w:r>
            <w:r w:rsidR="00420A45" w:rsidRPr="00207748">
              <w:rPr>
                <w:rFonts w:ascii="Cambria" w:hAnsi="Cambria" w:cs="Arial"/>
                <w:b/>
                <w:bCs/>
                <w:sz w:val="20"/>
                <w:szCs w:val="20"/>
              </w:rPr>
              <w:t>-</w:t>
            </w:r>
            <w:r w:rsidRPr="00207748">
              <w:rPr>
                <w:rFonts w:ascii="Cambria" w:hAnsi="Cambria" w:cs="Arial"/>
                <w:b/>
                <w:bCs/>
                <w:sz w:val="20"/>
                <w:szCs w:val="20"/>
              </w:rPr>
              <w:t xml:space="preserve">Leitlinienadaptation </w:t>
            </w:r>
          </w:p>
        </w:tc>
      </w:tr>
      <w:tr w:rsidR="00E11869" w:rsidRPr="00207748" w14:paraId="74FBB650" w14:textId="77777777" w:rsidTr="002B1061">
        <w:trPr>
          <w:trHeight w:val="282"/>
        </w:trPr>
        <w:tc>
          <w:tcPr>
            <w:tcW w:w="20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D1993" w14:textId="77777777" w:rsidR="00E11869" w:rsidRPr="00207748" w:rsidRDefault="00E11869" w:rsidP="004454B6">
            <w:pPr>
              <w:rPr>
                <w:rFonts w:ascii="Cambria" w:hAnsi="Cambria" w:cs="Arial"/>
                <w:sz w:val="20"/>
                <w:szCs w:val="20"/>
              </w:rPr>
            </w:pPr>
          </w:p>
        </w:tc>
        <w:tc>
          <w:tcPr>
            <w:tcW w:w="2942"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AF87E" w14:textId="77777777" w:rsidR="00E11869" w:rsidRPr="00207748" w:rsidRDefault="00447357" w:rsidP="004454B6">
            <w:pPr>
              <w:spacing w:after="0"/>
              <w:rPr>
                <w:rFonts w:ascii="Cambria" w:hAnsi="Cambria" w:cs="Arial"/>
                <w:sz w:val="20"/>
                <w:szCs w:val="20"/>
              </w:rPr>
            </w:pPr>
            <w:r w:rsidRPr="00207748">
              <w:rPr>
                <w:rFonts w:ascii="Cambria" w:hAnsi="Cambria" w:cs="Arial"/>
                <w:sz w:val="20"/>
                <w:szCs w:val="20"/>
              </w:rPr>
              <w:t xml:space="preserve">Konsensstärke: 100 % </w:t>
            </w:r>
          </w:p>
        </w:tc>
      </w:tr>
    </w:tbl>
    <w:p w14:paraId="778E1245" w14:textId="203413FC" w:rsidR="00E11869" w:rsidRPr="00207748" w:rsidRDefault="00342FB3" w:rsidP="004454B6">
      <w:pPr>
        <w:spacing w:before="240"/>
        <w:rPr>
          <w:rFonts w:ascii="Cambria" w:eastAsia="Arial" w:hAnsi="Cambria" w:cs="Arial"/>
          <w:b/>
          <w:bCs/>
          <w:iCs/>
          <w:sz w:val="20"/>
          <w:szCs w:val="20"/>
        </w:rPr>
      </w:pPr>
      <w:r w:rsidRPr="00C706F2">
        <w:rPr>
          <w:rFonts w:ascii="Cambria" w:hAnsi="Cambria" w:cs="Arial"/>
          <w:b/>
          <w:bCs/>
          <w:sz w:val="20"/>
          <w:szCs w:val="20"/>
        </w:rPr>
        <w:t>Begründung</w:t>
      </w:r>
      <w:r w:rsidR="00447357" w:rsidRPr="00C706F2">
        <w:rPr>
          <w:rFonts w:ascii="Cambria" w:hAnsi="Cambria" w:cs="Arial"/>
          <w:b/>
          <w:bCs/>
          <w:sz w:val="20"/>
          <w:szCs w:val="20"/>
        </w:rPr>
        <w:t>:</w:t>
      </w:r>
      <w:r w:rsidR="00447357" w:rsidRPr="00C706F2">
        <w:rPr>
          <w:rFonts w:ascii="Cambria" w:hAnsi="Cambria" w:cs="Arial"/>
          <w:b/>
          <w:bCs/>
          <w:iCs/>
          <w:sz w:val="20"/>
          <w:szCs w:val="20"/>
        </w:rPr>
        <w:t xml:space="preserve"> </w:t>
      </w:r>
    </w:p>
    <w:p w14:paraId="205FE0F9" w14:textId="1E261A4B" w:rsidR="00E11869" w:rsidRPr="00207748" w:rsidRDefault="00447357" w:rsidP="004454B6">
      <w:pPr>
        <w:rPr>
          <w:rFonts w:ascii="Cambria" w:eastAsia="Arial" w:hAnsi="Cambria" w:cs="Arial"/>
          <w:sz w:val="20"/>
          <w:szCs w:val="20"/>
        </w:rPr>
      </w:pPr>
      <w:r w:rsidRPr="00207748">
        <w:rPr>
          <w:rFonts w:ascii="Cambria" w:hAnsi="Cambria" w:cs="Arial"/>
          <w:sz w:val="20"/>
          <w:szCs w:val="20"/>
        </w:rPr>
        <w:t xml:space="preserve">Die Bezeichnung „Kombinationstherapie“ im Kontext dieser Leitlinie bezieht sich auf die Verwendung von zwei verschiedenen Antibiotikaklassen (üblicherweise ein β-Laktam mit einem Fluorchinolon, Aminoglycosid oder Macrolid) für ein einzelnes Pathogen, von dem erwartet wird, dass dieses eine </w:t>
      </w:r>
      <w:r w:rsidR="00A01869" w:rsidRPr="00DC4B69">
        <w:rPr>
          <w:rFonts w:ascii="Cambria" w:hAnsi="Cambria" w:cs="Arial"/>
          <w:sz w:val="20"/>
          <w:szCs w:val="20"/>
        </w:rPr>
        <w:t xml:space="preserve">hohe </w:t>
      </w:r>
      <w:r w:rsidR="00816C96" w:rsidRPr="00DC4B69">
        <w:rPr>
          <w:rFonts w:ascii="Cambria" w:hAnsi="Cambria" w:cs="Arial"/>
          <w:sz w:val="20"/>
          <w:szCs w:val="20"/>
        </w:rPr>
        <w:t>Empfindlichkeit</w:t>
      </w:r>
      <w:r w:rsidR="002B1061">
        <w:rPr>
          <w:rFonts w:ascii="Cambria" w:hAnsi="Cambria" w:cs="Arial"/>
          <w:sz w:val="20"/>
          <w:szCs w:val="20"/>
        </w:rPr>
        <w:t xml:space="preserve"> </w:t>
      </w:r>
      <w:r w:rsidRPr="00207748">
        <w:rPr>
          <w:rFonts w:ascii="Cambria" w:hAnsi="Cambria" w:cs="Arial"/>
          <w:sz w:val="20"/>
          <w:szCs w:val="20"/>
        </w:rPr>
        <w:t xml:space="preserve">auf beide Wirkstoffe aufweist, und </w:t>
      </w:r>
      <w:r w:rsidR="00A01869" w:rsidRPr="00DC4B69">
        <w:rPr>
          <w:rFonts w:ascii="Cambria" w:hAnsi="Cambria" w:cs="Arial"/>
          <w:sz w:val="20"/>
          <w:szCs w:val="20"/>
        </w:rPr>
        <w:t>durch die Kombination die</w:t>
      </w:r>
      <w:r w:rsidRPr="00207748">
        <w:rPr>
          <w:rFonts w:ascii="Cambria" w:hAnsi="Cambria" w:cs="Arial"/>
          <w:sz w:val="20"/>
          <w:szCs w:val="20"/>
        </w:rPr>
        <w:t xml:space="preserve"> Clearance </w:t>
      </w:r>
      <w:r w:rsidR="00A01869" w:rsidRPr="00DC4B69">
        <w:rPr>
          <w:rFonts w:ascii="Cambria" w:hAnsi="Cambria" w:cs="Arial"/>
          <w:sz w:val="20"/>
          <w:szCs w:val="20"/>
        </w:rPr>
        <w:t>des</w:t>
      </w:r>
      <w:r w:rsidR="00A01869" w:rsidRPr="00C706F2">
        <w:rPr>
          <w:rFonts w:ascii="Cambria" w:hAnsi="Cambria" w:cs="Arial"/>
          <w:sz w:val="20"/>
          <w:szCs w:val="20"/>
        </w:rPr>
        <w:t xml:space="preserve"> </w:t>
      </w:r>
      <w:r w:rsidRPr="00C706F2">
        <w:rPr>
          <w:rFonts w:ascii="Cambria" w:hAnsi="Cambria" w:cs="Arial"/>
          <w:sz w:val="20"/>
          <w:szCs w:val="20"/>
        </w:rPr>
        <w:t>Pathogen</w:t>
      </w:r>
      <w:r w:rsidR="00A01869" w:rsidRPr="00DC4B69">
        <w:rPr>
          <w:rFonts w:ascii="Cambria" w:hAnsi="Cambria" w:cs="Arial"/>
          <w:sz w:val="20"/>
          <w:szCs w:val="20"/>
        </w:rPr>
        <w:t>s beschleunigt wird</w:t>
      </w:r>
      <w:r w:rsidRPr="00C706F2">
        <w:rPr>
          <w:rFonts w:ascii="Cambria" w:hAnsi="Cambria" w:cs="Arial"/>
          <w:sz w:val="20"/>
          <w:szCs w:val="20"/>
        </w:rPr>
        <w:t>.</w:t>
      </w:r>
      <w:r w:rsidRPr="00207748">
        <w:rPr>
          <w:rFonts w:ascii="Cambria" w:hAnsi="Cambria" w:cs="Arial"/>
          <w:sz w:val="20"/>
          <w:szCs w:val="20"/>
        </w:rPr>
        <w:t xml:space="preserve"> Der Begriff wird nicht in Fällen verwendet, in denen der Zweck einer Kombinationstherapie ausdrücklich darin besteht, das Spektrum der antimikrobiellen Aktivität zu erweitern (z.B. Vancomycin in Ergänzung zu Ceftazidim, Metronidazol in Ergänzung zu einem Aminoglycosid oder ein Echinocandin in Ergänzung zu einem β-Laktam).</w:t>
      </w:r>
    </w:p>
    <w:p w14:paraId="19466655" w14:textId="19D149F2" w:rsidR="00E11869" w:rsidRPr="00207748" w:rsidRDefault="00447357" w:rsidP="004454B6">
      <w:pPr>
        <w:rPr>
          <w:rFonts w:ascii="Cambria" w:eastAsia="Arial" w:hAnsi="Cambria" w:cs="Arial"/>
          <w:spacing w:val="-2"/>
          <w:sz w:val="20"/>
          <w:szCs w:val="20"/>
        </w:rPr>
      </w:pPr>
      <w:r w:rsidRPr="00207748">
        <w:rPr>
          <w:rFonts w:ascii="Cambria" w:hAnsi="Cambria" w:cs="Arial"/>
          <w:spacing w:val="-2"/>
          <w:sz w:val="20"/>
          <w:szCs w:val="20"/>
        </w:rPr>
        <w:t xml:space="preserve">Eine </w:t>
      </w:r>
      <w:r w:rsidR="00A01869" w:rsidRPr="00DC4B69">
        <w:rPr>
          <w:rFonts w:ascii="Cambria" w:hAnsi="Cambria" w:cs="Arial"/>
          <w:spacing w:val="-2"/>
          <w:sz w:val="20"/>
          <w:szCs w:val="20"/>
        </w:rPr>
        <w:t>Studie hat mittels</w:t>
      </w:r>
      <w:r w:rsidR="002B1061">
        <w:rPr>
          <w:rFonts w:ascii="Cambria" w:hAnsi="Cambria" w:cs="Arial"/>
          <w:spacing w:val="-2"/>
          <w:sz w:val="20"/>
          <w:szCs w:val="20"/>
        </w:rPr>
        <w:t xml:space="preserve"> </w:t>
      </w:r>
      <w:r w:rsidRPr="00207748">
        <w:rPr>
          <w:rFonts w:ascii="Cambria" w:hAnsi="Cambria" w:cs="Arial"/>
          <w:spacing w:val="-2"/>
          <w:sz w:val="20"/>
          <w:szCs w:val="20"/>
        </w:rPr>
        <w:t>Propensity-Matching-</w:t>
      </w:r>
      <w:r w:rsidRPr="00C706F2">
        <w:rPr>
          <w:rFonts w:ascii="Cambria" w:hAnsi="Cambria" w:cs="Arial"/>
          <w:spacing w:val="-2"/>
          <w:sz w:val="20"/>
          <w:szCs w:val="20"/>
        </w:rPr>
        <w:t>Verfahren</w:t>
      </w:r>
      <w:r w:rsidRPr="00E51AB1">
        <w:rPr>
          <w:rFonts w:ascii="Cambria" w:hAnsi="Cambria" w:cs="Arial"/>
          <w:spacing w:val="-2"/>
          <w:sz w:val="20"/>
          <w:szCs w:val="20"/>
        </w:rPr>
        <w:t xml:space="preserve"> </w:t>
      </w:r>
      <w:r w:rsidR="00A01869" w:rsidRPr="00DC4B69">
        <w:rPr>
          <w:rFonts w:ascii="Cambria" w:hAnsi="Cambria" w:cs="Arial"/>
          <w:spacing w:val="-2"/>
          <w:sz w:val="20"/>
          <w:szCs w:val="20"/>
        </w:rPr>
        <w:t>bzw</w:t>
      </w:r>
      <w:r w:rsidR="002B1061">
        <w:rPr>
          <w:rFonts w:ascii="Cambria" w:hAnsi="Cambria" w:cs="Arial"/>
          <w:spacing w:val="-2"/>
          <w:sz w:val="20"/>
          <w:szCs w:val="20"/>
        </w:rPr>
        <w:t xml:space="preserve"> </w:t>
      </w:r>
      <w:r w:rsidRPr="00207748">
        <w:rPr>
          <w:rFonts w:ascii="Cambria" w:hAnsi="Cambria" w:cs="Arial"/>
          <w:spacing w:val="-2"/>
          <w:sz w:val="20"/>
          <w:szCs w:val="20"/>
        </w:rPr>
        <w:t xml:space="preserve">eine Meta-Analyse/Meta-Regressionsanalyse haben </w:t>
      </w:r>
      <w:r w:rsidR="00A01869" w:rsidRPr="00DC4B69">
        <w:rPr>
          <w:rFonts w:ascii="Cambria" w:hAnsi="Cambria" w:cs="Arial"/>
          <w:spacing w:val="-2"/>
          <w:sz w:val="20"/>
          <w:szCs w:val="20"/>
        </w:rPr>
        <w:t>Hinweise darauf gegeben</w:t>
      </w:r>
      <w:r w:rsidRPr="00207748">
        <w:rPr>
          <w:rFonts w:ascii="Cambria" w:hAnsi="Cambria" w:cs="Arial"/>
          <w:spacing w:val="-2"/>
          <w:sz w:val="20"/>
          <w:szCs w:val="20"/>
        </w:rPr>
        <w:t xml:space="preserve">, dass eine Kombinationstherapie </w:t>
      </w:r>
      <w:r w:rsidR="00A01869" w:rsidRPr="00DC4B69">
        <w:rPr>
          <w:rFonts w:ascii="Cambria" w:hAnsi="Cambria" w:cs="Arial"/>
          <w:spacing w:val="-2"/>
          <w:sz w:val="20"/>
          <w:szCs w:val="20"/>
        </w:rPr>
        <w:t>mit einer</w:t>
      </w:r>
      <w:r w:rsidR="002B1061">
        <w:rPr>
          <w:rFonts w:ascii="Cambria" w:hAnsi="Cambria" w:cs="Arial"/>
          <w:spacing w:val="-2"/>
          <w:sz w:val="20"/>
          <w:szCs w:val="20"/>
        </w:rPr>
        <w:t xml:space="preserve"> </w:t>
      </w:r>
      <w:r w:rsidRPr="00C706F2">
        <w:rPr>
          <w:rFonts w:ascii="Cambria" w:hAnsi="Cambria" w:cs="Arial"/>
          <w:spacing w:val="-2"/>
          <w:sz w:val="20"/>
          <w:szCs w:val="20"/>
        </w:rPr>
        <w:t>höhere</w:t>
      </w:r>
      <w:r w:rsidR="00A01869" w:rsidRPr="00DC4B69">
        <w:rPr>
          <w:rFonts w:ascii="Cambria" w:hAnsi="Cambria" w:cs="Arial"/>
          <w:spacing w:val="-2"/>
          <w:sz w:val="20"/>
          <w:szCs w:val="20"/>
        </w:rPr>
        <w:t>n</w:t>
      </w:r>
      <w:r w:rsidRPr="00207748">
        <w:rPr>
          <w:rFonts w:ascii="Cambria" w:hAnsi="Cambria" w:cs="Arial"/>
          <w:spacing w:val="-2"/>
          <w:sz w:val="20"/>
          <w:szCs w:val="20"/>
        </w:rPr>
        <w:t xml:space="preserve"> Überlebensrate bei schwer erkrankten Patienten mit einem hohen Sterberisiko </w:t>
      </w:r>
      <w:r w:rsidR="00A01869" w:rsidRPr="00DC4B69">
        <w:rPr>
          <w:rFonts w:ascii="Cambria" w:hAnsi="Cambria" w:cs="Arial"/>
          <w:spacing w:val="-2"/>
          <w:sz w:val="20"/>
          <w:szCs w:val="20"/>
        </w:rPr>
        <w:t>assoziiert ist,</w:t>
      </w:r>
      <w:r w:rsidRPr="00C706F2">
        <w:rPr>
          <w:rFonts w:ascii="Cambria" w:hAnsi="Cambria" w:cs="Arial"/>
          <w:spacing w:val="-2"/>
          <w:sz w:val="20"/>
          <w:szCs w:val="20"/>
        </w:rPr>
        <w:t>,</w:t>
      </w:r>
      <w:r w:rsidRPr="00207748">
        <w:rPr>
          <w:rFonts w:ascii="Cambria" w:hAnsi="Cambria" w:cs="Arial"/>
          <w:spacing w:val="-2"/>
          <w:sz w:val="20"/>
          <w:szCs w:val="20"/>
        </w:rPr>
        <w:t xml:space="preserve"> insbesondere bei Patienten mit septischem Schock.</w:t>
      </w:r>
      <w:bookmarkStart w:id="373" w:name="_Ref30504877"/>
      <w:r w:rsidRPr="00207748">
        <w:rPr>
          <w:rFonts w:ascii="Cambria" w:eastAsia="Arial" w:hAnsi="Cambria" w:cs="Arial"/>
          <w:spacing w:val="-2"/>
          <w:sz w:val="20"/>
          <w:szCs w:val="20"/>
          <w:vertAlign w:val="superscript"/>
        </w:rPr>
        <w:endnoteReference w:id="191"/>
      </w:r>
      <w:bookmarkEnd w:id="373"/>
      <w:r w:rsidRPr="00207748">
        <w:rPr>
          <w:rFonts w:ascii="Cambria" w:hAnsi="Cambria" w:cs="Arial"/>
          <w:spacing w:val="-2"/>
          <w:sz w:val="20"/>
          <w:szCs w:val="20"/>
        </w:rPr>
        <w:t xml:space="preserve"> </w:t>
      </w:r>
      <w:bookmarkStart w:id="374" w:name="_Ref30505028"/>
      <w:r w:rsidRPr="00207748">
        <w:rPr>
          <w:rFonts w:ascii="Cambria" w:eastAsia="Arial" w:hAnsi="Cambria" w:cs="Arial"/>
          <w:spacing w:val="-2"/>
          <w:sz w:val="20"/>
          <w:szCs w:val="20"/>
          <w:vertAlign w:val="superscript"/>
        </w:rPr>
        <w:endnoteReference w:id="192"/>
      </w:r>
      <w:bookmarkEnd w:id="374"/>
      <w:r w:rsidRPr="00207748">
        <w:rPr>
          <w:rFonts w:ascii="Cambria" w:hAnsi="Cambria" w:cs="Arial"/>
          <w:spacing w:val="-2"/>
          <w:sz w:val="20"/>
          <w:szCs w:val="20"/>
        </w:rPr>
        <w:t xml:space="preserve"> Die Meta-Regressionsstudie</w:t>
      </w:r>
      <w:r w:rsidR="00CB26D4">
        <w:rPr>
          <w:rFonts w:ascii="Cambria" w:hAnsi="Cambria" w:cs="Arial"/>
          <w:spacing w:val="-2"/>
          <w:sz w:val="20"/>
          <w:szCs w:val="20"/>
        </w:rPr>
        <w:t xml:space="preserve"> </w:t>
      </w:r>
      <w:r w:rsidR="00CB26D4" w:rsidRPr="00CB26D4">
        <w:rPr>
          <w:rStyle w:val="EndnoteRealZchn"/>
        </w:rPr>
        <w:fldChar w:fldCharType="begin"/>
      </w:r>
      <w:r w:rsidR="00CB26D4" w:rsidRPr="00CB26D4">
        <w:rPr>
          <w:rStyle w:val="EndnoteRealZchn"/>
        </w:rPr>
        <w:instrText xml:space="preserve"> NOTEREF _Ref30504877 \h </w:instrText>
      </w:r>
      <w:r w:rsidR="00CB26D4">
        <w:rPr>
          <w:rStyle w:val="EndnoteRealZchn"/>
        </w:rPr>
        <w:instrText xml:space="preserve"> \* MERGEFORMAT </w:instrText>
      </w:r>
      <w:r w:rsidR="00CB26D4" w:rsidRPr="00CB26D4">
        <w:rPr>
          <w:rStyle w:val="EndnoteRealZchn"/>
        </w:rPr>
      </w:r>
      <w:r w:rsidR="00CB26D4" w:rsidRPr="00CB26D4">
        <w:rPr>
          <w:rStyle w:val="EndnoteRealZchn"/>
        </w:rPr>
        <w:fldChar w:fldCharType="separate"/>
      </w:r>
      <w:r w:rsidR="001A283B">
        <w:rPr>
          <w:rStyle w:val="EndnoteRealZchn"/>
        </w:rPr>
        <w:t>208</w:t>
      </w:r>
      <w:r w:rsidR="00CB26D4" w:rsidRPr="00CB26D4">
        <w:rPr>
          <w:rStyle w:val="EndnoteRealZchn"/>
        </w:rPr>
        <w:fldChar w:fldCharType="end"/>
      </w:r>
      <w:r w:rsidR="00CB26D4">
        <w:rPr>
          <w:rFonts w:ascii="Cambria" w:eastAsia="Arial" w:hAnsi="Cambria" w:cs="Arial"/>
          <w:spacing w:val="-2"/>
          <w:sz w:val="20"/>
          <w:szCs w:val="20"/>
          <w:vertAlign w:val="superscript"/>
        </w:rPr>
        <w:t xml:space="preserve"> </w:t>
      </w:r>
      <w:r w:rsidRPr="00207748">
        <w:rPr>
          <w:rFonts w:ascii="Cambria" w:hAnsi="Cambria" w:cs="Arial"/>
          <w:spacing w:val="-2"/>
          <w:sz w:val="20"/>
          <w:szCs w:val="20"/>
        </w:rPr>
        <w:t xml:space="preserve">wies auf den Nutzen einer Kombinationstherapie bei Patienten mit einem Mortalitätsrisiko von mehr als 25 % hin. Ebenso haben diverse Beobachtungsstudien einen Überlebensvorteil </w:t>
      </w:r>
      <w:r w:rsidR="00A01869" w:rsidRPr="00DC4B69">
        <w:rPr>
          <w:rFonts w:ascii="Cambria" w:hAnsi="Cambria" w:cs="Arial"/>
          <w:spacing w:val="-2"/>
          <w:sz w:val="20"/>
          <w:szCs w:val="20"/>
        </w:rPr>
        <w:t>mit hohem Sterberisiko aufgezeigt</w:t>
      </w:r>
      <w:r w:rsidRPr="00207748">
        <w:rPr>
          <w:rFonts w:ascii="Cambria" w:hAnsi="Cambria" w:cs="Arial"/>
          <w:spacing w:val="-2"/>
          <w:sz w:val="20"/>
          <w:szCs w:val="20"/>
        </w:rPr>
        <w:t>.</w:t>
      </w:r>
      <w:r w:rsidRPr="00207748">
        <w:rPr>
          <w:rFonts w:ascii="Cambria" w:eastAsia="Arial" w:hAnsi="Cambria" w:cs="Arial"/>
          <w:spacing w:val="-2"/>
          <w:sz w:val="20"/>
          <w:szCs w:val="20"/>
          <w:vertAlign w:val="superscript"/>
        </w:rPr>
        <w:endnoteReference w:id="193"/>
      </w:r>
      <w:r w:rsidRPr="00207748">
        <w:rPr>
          <w:rFonts w:ascii="Cambria" w:hAnsi="Cambria" w:cs="Arial"/>
          <w:spacing w:val="-2"/>
          <w:sz w:val="20"/>
          <w:szCs w:val="20"/>
        </w:rPr>
        <w:t xml:space="preserve"> </w:t>
      </w:r>
      <w:r w:rsidRPr="00207748">
        <w:rPr>
          <w:rFonts w:ascii="Cambria" w:eastAsia="Arial" w:hAnsi="Cambria" w:cs="Arial"/>
          <w:spacing w:val="-2"/>
          <w:sz w:val="20"/>
          <w:szCs w:val="20"/>
          <w:vertAlign w:val="superscript"/>
        </w:rPr>
        <w:endnoteReference w:id="194"/>
      </w:r>
      <w:r w:rsidRPr="00207748">
        <w:rPr>
          <w:rFonts w:ascii="Cambria" w:hAnsi="Cambria" w:cs="Arial"/>
          <w:spacing w:val="-2"/>
          <w:sz w:val="20"/>
          <w:szCs w:val="20"/>
        </w:rPr>
        <w:t xml:space="preserve"> </w:t>
      </w:r>
      <w:r w:rsidRPr="00207748">
        <w:rPr>
          <w:rFonts w:ascii="Cambria" w:eastAsia="Arial" w:hAnsi="Cambria" w:cs="Arial"/>
          <w:spacing w:val="-2"/>
          <w:sz w:val="20"/>
          <w:szCs w:val="20"/>
          <w:vertAlign w:val="superscript"/>
        </w:rPr>
        <w:endnoteReference w:id="195"/>
      </w:r>
      <w:r w:rsidRPr="00207748">
        <w:rPr>
          <w:rFonts w:ascii="Cambria" w:hAnsi="Cambria" w:cs="Arial"/>
          <w:spacing w:val="-2"/>
          <w:sz w:val="20"/>
          <w:szCs w:val="20"/>
        </w:rPr>
        <w:t xml:space="preserve"> </w:t>
      </w:r>
      <w:bookmarkStart w:id="375" w:name="_Ref30505191"/>
      <w:r w:rsidRPr="00207748">
        <w:rPr>
          <w:rFonts w:ascii="Cambria" w:eastAsia="Arial" w:hAnsi="Cambria" w:cs="Arial"/>
          <w:spacing w:val="-2"/>
          <w:sz w:val="20"/>
          <w:szCs w:val="20"/>
          <w:vertAlign w:val="superscript"/>
        </w:rPr>
        <w:endnoteReference w:id="196"/>
      </w:r>
      <w:bookmarkEnd w:id="375"/>
      <w:r w:rsidRPr="00207748">
        <w:rPr>
          <w:rFonts w:ascii="Cambria" w:hAnsi="Cambria" w:cs="Arial"/>
          <w:spacing w:val="-2"/>
          <w:sz w:val="20"/>
          <w:szCs w:val="20"/>
        </w:rPr>
        <w:t xml:space="preserve"> Die zuvor erwähnte Meta-Regressionsanalyse hat jedoch auch auf die Möglichkeit eines erhöhten </w:t>
      </w:r>
      <w:r w:rsidR="00C706F2" w:rsidRPr="00DC4B69">
        <w:rPr>
          <w:rFonts w:ascii="Cambria" w:hAnsi="Cambria" w:cs="Arial"/>
          <w:spacing w:val="-2"/>
          <w:sz w:val="20"/>
          <w:szCs w:val="20"/>
        </w:rPr>
        <w:t>Sterberisikos</w:t>
      </w:r>
      <w:r w:rsidRPr="00207748">
        <w:rPr>
          <w:rFonts w:ascii="Cambria" w:hAnsi="Cambria" w:cs="Arial"/>
          <w:spacing w:val="-2"/>
          <w:sz w:val="20"/>
          <w:szCs w:val="20"/>
        </w:rPr>
        <w:t xml:space="preserve"> bei</w:t>
      </w:r>
      <w:r w:rsidRPr="00C706F2">
        <w:rPr>
          <w:rFonts w:ascii="Cambria" w:hAnsi="Cambria" w:cs="Arial"/>
          <w:spacing w:val="-2"/>
          <w:sz w:val="20"/>
          <w:szCs w:val="20"/>
        </w:rPr>
        <w:t xml:space="preserve"> </w:t>
      </w:r>
      <w:r w:rsidR="00C706F2" w:rsidRPr="00DC4B69">
        <w:rPr>
          <w:rFonts w:ascii="Cambria" w:hAnsi="Cambria" w:cs="Arial"/>
          <w:spacing w:val="-2"/>
          <w:sz w:val="20"/>
          <w:szCs w:val="20"/>
        </w:rPr>
        <w:t>Verwendung</w:t>
      </w:r>
      <w:r w:rsidRPr="00207748">
        <w:rPr>
          <w:rFonts w:ascii="Cambria" w:hAnsi="Cambria" w:cs="Arial"/>
          <w:spacing w:val="-2"/>
          <w:sz w:val="20"/>
          <w:szCs w:val="20"/>
        </w:rPr>
        <w:t xml:space="preserve"> einer Kombinationstherapie bei Niedrigrisikopatienten (Mortalitätsrisiko &lt; 15 %) ohne septischen Schock hingewiesen.</w:t>
      </w:r>
      <w:r w:rsidR="00CB26D4">
        <w:rPr>
          <w:rFonts w:ascii="Cambria" w:hAnsi="Cambria" w:cs="Arial"/>
          <w:spacing w:val="-2"/>
          <w:sz w:val="20"/>
          <w:szCs w:val="20"/>
        </w:rPr>
        <w:t xml:space="preserve"> </w:t>
      </w:r>
      <w:r w:rsidR="00CB26D4" w:rsidRPr="00CB26D4">
        <w:rPr>
          <w:rStyle w:val="EndnoteRealZchn"/>
        </w:rPr>
        <w:fldChar w:fldCharType="begin"/>
      </w:r>
      <w:r w:rsidR="00CB26D4" w:rsidRPr="00CB26D4">
        <w:rPr>
          <w:rStyle w:val="EndnoteRealZchn"/>
        </w:rPr>
        <w:instrText xml:space="preserve"> NOTEREF _Ref30504877 \h </w:instrText>
      </w:r>
      <w:r w:rsidR="00CB26D4">
        <w:rPr>
          <w:rStyle w:val="EndnoteRealZchn"/>
        </w:rPr>
        <w:instrText xml:space="preserve"> \* MERGEFORMAT </w:instrText>
      </w:r>
      <w:r w:rsidR="00CB26D4" w:rsidRPr="00CB26D4">
        <w:rPr>
          <w:rStyle w:val="EndnoteRealZchn"/>
        </w:rPr>
      </w:r>
      <w:r w:rsidR="00CB26D4" w:rsidRPr="00CB26D4">
        <w:rPr>
          <w:rStyle w:val="EndnoteRealZchn"/>
        </w:rPr>
        <w:fldChar w:fldCharType="separate"/>
      </w:r>
      <w:r w:rsidR="001A283B">
        <w:rPr>
          <w:rStyle w:val="EndnoteRealZchn"/>
        </w:rPr>
        <w:t>208</w:t>
      </w:r>
      <w:r w:rsidR="00CB26D4" w:rsidRPr="00CB26D4">
        <w:rPr>
          <w:rStyle w:val="EndnoteRealZchn"/>
        </w:rPr>
        <w:fldChar w:fldCharType="end"/>
      </w:r>
      <w:r w:rsidR="00CB26D4">
        <w:rPr>
          <w:rFonts w:ascii="Cambria" w:eastAsia="Arial" w:hAnsi="Cambria" w:cs="Arial"/>
          <w:spacing w:val="-2"/>
          <w:sz w:val="20"/>
          <w:szCs w:val="20"/>
          <w:vertAlign w:val="superscript"/>
        </w:rPr>
        <w:t xml:space="preserve"> </w:t>
      </w:r>
      <w:r w:rsidRPr="00207748">
        <w:rPr>
          <w:rFonts w:ascii="Cambria" w:hAnsi="Cambria" w:cs="Arial"/>
          <w:spacing w:val="-2"/>
          <w:sz w:val="20"/>
          <w:szCs w:val="20"/>
        </w:rPr>
        <w:t xml:space="preserve">Eine kontrollierte Studie zeigte, dass bei der Verwendung eines Carbapenems als empirische Therapie bei einer Population mit einem niedrigen Infektionsrisiko in Bezug auf resistente Mikroorganismen die </w:t>
      </w:r>
      <w:r w:rsidR="00C706F2" w:rsidRPr="00DC4B69">
        <w:rPr>
          <w:rFonts w:ascii="Cambria" w:hAnsi="Cambria" w:cs="Arial"/>
          <w:spacing w:val="-2"/>
          <w:sz w:val="20"/>
          <w:szCs w:val="20"/>
        </w:rPr>
        <w:t>Kombination mit einem</w:t>
      </w:r>
      <w:r w:rsidR="002B1061">
        <w:rPr>
          <w:rFonts w:ascii="Cambria" w:hAnsi="Cambria" w:cs="Arial"/>
          <w:spacing w:val="-2"/>
          <w:sz w:val="20"/>
          <w:szCs w:val="20"/>
        </w:rPr>
        <w:t xml:space="preserve"> </w:t>
      </w:r>
      <w:r w:rsidRPr="00C706F2">
        <w:rPr>
          <w:rFonts w:ascii="Cambria" w:hAnsi="Cambria" w:cs="Arial"/>
          <w:spacing w:val="-2"/>
          <w:sz w:val="20"/>
          <w:szCs w:val="20"/>
        </w:rPr>
        <w:lastRenderedPageBreak/>
        <w:t>Fluorchinolon</w:t>
      </w:r>
      <w:r w:rsidRPr="00207748">
        <w:rPr>
          <w:rFonts w:ascii="Cambria" w:hAnsi="Cambria" w:cs="Arial"/>
          <w:spacing w:val="-2"/>
          <w:sz w:val="20"/>
          <w:szCs w:val="20"/>
        </w:rPr>
        <w:t xml:space="preserve"> nicht zu einer Verbesserung des Outcomes führt.</w:t>
      </w:r>
      <w:r w:rsidRPr="00207748">
        <w:rPr>
          <w:rFonts w:ascii="Cambria" w:eastAsia="Arial" w:hAnsi="Cambria" w:cs="Arial"/>
          <w:spacing w:val="-2"/>
          <w:sz w:val="20"/>
          <w:szCs w:val="20"/>
          <w:vertAlign w:val="superscript"/>
        </w:rPr>
        <w:endnoteReference w:id="197"/>
      </w:r>
      <w:r w:rsidRPr="00207748">
        <w:rPr>
          <w:rFonts w:ascii="Cambria" w:hAnsi="Cambria" w:cs="Arial"/>
          <w:spacing w:val="-2"/>
          <w:sz w:val="20"/>
          <w:szCs w:val="20"/>
        </w:rPr>
        <w:t xml:space="preserve"> Trotz der insgesamt vorteilhaften Evidenz für eine Kombinationstherapie bei septischem Schock steht keine direkte Evidenz aus RCTs mit angemessener Aussagekraft zur Verfügung</w:t>
      </w:r>
      <w:r w:rsidRPr="00C706F2">
        <w:rPr>
          <w:rFonts w:ascii="Cambria" w:hAnsi="Cambria" w:cs="Arial"/>
          <w:spacing w:val="-2"/>
          <w:sz w:val="20"/>
          <w:szCs w:val="20"/>
        </w:rPr>
        <w:t>,</w:t>
      </w:r>
      <w:r w:rsidR="00C706F2" w:rsidRPr="00DC4B69">
        <w:rPr>
          <w:rFonts w:ascii="Cambria" w:hAnsi="Cambria" w:cs="Arial"/>
          <w:spacing w:val="-2"/>
          <w:sz w:val="20"/>
          <w:szCs w:val="20"/>
        </w:rPr>
        <w:t>.</w:t>
      </w:r>
      <w:r w:rsidR="002B1061">
        <w:rPr>
          <w:rFonts w:ascii="Cambria" w:hAnsi="Cambria" w:cs="Arial"/>
          <w:spacing w:val="-2"/>
          <w:sz w:val="20"/>
          <w:szCs w:val="20"/>
        </w:rPr>
        <w:t xml:space="preserve"> </w:t>
      </w:r>
      <w:r w:rsidR="00C706F2" w:rsidRPr="00DC4B69">
        <w:rPr>
          <w:rFonts w:ascii="Cambria" w:hAnsi="Cambria" w:cs="Arial"/>
          <w:spacing w:val="-2"/>
          <w:sz w:val="20"/>
          <w:szCs w:val="20"/>
        </w:rPr>
        <w:t>Möglicherweise ist bei septischem Schock eine vorübergehende</w:t>
      </w:r>
      <w:r w:rsidRPr="00207748">
        <w:rPr>
          <w:rFonts w:ascii="Cambria" w:hAnsi="Cambria" w:cs="Arial"/>
          <w:spacing w:val="-2"/>
          <w:sz w:val="20"/>
          <w:szCs w:val="20"/>
        </w:rPr>
        <w:t xml:space="preserve"> Kombinationstherapie nützlich</w:t>
      </w:r>
      <w:r w:rsidR="00EF1A9E">
        <w:rPr>
          <w:rFonts w:ascii="Cambria" w:hAnsi="Cambria" w:cs="Arial"/>
          <w:spacing w:val="-2"/>
          <w:sz w:val="20"/>
          <w:szCs w:val="20"/>
        </w:rPr>
        <w:t xml:space="preserve"> </w:t>
      </w:r>
      <w:r w:rsidR="006B2B71" w:rsidRPr="006B2B71">
        <w:rPr>
          <w:rStyle w:val="EndnoteRealZchn"/>
          <w:sz w:val="20"/>
          <w:szCs w:val="20"/>
        </w:rPr>
        <w:fldChar w:fldCharType="begin"/>
      </w:r>
      <w:r w:rsidR="006B2B71" w:rsidRPr="006B2B71">
        <w:rPr>
          <w:rStyle w:val="EndnoteRealZchn"/>
          <w:sz w:val="20"/>
          <w:szCs w:val="20"/>
        </w:rPr>
        <w:instrText xml:space="preserve"> NOTEREF _Ref30585421 \h  \* MERGEFORMAT </w:instrText>
      </w:r>
      <w:r w:rsidR="006B2B71" w:rsidRPr="006B2B71">
        <w:rPr>
          <w:rStyle w:val="EndnoteRealZchn"/>
          <w:sz w:val="20"/>
          <w:szCs w:val="20"/>
        </w:rPr>
      </w:r>
      <w:r w:rsidR="006B2B71" w:rsidRPr="006B2B71">
        <w:rPr>
          <w:rStyle w:val="EndnoteRealZchn"/>
          <w:sz w:val="20"/>
          <w:szCs w:val="20"/>
        </w:rPr>
        <w:fldChar w:fldCharType="separate"/>
      </w:r>
      <w:r w:rsidR="001A283B">
        <w:rPr>
          <w:rStyle w:val="EndnoteRealZchn"/>
          <w:sz w:val="20"/>
          <w:szCs w:val="20"/>
        </w:rPr>
        <w:t>191</w:t>
      </w:r>
      <w:r w:rsidR="006B2B71" w:rsidRPr="006B2B71">
        <w:rPr>
          <w:rStyle w:val="EndnoteRealZchn"/>
          <w:sz w:val="20"/>
          <w:szCs w:val="20"/>
        </w:rPr>
        <w:fldChar w:fldCharType="end"/>
      </w:r>
      <w:r w:rsidRPr="00207748">
        <w:rPr>
          <w:rFonts w:ascii="Cambria" w:hAnsi="Cambria" w:cs="Arial"/>
          <w:spacing w:val="-2"/>
          <w:sz w:val="20"/>
          <w:szCs w:val="20"/>
        </w:rPr>
        <w:t xml:space="preserve"> </w:t>
      </w:r>
      <w:r w:rsidR="00CB26D4" w:rsidRPr="006B2B71">
        <w:rPr>
          <w:rStyle w:val="EndnoteRealZchn"/>
          <w:sz w:val="20"/>
          <w:szCs w:val="20"/>
        </w:rPr>
        <w:fldChar w:fldCharType="begin"/>
      </w:r>
      <w:r w:rsidR="00CB26D4" w:rsidRPr="006B2B71">
        <w:rPr>
          <w:rStyle w:val="EndnoteRealZchn"/>
          <w:sz w:val="20"/>
          <w:szCs w:val="20"/>
        </w:rPr>
        <w:instrText xml:space="preserve"> NOTEREF _Ref30504877 \h  \* MERGEFORMAT </w:instrText>
      </w:r>
      <w:r w:rsidR="00CB26D4" w:rsidRPr="006B2B71">
        <w:rPr>
          <w:rStyle w:val="EndnoteRealZchn"/>
          <w:sz w:val="20"/>
          <w:szCs w:val="20"/>
        </w:rPr>
      </w:r>
      <w:r w:rsidR="00CB26D4" w:rsidRPr="006B2B71">
        <w:rPr>
          <w:rStyle w:val="EndnoteRealZchn"/>
          <w:sz w:val="20"/>
          <w:szCs w:val="20"/>
        </w:rPr>
        <w:fldChar w:fldCharType="separate"/>
      </w:r>
      <w:r w:rsidR="001A283B">
        <w:rPr>
          <w:rStyle w:val="EndnoteRealZchn"/>
          <w:sz w:val="20"/>
          <w:szCs w:val="20"/>
        </w:rPr>
        <w:t>208</w:t>
      </w:r>
      <w:r w:rsidR="00CB26D4" w:rsidRPr="006B2B71">
        <w:rPr>
          <w:rStyle w:val="EndnoteRealZchn"/>
          <w:sz w:val="20"/>
          <w:szCs w:val="20"/>
        </w:rPr>
        <w:fldChar w:fldCharType="end"/>
      </w:r>
      <w:r w:rsidR="00CB26D4" w:rsidRPr="006B2B71">
        <w:rPr>
          <w:rStyle w:val="EndnoteRealZchn"/>
          <w:sz w:val="20"/>
          <w:szCs w:val="20"/>
        </w:rPr>
        <w:t xml:space="preserve"> </w:t>
      </w:r>
      <w:r w:rsidR="00CB26D4" w:rsidRPr="006B2B71">
        <w:rPr>
          <w:spacing w:val="-2"/>
          <w:sz w:val="20"/>
          <w:szCs w:val="20"/>
        </w:rPr>
        <w:fldChar w:fldCharType="begin"/>
      </w:r>
      <w:r w:rsidR="00CB26D4" w:rsidRPr="006B2B71">
        <w:rPr>
          <w:rStyle w:val="EndnoteRealZchn"/>
          <w:sz w:val="20"/>
          <w:szCs w:val="20"/>
        </w:rPr>
        <w:instrText xml:space="preserve"> NOTEREF _Ref30505028 \h </w:instrText>
      </w:r>
      <w:r w:rsidR="006B2B71">
        <w:rPr>
          <w:spacing w:val="-2"/>
          <w:sz w:val="20"/>
          <w:szCs w:val="20"/>
        </w:rPr>
        <w:instrText xml:space="preserve"> \* MERGEFORMAT </w:instrText>
      </w:r>
      <w:r w:rsidR="00CB26D4" w:rsidRPr="006B2B71">
        <w:rPr>
          <w:spacing w:val="-2"/>
          <w:sz w:val="20"/>
          <w:szCs w:val="20"/>
        </w:rPr>
      </w:r>
      <w:r w:rsidR="00CB26D4" w:rsidRPr="006B2B71">
        <w:rPr>
          <w:spacing w:val="-2"/>
          <w:sz w:val="20"/>
          <w:szCs w:val="20"/>
        </w:rPr>
        <w:fldChar w:fldCharType="separate"/>
      </w:r>
      <w:r w:rsidR="001A283B">
        <w:rPr>
          <w:rStyle w:val="EndnoteRealZchn"/>
          <w:sz w:val="20"/>
          <w:szCs w:val="20"/>
        </w:rPr>
        <w:t>209</w:t>
      </w:r>
      <w:r w:rsidR="00CB26D4" w:rsidRPr="006B2B71">
        <w:rPr>
          <w:spacing w:val="-2"/>
          <w:sz w:val="20"/>
          <w:szCs w:val="20"/>
        </w:rPr>
        <w:fldChar w:fldCharType="end"/>
      </w:r>
      <w:r w:rsidR="00C706F2" w:rsidRPr="00DC4B69">
        <w:rPr>
          <w:rFonts w:ascii="Cambria" w:hAnsi="Cambria" w:cs="Arial"/>
          <w:spacing w:val="-2"/>
          <w:sz w:val="20"/>
          <w:szCs w:val="20"/>
        </w:rPr>
        <w:t>. Dagegen gibt es</w:t>
      </w:r>
      <w:r w:rsidRPr="00207748">
        <w:rPr>
          <w:rFonts w:ascii="Cambria" w:hAnsi="Cambria" w:cs="Arial"/>
          <w:spacing w:val="-2"/>
          <w:sz w:val="20"/>
          <w:szCs w:val="20"/>
        </w:rPr>
        <w:t xml:space="preserve"> auch wenn keine </w:t>
      </w:r>
      <w:r w:rsidR="00C706F2" w:rsidRPr="00DC4B69">
        <w:rPr>
          <w:rFonts w:ascii="Cambria" w:hAnsi="Cambria" w:cs="Arial"/>
          <w:spacing w:val="-2"/>
          <w:sz w:val="20"/>
          <w:szCs w:val="20"/>
        </w:rPr>
        <w:t>Hinweise</w:t>
      </w:r>
      <w:r w:rsidRPr="00207748">
        <w:rPr>
          <w:rFonts w:ascii="Cambria" w:hAnsi="Cambria" w:cs="Arial"/>
          <w:spacing w:val="-2"/>
          <w:sz w:val="20"/>
          <w:szCs w:val="20"/>
        </w:rPr>
        <w:t xml:space="preserve"> für ein </w:t>
      </w:r>
      <w:r w:rsidR="00C706F2" w:rsidRPr="00DC4B69">
        <w:rPr>
          <w:rFonts w:ascii="Cambria" w:hAnsi="Cambria" w:cs="Arial"/>
          <w:spacing w:val="-2"/>
          <w:sz w:val="20"/>
          <w:szCs w:val="20"/>
        </w:rPr>
        <w:t>besseres</w:t>
      </w:r>
      <w:r w:rsidRPr="00207748">
        <w:rPr>
          <w:rFonts w:ascii="Cambria" w:hAnsi="Cambria" w:cs="Arial"/>
          <w:spacing w:val="-2"/>
          <w:sz w:val="20"/>
          <w:szCs w:val="20"/>
        </w:rPr>
        <w:t xml:space="preserve"> klinisches </w:t>
      </w:r>
      <w:r w:rsidR="00C706F2" w:rsidRPr="00DC4B69">
        <w:rPr>
          <w:rFonts w:ascii="Cambria" w:hAnsi="Cambria" w:cs="Arial"/>
          <w:spacing w:val="-2"/>
          <w:sz w:val="20"/>
          <w:szCs w:val="20"/>
        </w:rPr>
        <w:t>outcome</w:t>
      </w:r>
      <w:r w:rsidR="002B1061">
        <w:rPr>
          <w:rFonts w:ascii="Cambria" w:hAnsi="Cambria" w:cs="Arial"/>
          <w:spacing w:val="-2"/>
          <w:sz w:val="20"/>
          <w:szCs w:val="20"/>
        </w:rPr>
        <w:t xml:space="preserve"> </w:t>
      </w:r>
      <w:r w:rsidRPr="00207748">
        <w:rPr>
          <w:rFonts w:ascii="Cambria" w:hAnsi="Cambria" w:cs="Arial"/>
          <w:spacing w:val="-2"/>
          <w:sz w:val="20"/>
          <w:szCs w:val="20"/>
        </w:rPr>
        <w:t>bei</w:t>
      </w:r>
      <w:r w:rsidRPr="00C706F2">
        <w:rPr>
          <w:rFonts w:ascii="Cambria" w:hAnsi="Cambria" w:cs="Arial"/>
          <w:spacing w:val="-2"/>
          <w:sz w:val="20"/>
          <w:szCs w:val="20"/>
        </w:rPr>
        <w:t xml:space="preserve"> </w:t>
      </w:r>
      <w:r w:rsidR="00C706F2" w:rsidRPr="00DC4B69">
        <w:rPr>
          <w:rFonts w:ascii="Cambria" w:hAnsi="Cambria" w:cs="Arial"/>
          <w:spacing w:val="-2"/>
          <w:sz w:val="20"/>
          <w:szCs w:val="20"/>
        </w:rPr>
        <w:t>Patienten mit</w:t>
      </w:r>
      <w:r w:rsidRPr="00207748">
        <w:rPr>
          <w:rFonts w:ascii="Cambria" w:hAnsi="Cambria" w:cs="Arial"/>
          <w:spacing w:val="-2"/>
          <w:sz w:val="20"/>
          <w:szCs w:val="20"/>
        </w:rPr>
        <w:t xml:space="preserve"> Bakteriämie und Sepsis ohne Schock</w:t>
      </w:r>
      <w:r w:rsidRPr="00E51AB1">
        <w:rPr>
          <w:rFonts w:ascii="Cambria" w:hAnsi="Cambria" w:cs="Arial"/>
          <w:spacing w:val="-2"/>
          <w:sz w:val="20"/>
          <w:szCs w:val="20"/>
        </w:rPr>
        <w:t>.</w:t>
      </w:r>
    </w:p>
    <w:p w14:paraId="3CD0955C" w14:textId="51EC9140" w:rsidR="00E11869" w:rsidRPr="00207748" w:rsidRDefault="00447357" w:rsidP="004454B6">
      <w:pPr>
        <w:rPr>
          <w:rFonts w:ascii="Cambria" w:eastAsia="Arial" w:hAnsi="Cambria" w:cs="Arial"/>
          <w:sz w:val="20"/>
          <w:szCs w:val="20"/>
        </w:rPr>
      </w:pPr>
      <w:r w:rsidRPr="00207748">
        <w:rPr>
          <w:rFonts w:ascii="Cambria" w:hAnsi="Cambria" w:cs="Arial"/>
          <w:sz w:val="20"/>
          <w:szCs w:val="20"/>
        </w:rPr>
        <w:t>Eine Reihe von weiteren Beobachtungsstudien und einige kleine prospektive Studien unterstützen eine initiale Kombinationstherapie für ausgewählte Patienten mit spezifischen Pathogenen (z.B. schwere Pneumokokken</w:t>
      </w:r>
      <w:r w:rsidR="00EC3DBA" w:rsidRPr="00207748">
        <w:rPr>
          <w:rFonts w:ascii="Cambria" w:hAnsi="Cambria" w:cs="Arial"/>
          <w:sz w:val="20"/>
          <w:szCs w:val="20"/>
        </w:rPr>
        <w:t>-I</w:t>
      </w:r>
      <w:r w:rsidRPr="00207748">
        <w:rPr>
          <w:rFonts w:ascii="Cambria" w:hAnsi="Cambria" w:cs="Arial"/>
          <w:sz w:val="20"/>
          <w:szCs w:val="20"/>
        </w:rPr>
        <w:t xml:space="preserve">nfektion, multiresistente gram-negative Pathogene). </w:t>
      </w:r>
      <w:r w:rsidRPr="00EF1A9E">
        <w:rPr>
          <w:rStyle w:val="EndnoteRealZchn"/>
        </w:rPr>
        <w:endnoteReference w:id="198"/>
      </w:r>
      <w:r w:rsidRPr="00EF1A9E">
        <w:rPr>
          <w:rStyle w:val="EndnoteRealZchn"/>
        </w:rPr>
        <w:t xml:space="preserve"> </w:t>
      </w:r>
      <w:r w:rsidRPr="00EF1A9E">
        <w:rPr>
          <w:rStyle w:val="EndnoteRealZchn"/>
        </w:rPr>
        <w:endnoteReference w:id="199"/>
      </w:r>
      <w:r w:rsidRPr="00EF1A9E">
        <w:rPr>
          <w:rStyle w:val="EndnoteRealZchn"/>
        </w:rPr>
        <w:t xml:space="preserve"> </w:t>
      </w:r>
      <w:r w:rsidRPr="00EF1A9E">
        <w:rPr>
          <w:rStyle w:val="EndnoteRealZchn"/>
        </w:rPr>
        <w:endnoteReference w:id="200"/>
      </w:r>
      <w:r w:rsidRPr="00EF1A9E">
        <w:rPr>
          <w:rStyle w:val="EndnoteRealZchn"/>
        </w:rPr>
        <w:t xml:space="preserve"> </w:t>
      </w:r>
      <w:bookmarkStart w:id="376" w:name="_Ref30505130"/>
      <w:r w:rsidRPr="00EF1A9E">
        <w:rPr>
          <w:rStyle w:val="EndnoteRealZchn"/>
        </w:rPr>
        <w:endnoteReference w:id="201"/>
      </w:r>
      <w:bookmarkEnd w:id="376"/>
      <w:r w:rsidRPr="00EF1A9E">
        <w:rPr>
          <w:rStyle w:val="EndnoteRealZchn"/>
        </w:rPr>
        <w:t xml:space="preserve"> </w:t>
      </w:r>
      <w:r w:rsidRPr="00EF1A9E">
        <w:rPr>
          <w:rStyle w:val="EndnoteRealZchn"/>
        </w:rPr>
        <w:endnoteReference w:id="202"/>
      </w:r>
      <w:r w:rsidRPr="00EF1A9E">
        <w:rPr>
          <w:rStyle w:val="EndnoteRealZchn"/>
        </w:rPr>
        <w:t xml:space="preserve"> </w:t>
      </w:r>
      <w:bookmarkStart w:id="377" w:name="_Ref30512773"/>
      <w:r w:rsidRPr="00EF1A9E">
        <w:rPr>
          <w:rStyle w:val="EndnoteRealZchn"/>
        </w:rPr>
        <w:endnoteReference w:id="203"/>
      </w:r>
      <w:bookmarkEnd w:id="377"/>
      <w:r w:rsidRPr="00EF1A9E">
        <w:rPr>
          <w:rStyle w:val="EndnoteRealZchn"/>
        </w:rPr>
        <w:t xml:space="preserve"> </w:t>
      </w:r>
      <w:bookmarkStart w:id="378" w:name="_Ref30512549"/>
      <w:r w:rsidRPr="00EF1A9E">
        <w:rPr>
          <w:rStyle w:val="EndnoteRealZchn"/>
        </w:rPr>
        <w:endnoteReference w:id="204"/>
      </w:r>
      <w:bookmarkEnd w:id="378"/>
      <w:r w:rsidRPr="00EF1A9E">
        <w:rPr>
          <w:rStyle w:val="EndnoteRealZchn"/>
        </w:rPr>
        <w:t xml:space="preserve"> </w:t>
      </w:r>
      <w:r w:rsidR="00EF1A9E" w:rsidRPr="00EF1A9E">
        <w:rPr>
          <w:rStyle w:val="EndnoteRealZchn"/>
        </w:rPr>
        <w:fldChar w:fldCharType="begin"/>
      </w:r>
      <w:r w:rsidR="00EF1A9E" w:rsidRPr="00EF1A9E">
        <w:rPr>
          <w:rStyle w:val="EndnoteRealZchn"/>
        </w:rPr>
        <w:instrText xml:space="preserve"> NOTEREF _Ref30505191 \h  \* MERGEFORMAT </w:instrText>
      </w:r>
      <w:r w:rsidR="00EF1A9E" w:rsidRPr="00EF1A9E">
        <w:rPr>
          <w:rStyle w:val="EndnoteRealZchn"/>
        </w:rPr>
      </w:r>
      <w:r w:rsidR="00EF1A9E" w:rsidRPr="00EF1A9E">
        <w:rPr>
          <w:rStyle w:val="EndnoteRealZchn"/>
        </w:rPr>
        <w:fldChar w:fldCharType="separate"/>
      </w:r>
      <w:r w:rsidR="00EF1A9E" w:rsidRPr="00EF1A9E">
        <w:rPr>
          <w:rStyle w:val="EndnoteRealZchn"/>
        </w:rPr>
        <w:t>213</w:t>
      </w:r>
      <w:r w:rsidR="00EF1A9E" w:rsidRPr="00EF1A9E">
        <w:rPr>
          <w:rStyle w:val="EndnoteRealZchn"/>
        </w:rPr>
        <w:fldChar w:fldCharType="end"/>
      </w:r>
      <w:r w:rsidR="00EF1A9E">
        <w:rPr>
          <w:rStyle w:val="EndnoteRealZchn"/>
        </w:rPr>
        <w:t xml:space="preserve"> </w:t>
      </w:r>
      <w:r w:rsidRPr="00207748">
        <w:rPr>
          <w:rFonts w:ascii="Cambria" w:hAnsi="Cambria" w:cs="Arial"/>
          <w:sz w:val="20"/>
          <w:szCs w:val="20"/>
        </w:rPr>
        <w:t xml:space="preserve">Leider ist das verursachende Pathogen in den meisten Fällen nicht bekannt. Daher ist eine Kombinationstherapie in Bezug auf spezifische identifizierte Pathogene nur sinnvoll, wenn eine längere, gezielte Kombinationstherapie in Betracht gezogen wird. </w:t>
      </w:r>
      <w:r w:rsidR="004516B4" w:rsidRPr="00DC4B69">
        <w:rPr>
          <w:rFonts w:ascii="Cambria" w:hAnsi="Cambria" w:cs="Arial"/>
          <w:sz w:val="20"/>
          <w:szCs w:val="20"/>
        </w:rPr>
        <w:t xml:space="preserve">Bei Vorliegen von </w:t>
      </w:r>
      <w:r w:rsidRPr="004516B4">
        <w:rPr>
          <w:rFonts w:ascii="Cambria" w:hAnsi="Cambria" w:cs="Arial"/>
          <w:sz w:val="20"/>
          <w:szCs w:val="20"/>
        </w:rPr>
        <w:t>multiresistente</w:t>
      </w:r>
      <w:r w:rsidR="004516B4" w:rsidRPr="00DC4B69">
        <w:rPr>
          <w:rFonts w:ascii="Cambria" w:hAnsi="Cambria" w:cs="Arial"/>
          <w:sz w:val="20"/>
          <w:szCs w:val="20"/>
        </w:rPr>
        <w:t>n</w:t>
      </w:r>
      <w:r w:rsidRPr="004516B4">
        <w:rPr>
          <w:rFonts w:ascii="Cambria" w:hAnsi="Cambria" w:cs="Arial"/>
          <w:sz w:val="20"/>
          <w:szCs w:val="20"/>
        </w:rPr>
        <w:t xml:space="preserve"> Pathogene</w:t>
      </w:r>
      <w:r w:rsidR="004516B4" w:rsidRPr="00DC4B69">
        <w:rPr>
          <w:rFonts w:ascii="Cambria" w:hAnsi="Cambria" w:cs="Arial"/>
          <w:sz w:val="20"/>
          <w:szCs w:val="20"/>
        </w:rPr>
        <w:t>n hat eine Kombinationstherapie keine eindeutigen Vorteile</w:t>
      </w:r>
      <w:r w:rsidR="00EF1A9E">
        <w:rPr>
          <w:rFonts w:ascii="Cambria" w:hAnsi="Cambria" w:cs="Arial"/>
          <w:sz w:val="20"/>
          <w:szCs w:val="20"/>
        </w:rPr>
        <w:t>.</w:t>
      </w:r>
      <w:r w:rsidR="00EF1A9E" w:rsidRPr="00207748">
        <w:rPr>
          <w:rFonts w:ascii="Cambria" w:hAnsi="Cambria" w:cs="Arial"/>
          <w:sz w:val="20"/>
          <w:szCs w:val="20"/>
        </w:rPr>
        <w:t xml:space="preserve"> </w:t>
      </w:r>
      <w:r w:rsidRPr="00207748">
        <w:rPr>
          <w:rFonts w:ascii="Cambria" w:hAnsi="Cambria" w:cs="Arial"/>
          <w:sz w:val="20"/>
          <w:szCs w:val="20"/>
        </w:rPr>
        <w:t>Außerdem führen sowohl individuelle Studien als auch Meta-Analysen im Hinblick auf multiresistente Pathogene zu variablen Ergebnissen in Abhängigkeit vom Pathogen und dem klinischen Szenario</w:t>
      </w:r>
      <w:r w:rsidRPr="00EF1A9E">
        <w:rPr>
          <w:rStyle w:val="EndnoteRealZchn"/>
        </w:rPr>
        <w:t>.</w:t>
      </w:r>
      <w:r w:rsidRPr="00EF1A9E">
        <w:rPr>
          <w:rStyle w:val="EndnoteRealZchn"/>
        </w:rPr>
        <w:endnoteReference w:id="205"/>
      </w:r>
      <w:r w:rsidRPr="00EF1A9E">
        <w:rPr>
          <w:rStyle w:val="EndnoteRealZchn"/>
        </w:rPr>
        <w:t xml:space="preserve"> </w:t>
      </w:r>
      <w:r w:rsidRPr="00EF1A9E">
        <w:rPr>
          <w:rStyle w:val="EndnoteRealZchn"/>
        </w:rPr>
        <w:endnoteReference w:id="206"/>
      </w:r>
      <w:r w:rsidRPr="00EF1A9E">
        <w:rPr>
          <w:rStyle w:val="EndnoteRealZchn"/>
        </w:rPr>
        <w:t xml:space="preserve"> </w:t>
      </w:r>
      <w:r w:rsidR="00EF1A9E" w:rsidRPr="00EF1A9E">
        <w:rPr>
          <w:rStyle w:val="EndnoteRealZchn"/>
        </w:rPr>
        <w:fldChar w:fldCharType="begin"/>
      </w:r>
      <w:r w:rsidR="00EF1A9E" w:rsidRPr="00EF1A9E">
        <w:rPr>
          <w:rStyle w:val="EndnoteRealZchn"/>
        </w:rPr>
        <w:instrText xml:space="preserve"> NOTEREF _Ref30505130 \h  \* MERGEFORMAT </w:instrText>
      </w:r>
      <w:r w:rsidR="00EF1A9E" w:rsidRPr="00EF1A9E">
        <w:rPr>
          <w:rStyle w:val="EndnoteRealZchn"/>
        </w:rPr>
      </w:r>
      <w:r w:rsidR="00EF1A9E" w:rsidRPr="00EF1A9E">
        <w:rPr>
          <w:rStyle w:val="EndnoteRealZchn"/>
        </w:rPr>
        <w:fldChar w:fldCharType="separate"/>
      </w:r>
      <w:r w:rsidR="00EF1A9E" w:rsidRPr="00EF1A9E">
        <w:rPr>
          <w:rStyle w:val="EndnoteRealZchn"/>
        </w:rPr>
        <w:t>223</w:t>
      </w:r>
      <w:r w:rsidR="00EF1A9E" w:rsidRPr="00EF1A9E">
        <w:rPr>
          <w:rStyle w:val="EndnoteRealZchn"/>
        </w:rPr>
        <w:fldChar w:fldCharType="end"/>
      </w:r>
      <w:r w:rsidR="00EF1A9E" w:rsidRPr="00EF1A9E">
        <w:rPr>
          <w:rStyle w:val="EndnoteRealZchn"/>
        </w:rPr>
        <w:t xml:space="preserve"> </w:t>
      </w:r>
      <w:r w:rsidR="00EF1A9E" w:rsidRPr="00EF1A9E">
        <w:rPr>
          <w:rStyle w:val="EndnoteRealZchn"/>
        </w:rPr>
        <w:fldChar w:fldCharType="begin"/>
      </w:r>
      <w:r w:rsidR="00EF1A9E" w:rsidRPr="00EF1A9E">
        <w:rPr>
          <w:rStyle w:val="EndnoteRealZchn"/>
        </w:rPr>
        <w:instrText xml:space="preserve"> NOTEREF _Ref30512773 \h  \* MERGEFORMAT </w:instrText>
      </w:r>
      <w:r w:rsidR="00EF1A9E" w:rsidRPr="00EF1A9E">
        <w:rPr>
          <w:rStyle w:val="EndnoteRealZchn"/>
        </w:rPr>
      </w:r>
      <w:r w:rsidR="00EF1A9E" w:rsidRPr="00EF1A9E">
        <w:rPr>
          <w:rStyle w:val="EndnoteRealZchn"/>
        </w:rPr>
        <w:fldChar w:fldCharType="separate"/>
      </w:r>
      <w:r w:rsidR="00EF1A9E" w:rsidRPr="00EF1A9E">
        <w:rPr>
          <w:rStyle w:val="EndnoteRealZchn"/>
        </w:rPr>
        <w:t>225</w:t>
      </w:r>
      <w:r w:rsidR="00EF1A9E" w:rsidRPr="00EF1A9E">
        <w:rPr>
          <w:rStyle w:val="EndnoteRealZchn"/>
        </w:rPr>
        <w:fldChar w:fldCharType="end"/>
      </w:r>
      <w:r w:rsidR="00EF1A9E" w:rsidRPr="00EF1A9E">
        <w:rPr>
          <w:rStyle w:val="EndnoteRealZchn"/>
        </w:rPr>
        <w:t xml:space="preserve"> </w:t>
      </w:r>
      <w:r w:rsidR="00EF1A9E" w:rsidRPr="00EF1A9E">
        <w:rPr>
          <w:rStyle w:val="EndnoteRealZchn"/>
        </w:rPr>
        <w:fldChar w:fldCharType="begin"/>
      </w:r>
      <w:r w:rsidR="00EF1A9E" w:rsidRPr="00EF1A9E">
        <w:rPr>
          <w:rStyle w:val="EndnoteRealZchn"/>
        </w:rPr>
        <w:instrText xml:space="preserve"> NOTEREF _Ref30512549 \h  \* MERGEFORMAT </w:instrText>
      </w:r>
      <w:r w:rsidR="00EF1A9E" w:rsidRPr="00EF1A9E">
        <w:rPr>
          <w:rStyle w:val="EndnoteRealZchn"/>
        </w:rPr>
      </w:r>
      <w:r w:rsidR="00EF1A9E" w:rsidRPr="00EF1A9E">
        <w:rPr>
          <w:rStyle w:val="EndnoteRealZchn"/>
        </w:rPr>
        <w:fldChar w:fldCharType="separate"/>
      </w:r>
      <w:r w:rsidR="00EF1A9E" w:rsidRPr="00EF1A9E">
        <w:rPr>
          <w:rStyle w:val="EndnoteRealZchn"/>
        </w:rPr>
        <w:t>226</w:t>
      </w:r>
      <w:r w:rsidR="00EF1A9E" w:rsidRPr="00EF1A9E">
        <w:rPr>
          <w:rStyle w:val="EndnoteRealZchn"/>
        </w:rPr>
        <w:fldChar w:fldCharType="end"/>
      </w:r>
      <w:r w:rsidR="00EF1A9E">
        <w:rPr>
          <w:rStyle w:val="EndnoteRealZchn"/>
        </w:rPr>
        <w:t xml:space="preserve"> </w:t>
      </w:r>
      <w:r w:rsidRPr="00207748">
        <w:rPr>
          <w:rFonts w:ascii="Cambria" w:hAnsi="Cambria" w:cs="Arial"/>
          <w:sz w:val="20"/>
          <w:szCs w:val="20"/>
        </w:rPr>
        <w:t xml:space="preserve">Eine Konsultation </w:t>
      </w:r>
      <w:r w:rsidR="00420A45" w:rsidRPr="00207748">
        <w:rPr>
          <w:rFonts w:ascii="Cambria" w:hAnsi="Cambria" w:cs="Arial"/>
          <w:sz w:val="20"/>
          <w:szCs w:val="20"/>
        </w:rPr>
        <w:t xml:space="preserve">durch </w:t>
      </w:r>
      <w:r w:rsidR="004516B4" w:rsidRPr="00DC4B69">
        <w:rPr>
          <w:rFonts w:ascii="Cambria" w:hAnsi="Cambria" w:cs="Arial"/>
          <w:sz w:val="20"/>
          <w:szCs w:val="20"/>
        </w:rPr>
        <w:t xml:space="preserve">einen </w:t>
      </w:r>
      <w:r w:rsidR="00420A45" w:rsidRPr="00207748">
        <w:rPr>
          <w:rFonts w:ascii="Cambria" w:hAnsi="Cambria" w:cs="Arial"/>
          <w:sz w:val="20"/>
          <w:szCs w:val="20"/>
        </w:rPr>
        <w:t>Infektiologen</w:t>
      </w:r>
      <w:r w:rsidRPr="00207748">
        <w:rPr>
          <w:rFonts w:ascii="Cambria" w:hAnsi="Cambria" w:cs="Arial"/>
          <w:sz w:val="20"/>
          <w:szCs w:val="20"/>
        </w:rPr>
        <w:t xml:space="preserve"> </w:t>
      </w:r>
      <w:r w:rsidRPr="004516B4">
        <w:rPr>
          <w:rFonts w:ascii="Cambria" w:hAnsi="Cambria" w:cs="Arial"/>
          <w:sz w:val="20"/>
          <w:szCs w:val="20"/>
        </w:rPr>
        <w:t>k</w:t>
      </w:r>
      <w:r w:rsidR="004516B4" w:rsidRPr="00DC4B69">
        <w:rPr>
          <w:rFonts w:ascii="Cambria" w:hAnsi="Cambria" w:cs="Arial"/>
          <w:sz w:val="20"/>
          <w:szCs w:val="20"/>
        </w:rPr>
        <w:t>ann</w:t>
      </w:r>
      <w:r w:rsidRPr="00207748">
        <w:rPr>
          <w:rFonts w:ascii="Cambria" w:hAnsi="Cambria" w:cs="Arial"/>
          <w:sz w:val="20"/>
          <w:szCs w:val="20"/>
        </w:rPr>
        <w:t xml:space="preserve"> ratsam sein, wenn ein Verdacht auf multiresistente Pathogene besteht. Breiter Konsens in Bezug auf die Nutzung einer spezifischen Form </w:t>
      </w:r>
      <w:r w:rsidR="004516B4" w:rsidRPr="00DC4B69">
        <w:rPr>
          <w:rFonts w:ascii="Cambria" w:hAnsi="Cambria" w:cs="Arial"/>
          <w:sz w:val="20"/>
          <w:szCs w:val="20"/>
        </w:rPr>
        <w:t>einer</w:t>
      </w:r>
      <w:r w:rsidRPr="00207748">
        <w:rPr>
          <w:rFonts w:ascii="Cambria" w:hAnsi="Cambria" w:cs="Arial"/>
          <w:sz w:val="20"/>
          <w:szCs w:val="20"/>
        </w:rPr>
        <w:t xml:space="preserve"> Kombinationstherapie besteht beim toxischen Streptokokken-Schocksyndrom.</w:t>
      </w:r>
      <w:r w:rsidRPr="00207748">
        <w:rPr>
          <w:rFonts w:ascii="Cambria" w:eastAsia="Arial" w:hAnsi="Cambria" w:cs="Arial"/>
          <w:sz w:val="20"/>
          <w:szCs w:val="20"/>
          <w:vertAlign w:val="superscript"/>
        </w:rPr>
        <w:endnoteReference w:id="207"/>
      </w:r>
      <w:r w:rsidRPr="00207748">
        <w:rPr>
          <w:rFonts w:ascii="Cambria" w:hAnsi="Cambria" w:cs="Arial"/>
          <w:sz w:val="20"/>
          <w:szCs w:val="20"/>
        </w:rPr>
        <w:t xml:space="preserve"> </w:t>
      </w:r>
      <w:r w:rsidRPr="00207748">
        <w:rPr>
          <w:rFonts w:ascii="Cambria" w:eastAsia="Arial" w:hAnsi="Cambria" w:cs="Arial"/>
          <w:sz w:val="20"/>
          <w:szCs w:val="20"/>
          <w:vertAlign w:val="superscript"/>
        </w:rPr>
        <w:endnoteReference w:id="208"/>
      </w:r>
      <w:r w:rsidRPr="00207748">
        <w:rPr>
          <w:rFonts w:ascii="Cambria" w:hAnsi="Cambria" w:cs="Arial"/>
          <w:sz w:val="20"/>
          <w:szCs w:val="20"/>
        </w:rPr>
        <w:t xml:space="preserve"> </w:t>
      </w:r>
      <w:r w:rsidRPr="00207748">
        <w:rPr>
          <w:rFonts w:ascii="Cambria" w:eastAsia="Arial" w:hAnsi="Cambria" w:cs="Arial"/>
          <w:sz w:val="20"/>
          <w:szCs w:val="20"/>
          <w:vertAlign w:val="superscript"/>
        </w:rPr>
        <w:endnoteReference w:id="209"/>
      </w:r>
    </w:p>
    <w:p w14:paraId="28FEB307" w14:textId="033BF6BD" w:rsidR="00E11869" w:rsidRPr="00207748" w:rsidRDefault="00447357" w:rsidP="004454B6">
      <w:pPr>
        <w:rPr>
          <w:rFonts w:ascii="Cambria" w:eastAsia="Arial" w:hAnsi="Cambria" w:cs="Arial"/>
          <w:sz w:val="20"/>
          <w:szCs w:val="20"/>
        </w:rPr>
      </w:pPr>
      <w:r w:rsidRPr="00207748">
        <w:rPr>
          <w:rFonts w:ascii="Cambria" w:hAnsi="Cambria" w:cs="Arial"/>
          <w:sz w:val="20"/>
          <w:szCs w:val="20"/>
        </w:rPr>
        <w:t xml:space="preserve">Obwohl die </w:t>
      </w:r>
      <w:r w:rsidR="00B0710B" w:rsidRPr="00DC4B69">
        <w:rPr>
          <w:rFonts w:ascii="Cambria" w:hAnsi="Cambria" w:cs="Arial"/>
          <w:sz w:val="20"/>
          <w:szCs w:val="20"/>
        </w:rPr>
        <w:t>Datenlage</w:t>
      </w:r>
      <w:r w:rsidRPr="00207748">
        <w:rPr>
          <w:rFonts w:ascii="Cambria" w:hAnsi="Cambria" w:cs="Arial"/>
          <w:sz w:val="20"/>
          <w:szCs w:val="20"/>
        </w:rPr>
        <w:t xml:space="preserve"> den Nutzen einer </w:t>
      </w:r>
      <w:r w:rsidR="00B0710B" w:rsidRPr="00DC4B69">
        <w:rPr>
          <w:rFonts w:ascii="Cambria" w:hAnsi="Cambria" w:cs="Arial"/>
          <w:sz w:val="20"/>
          <w:szCs w:val="20"/>
        </w:rPr>
        <w:t xml:space="preserve">initialen </w:t>
      </w:r>
      <w:r w:rsidRPr="00207748">
        <w:rPr>
          <w:rFonts w:ascii="Cambria" w:hAnsi="Cambria" w:cs="Arial"/>
          <w:sz w:val="20"/>
          <w:szCs w:val="20"/>
        </w:rPr>
        <w:t xml:space="preserve">Kombinationstherapie bei septischem Schock unterstützt, wurde die Wirksamkeit einer </w:t>
      </w:r>
      <w:r w:rsidR="00B0710B" w:rsidRPr="00DC4B69">
        <w:rPr>
          <w:rFonts w:ascii="Cambria" w:hAnsi="Cambria" w:cs="Arial"/>
          <w:sz w:val="20"/>
          <w:szCs w:val="20"/>
        </w:rPr>
        <w:t xml:space="preserve">weiterführenden </w:t>
      </w:r>
      <w:r w:rsidRPr="00207748">
        <w:rPr>
          <w:rFonts w:ascii="Cambria" w:hAnsi="Cambria" w:cs="Arial"/>
          <w:sz w:val="20"/>
          <w:szCs w:val="20"/>
        </w:rPr>
        <w:t>anhaltenden Behandlung schwerer Infektionen (einschließlich Bakteriämie und Sepsis ohne septischen Schock) bisher nicht nachgewiesen.</w:t>
      </w:r>
      <w:r w:rsidRPr="00207748">
        <w:rPr>
          <w:rFonts w:ascii="Cambria" w:eastAsia="Arial" w:hAnsi="Cambria" w:cs="Arial"/>
          <w:sz w:val="20"/>
          <w:szCs w:val="20"/>
          <w:vertAlign w:val="superscript"/>
        </w:rPr>
        <w:endnoteReference w:id="210"/>
      </w:r>
      <w:r w:rsidRPr="00207748">
        <w:rPr>
          <w:rFonts w:ascii="Cambria" w:hAnsi="Cambria" w:cs="Arial"/>
          <w:sz w:val="20"/>
          <w:szCs w:val="20"/>
        </w:rPr>
        <w:t xml:space="preserve"> Der Begriff „anhaltende Behandlung“ beinhaltet eine erweiterte empirische Therapie bei </w:t>
      </w:r>
      <w:r w:rsidRPr="00207748">
        <w:rPr>
          <w:rFonts w:ascii="Cambria" w:hAnsi="Cambria" w:cs="Arial"/>
          <w:sz w:val="20"/>
          <w:szCs w:val="20"/>
        </w:rPr>
        <w:lastRenderedPageBreak/>
        <w:t xml:space="preserve">kulturnegativen Infektionen und eine erweiterte definitive/gezielte Therapie in Fällen, in denen ein Pathogen identifiziert wurde. Im Fall einer Neutropenie unter Abwesenheit eines septischen Schocks deuten Studien unter Verwendung moderner Breitspektrumantibiotika durchgängig darauf hin, dass eine Kombinationstherapie zur Erweiterung der Pathogenabdeckung (z.B. </w:t>
      </w:r>
      <w:r w:rsidR="00B0710B">
        <w:rPr>
          <w:rFonts w:ascii="Cambria" w:hAnsi="Cambria" w:cs="Arial"/>
          <w:sz w:val="20"/>
          <w:szCs w:val="20"/>
        </w:rPr>
        <w:t>unter</w:t>
      </w:r>
      <w:r w:rsidRPr="00207748">
        <w:rPr>
          <w:rFonts w:ascii="Cambria" w:hAnsi="Cambria" w:cs="Arial"/>
          <w:sz w:val="20"/>
          <w:szCs w:val="20"/>
        </w:rPr>
        <w:t xml:space="preserve"> Einbeziehung </w:t>
      </w:r>
      <w:r w:rsidR="00B0710B">
        <w:rPr>
          <w:rFonts w:ascii="Cambria" w:hAnsi="Cambria" w:cs="Arial"/>
          <w:sz w:val="20"/>
          <w:szCs w:val="20"/>
        </w:rPr>
        <w:t>von</w:t>
      </w:r>
      <w:r w:rsidRPr="00207748">
        <w:rPr>
          <w:rFonts w:ascii="Cambria" w:hAnsi="Cambria" w:cs="Arial"/>
          <w:sz w:val="20"/>
          <w:szCs w:val="20"/>
        </w:rPr>
        <w:t xml:space="preserve"> </w:t>
      </w:r>
      <w:r w:rsidRPr="00207748">
        <w:rPr>
          <w:rFonts w:ascii="Cambria" w:hAnsi="Cambria" w:cs="Arial"/>
          <w:iCs/>
          <w:sz w:val="20"/>
          <w:szCs w:val="20"/>
        </w:rPr>
        <w:t>Candida</w:t>
      </w:r>
      <w:r w:rsidRPr="00207748">
        <w:rPr>
          <w:rFonts w:ascii="Cambria" w:hAnsi="Cambria" w:cs="Arial"/>
          <w:sz w:val="20"/>
          <w:szCs w:val="20"/>
        </w:rPr>
        <w:t>-Spezies) zwar hilfreich sein kann, eine Kombinationstherapie unter Verwendung eines β-Laktams und eines Aminoglycosids aber nicht vorteilhaft für weniger schwer erkrankte „Niedrigrisiko“-Patienten ist.</w:t>
      </w:r>
      <w:r w:rsidRPr="00207748">
        <w:rPr>
          <w:rFonts w:ascii="Cambria" w:eastAsia="Arial" w:hAnsi="Cambria" w:cs="Arial"/>
          <w:sz w:val="20"/>
          <w:szCs w:val="20"/>
          <w:vertAlign w:val="superscript"/>
        </w:rPr>
        <w:endnoteReference w:id="211"/>
      </w:r>
      <w:r w:rsidRPr="00207748">
        <w:rPr>
          <w:rFonts w:ascii="Cambria" w:hAnsi="Cambria" w:cs="Arial"/>
          <w:sz w:val="20"/>
          <w:szCs w:val="20"/>
        </w:rPr>
        <w:t xml:space="preserve"> Eine Kombinationstherapie dieser Art wird sogar für „Hochrisiko“-Patienten mit Neutropenie (einschließlich einer hämodynamischen Instabilität und Organversagen), bei denen eine Sepsis vorliegt, von verschiedenen internationalen Expertengruppen nicht durchgängig unterstützt.</w:t>
      </w:r>
      <w:r w:rsidRPr="00207748">
        <w:rPr>
          <w:rFonts w:ascii="Cambria" w:eastAsia="Arial" w:hAnsi="Cambria" w:cs="Arial"/>
          <w:sz w:val="20"/>
          <w:szCs w:val="20"/>
          <w:vertAlign w:val="superscript"/>
        </w:rPr>
        <w:endnoteReference w:id="212"/>
      </w:r>
    </w:p>
    <w:p w14:paraId="4E26EDC2" w14:textId="6C45C749" w:rsidR="00E11869" w:rsidRPr="00207748" w:rsidRDefault="00447357" w:rsidP="004454B6">
      <w:pPr>
        <w:rPr>
          <w:rFonts w:ascii="Cambria" w:eastAsia="Arial" w:hAnsi="Cambria" w:cs="Arial"/>
          <w:sz w:val="20"/>
          <w:szCs w:val="20"/>
        </w:rPr>
      </w:pPr>
      <w:r w:rsidRPr="00207748">
        <w:rPr>
          <w:rFonts w:ascii="Cambria" w:hAnsi="Cambria" w:cs="Arial"/>
          <w:sz w:val="20"/>
          <w:szCs w:val="20"/>
        </w:rPr>
        <w:t>Daten hoher Qualität bezüglich der klinisch gesteuerten Deeskalation der antimikrobiellen Therapie bei schweren Infektionen stehen nur begrenzt zur Verfügung.</w:t>
      </w:r>
      <w:r w:rsidRPr="00207748">
        <w:rPr>
          <w:rFonts w:ascii="Cambria" w:eastAsia="Arial" w:hAnsi="Cambria" w:cs="Arial"/>
          <w:sz w:val="20"/>
          <w:szCs w:val="20"/>
          <w:vertAlign w:val="superscript"/>
        </w:rPr>
        <w:endnoteReference w:id="213"/>
      </w:r>
      <w:r w:rsidRPr="00207748">
        <w:rPr>
          <w:rFonts w:ascii="Cambria" w:hAnsi="Cambria" w:cs="Arial"/>
          <w:sz w:val="20"/>
          <w:szCs w:val="20"/>
        </w:rPr>
        <w:t xml:space="preserve"> Eine frühzeitige Deeskalation der antimikrobiellen Therapie im Kontext einer Kombinationstherapie ist bisher noch nicht untersucht worden. Beobachtungsstudien haben gezeigt, dass eine frühzeitige Deeskalation einer Kombinationstherapie mit äquivalenten oder überlegenen Ergebnissen bei Sepsis und septischem Schock verbunden ist</w:t>
      </w:r>
      <w:r w:rsidR="006B2B71">
        <w:rPr>
          <w:rFonts w:ascii="Cambria" w:hAnsi="Cambria" w:cs="Arial"/>
          <w:sz w:val="20"/>
          <w:szCs w:val="20"/>
        </w:rPr>
        <w:t xml:space="preserve"> </w:t>
      </w:r>
      <w:r w:rsidR="006B2B71" w:rsidRPr="006B2B71">
        <w:rPr>
          <w:rStyle w:val="EndnoteRealZchn"/>
          <w:sz w:val="20"/>
          <w:szCs w:val="20"/>
        </w:rPr>
        <w:fldChar w:fldCharType="begin"/>
      </w:r>
      <w:r w:rsidR="006B2B71" w:rsidRPr="006B2B71">
        <w:rPr>
          <w:rStyle w:val="EndnoteRealZchn"/>
          <w:sz w:val="20"/>
          <w:szCs w:val="20"/>
        </w:rPr>
        <w:instrText xml:space="preserve"> NOTEREF _Ref30585034 \h  \* MERGEFORMAT </w:instrText>
      </w:r>
      <w:r w:rsidR="006B2B71" w:rsidRPr="006B2B71">
        <w:rPr>
          <w:rStyle w:val="EndnoteRealZchn"/>
          <w:sz w:val="20"/>
          <w:szCs w:val="20"/>
        </w:rPr>
      </w:r>
      <w:r w:rsidR="006B2B71" w:rsidRPr="006B2B71">
        <w:rPr>
          <w:rStyle w:val="EndnoteRealZchn"/>
          <w:sz w:val="20"/>
          <w:szCs w:val="20"/>
        </w:rPr>
        <w:fldChar w:fldCharType="separate"/>
      </w:r>
      <w:r w:rsidR="001A283B">
        <w:rPr>
          <w:rStyle w:val="EndnoteRealZchn"/>
          <w:sz w:val="20"/>
          <w:szCs w:val="20"/>
        </w:rPr>
        <w:t>84</w:t>
      </w:r>
      <w:r w:rsidR="006B2B71" w:rsidRPr="006B2B71">
        <w:rPr>
          <w:rStyle w:val="EndnoteRealZchn"/>
          <w:sz w:val="20"/>
          <w:szCs w:val="20"/>
        </w:rPr>
        <w:fldChar w:fldCharType="end"/>
      </w:r>
      <w:r w:rsidR="006B2B71">
        <w:rPr>
          <w:rFonts w:ascii="Cambria" w:eastAsia="Arial" w:hAnsi="Cambria" w:cs="Arial"/>
          <w:sz w:val="20"/>
          <w:szCs w:val="20"/>
          <w:vertAlign w:val="superscript"/>
        </w:rPr>
        <w:t xml:space="preserve"> </w:t>
      </w:r>
      <w:r w:rsidRPr="00207748">
        <w:rPr>
          <w:rFonts w:ascii="Cambria" w:eastAsia="Arial" w:hAnsi="Cambria" w:cs="Arial"/>
          <w:sz w:val="20"/>
          <w:szCs w:val="20"/>
          <w:vertAlign w:val="superscript"/>
        </w:rPr>
        <w:endnoteReference w:id="214"/>
      </w:r>
      <w:r w:rsidRPr="00207748">
        <w:rPr>
          <w:rFonts w:ascii="Cambria" w:hAnsi="Cambria" w:cs="Arial"/>
          <w:sz w:val="20"/>
          <w:szCs w:val="20"/>
        </w:rPr>
        <w:t xml:space="preserve"> </w:t>
      </w:r>
      <w:r w:rsidRPr="00207748">
        <w:rPr>
          <w:rFonts w:ascii="Cambria" w:eastAsia="Arial" w:hAnsi="Cambria" w:cs="Arial"/>
          <w:sz w:val="20"/>
          <w:szCs w:val="20"/>
          <w:vertAlign w:val="superscript"/>
        </w:rPr>
        <w:endnoteReference w:id="215"/>
      </w:r>
      <w:r w:rsidRPr="00207748">
        <w:rPr>
          <w:rFonts w:ascii="Cambria" w:hAnsi="Cambria" w:cs="Arial"/>
          <w:sz w:val="20"/>
          <w:szCs w:val="20"/>
        </w:rPr>
        <w:t>; wobei mindestens eine Studie auf eine erhöhte Häufigkeit einer Superinfektion und längere Aufenthalte auf der ITS hinwies.</w:t>
      </w:r>
      <w:r w:rsidRPr="00207748">
        <w:rPr>
          <w:rFonts w:ascii="Cambria" w:eastAsia="Arial" w:hAnsi="Cambria" w:cs="Arial"/>
          <w:sz w:val="20"/>
          <w:szCs w:val="20"/>
          <w:vertAlign w:val="superscript"/>
        </w:rPr>
        <w:endnoteReference w:id="216"/>
      </w:r>
      <w:r w:rsidRPr="00207748">
        <w:rPr>
          <w:rFonts w:ascii="Cambria" w:hAnsi="Cambria" w:cs="Arial"/>
          <w:sz w:val="20"/>
          <w:szCs w:val="20"/>
        </w:rPr>
        <w:t xml:space="preserve"> Eine frühzeitige Deeskalation kann zu Vorteilen für den einzelnen Patienten führen.</w:t>
      </w:r>
      <w:r w:rsidRPr="00207748">
        <w:rPr>
          <w:rFonts w:ascii="Cambria" w:eastAsia="Arial" w:hAnsi="Cambria" w:cs="Arial"/>
          <w:sz w:val="20"/>
          <w:szCs w:val="20"/>
          <w:vertAlign w:val="superscript"/>
        </w:rPr>
        <w:endnoteReference w:id="217"/>
      </w:r>
      <w:r w:rsidRPr="00207748">
        <w:rPr>
          <w:rFonts w:ascii="Cambria" w:hAnsi="Cambria" w:cs="Arial"/>
          <w:sz w:val="20"/>
          <w:szCs w:val="20"/>
        </w:rPr>
        <w:t xml:space="preserve"> </w:t>
      </w:r>
      <w:r w:rsidRPr="00207748">
        <w:rPr>
          <w:rFonts w:ascii="Cambria" w:eastAsia="Arial" w:hAnsi="Cambria" w:cs="Arial"/>
          <w:sz w:val="20"/>
          <w:szCs w:val="20"/>
          <w:vertAlign w:val="superscript"/>
        </w:rPr>
        <w:endnoteReference w:id="218"/>
      </w:r>
      <w:r w:rsidRPr="00207748">
        <w:rPr>
          <w:rFonts w:ascii="Cambria" w:hAnsi="Cambria" w:cs="Arial"/>
          <w:sz w:val="20"/>
          <w:szCs w:val="20"/>
        </w:rPr>
        <w:t xml:space="preserve"> </w:t>
      </w:r>
      <w:bookmarkStart w:id="379" w:name="_Ref30584819"/>
      <w:r w:rsidRPr="00207748">
        <w:rPr>
          <w:rFonts w:ascii="Cambria" w:eastAsia="Arial" w:hAnsi="Cambria" w:cs="Arial"/>
          <w:sz w:val="20"/>
          <w:szCs w:val="20"/>
          <w:vertAlign w:val="superscript"/>
        </w:rPr>
        <w:endnoteReference w:id="219"/>
      </w:r>
      <w:bookmarkEnd w:id="379"/>
      <w:r w:rsidRPr="00207748">
        <w:rPr>
          <w:rFonts w:ascii="Cambria" w:hAnsi="Cambria" w:cs="Arial"/>
          <w:sz w:val="20"/>
          <w:szCs w:val="20"/>
        </w:rPr>
        <w:t xml:space="preserve"> Obwohl die Daten nicht vollumfänglich konsistent sind, spricht vieles für eine frühzeitige Deeskalation bei der Nutzung einer Kombinationstherapie.</w:t>
      </w:r>
    </w:p>
    <w:p w14:paraId="467BF9A0" w14:textId="21A9144B" w:rsidR="00E11869" w:rsidRPr="00207748" w:rsidRDefault="00447357" w:rsidP="004454B6">
      <w:pPr>
        <w:rPr>
          <w:rFonts w:ascii="Cambria" w:eastAsia="Arial" w:hAnsi="Cambria" w:cs="Arial"/>
          <w:sz w:val="20"/>
          <w:szCs w:val="20"/>
        </w:rPr>
      </w:pPr>
      <w:r w:rsidRPr="00207748">
        <w:rPr>
          <w:rFonts w:ascii="Cambria" w:hAnsi="Cambria" w:cs="Arial"/>
          <w:spacing w:val="-1"/>
          <w:sz w:val="20"/>
          <w:szCs w:val="20"/>
        </w:rPr>
        <w:t xml:space="preserve">Während wesentliche Übereinstimmung dahingehend besteht, dass ein Bedarf für eine frühzeitige Deeskalation einer Kombinationstherapie vorhanden ist, mangelt es </w:t>
      </w:r>
      <w:r w:rsidRPr="00EF1A9E">
        <w:rPr>
          <w:rFonts w:ascii="Cambria" w:hAnsi="Cambria" w:cs="Arial"/>
          <w:spacing w:val="-1"/>
          <w:sz w:val="20"/>
          <w:szCs w:val="20"/>
        </w:rPr>
        <w:t>an einer Übereinkunft bezüglich präzise</w:t>
      </w:r>
      <w:r w:rsidR="00B0710B" w:rsidRPr="00EF1A9E">
        <w:rPr>
          <w:rFonts w:ascii="Cambria" w:hAnsi="Cambria" w:cs="Arial"/>
          <w:spacing w:val="-1"/>
          <w:sz w:val="20"/>
          <w:szCs w:val="20"/>
        </w:rPr>
        <w:t>r</w:t>
      </w:r>
      <w:r w:rsidRPr="00EF1A9E">
        <w:rPr>
          <w:rFonts w:ascii="Cambria" w:hAnsi="Cambria" w:cs="Arial"/>
          <w:spacing w:val="-1"/>
          <w:sz w:val="20"/>
          <w:szCs w:val="20"/>
        </w:rPr>
        <w:t xml:space="preserve"> Kriterien </w:t>
      </w:r>
      <w:r w:rsidR="00B0710B" w:rsidRPr="00EF1A9E">
        <w:rPr>
          <w:rFonts w:ascii="Cambria" w:hAnsi="Cambria" w:cs="Arial"/>
          <w:spacing w:val="-1"/>
          <w:sz w:val="20"/>
          <w:szCs w:val="20"/>
        </w:rPr>
        <w:t>für eine</w:t>
      </w:r>
      <w:r w:rsidRPr="00EF1A9E">
        <w:rPr>
          <w:rFonts w:ascii="Cambria" w:hAnsi="Cambria" w:cs="Arial"/>
          <w:spacing w:val="-1"/>
          <w:sz w:val="20"/>
          <w:szCs w:val="20"/>
        </w:rPr>
        <w:t xml:space="preserve"> Deeskalation. Ansätze, die genutzt werden</w:t>
      </w:r>
      <w:r w:rsidR="00B0710B" w:rsidRPr="00EF1A9E">
        <w:rPr>
          <w:rFonts w:ascii="Cambria" w:hAnsi="Cambria" w:cs="Arial"/>
          <w:spacing w:val="-1"/>
          <w:sz w:val="20"/>
          <w:szCs w:val="20"/>
        </w:rPr>
        <w:t xml:space="preserve"> können sind u.</w:t>
      </w:r>
      <w:r w:rsidRPr="00EF1A9E">
        <w:rPr>
          <w:rFonts w:ascii="Cambria" w:hAnsi="Cambria" w:cs="Arial"/>
          <w:spacing w:val="-1"/>
          <w:sz w:val="20"/>
          <w:szCs w:val="20"/>
        </w:rPr>
        <w:t>a</w:t>
      </w:r>
      <w:r w:rsidR="00B0710B" w:rsidRPr="00EF1A9E">
        <w:rPr>
          <w:rFonts w:ascii="Cambria" w:hAnsi="Cambria" w:cs="Arial"/>
          <w:spacing w:val="-1"/>
          <w:sz w:val="20"/>
          <w:szCs w:val="20"/>
        </w:rPr>
        <w:t xml:space="preserve">. </w:t>
      </w:r>
      <w:r w:rsidRPr="00EF1A9E">
        <w:rPr>
          <w:rFonts w:ascii="Cambria" w:hAnsi="Cambria" w:cs="Arial"/>
          <w:spacing w:val="-1"/>
          <w:sz w:val="20"/>
          <w:szCs w:val="20"/>
        </w:rPr>
        <w:t>a) klinische</w:t>
      </w:r>
      <w:r w:rsidRPr="0044792B">
        <w:rPr>
          <w:rFonts w:ascii="Cambria" w:hAnsi="Cambria" w:cs="Arial"/>
          <w:spacing w:val="-1"/>
          <w:sz w:val="20"/>
          <w:szCs w:val="20"/>
        </w:rPr>
        <w:t xml:space="preserve"> </w:t>
      </w:r>
      <w:r w:rsidR="00B0710B" w:rsidRPr="00DC4B69">
        <w:rPr>
          <w:rFonts w:ascii="Cambria" w:hAnsi="Cambria" w:cs="Arial"/>
          <w:spacing w:val="-1"/>
          <w:sz w:val="20"/>
          <w:szCs w:val="20"/>
        </w:rPr>
        <w:lastRenderedPageBreak/>
        <w:t>Besserung</w:t>
      </w:r>
      <w:r w:rsidRPr="00207748">
        <w:rPr>
          <w:rFonts w:ascii="Cambria" w:hAnsi="Cambria" w:cs="Arial"/>
          <w:spacing w:val="-1"/>
          <w:sz w:val="20"/>
          <w:szCs w:val="20"/>
        </w:rPr>
        <w:t xml:space="preserve"> (Abklingen des Schocks, Rückgang des Vasopressor-Bedarfs etc.), b) </w:t>
      </w:r>
      <w:r w:rsidR="00B0710B" w:rsidRPr="00DC4B69">
        <w:rPr>
          <w:rFonts w:ascii="Cambria" w:hAnsi="Cambria" w:cs="Arial"/>
          <w:spacing w:val="-1"/>
          <w:sz w:val="20"/>
          <w:szCs w:val="20"/>
        </w:rPr>
        <w:t>Rückgang von</w:t>
      </w:r>
      <w:r w:rsidR="002B1061">
        <w:rPr>
          <w:rFonts w:ascii="Cambria" w:hAnsi="Cambria" w:cs="Arial"/>
          <w:spacing w:val="-1"/>
          <w:sz w:val="20"/>
          <w:szCs w:val="20"/>
        </w:rPr>
        <w:t xml:space="preserve"> </w:t>
      </w:r>
      <w:r w:rsidRPr="00B0710B">
        <w:rPr>
          <w:rFonts w:ascii="Cambria" w:hAnsi="Cambria" w:cs="Arial"/>
          <w:spacing w:val="-1"/>
          <w:sz w:val="20"/>
          <w:szCs w:val="20"/>
        </w:rPr>
        <w:t>Infektion</w:t>
      </w:r>
      <w:r w:rsidR="00B0710B" w:rsidRPr="00DC4B69">
        <w:rPr>
          <w:rFonts w:ascii="Cambria" w:hAnsi="Cambria" w:cs="Arial"/>
          <w:spacing w:val="-1"/>
          <w:sz w:val="20"/>
          <w:szCs w:val="20"/>
        </w:rPr>
        <w:t>szeichen</w:t>
      </w:r>
      <w:r w:rsidRPr="00207748">
        <w:rPr>
          <w:rFonts w:ascii="Cambria" w:hAnsi="Cambria" w:cs="Arial"/>
          <w:spacing w:val="-1"/>
          <w:sz w:val="20"/>
          <w:szCs w:val="20"/>
        </w:rPr>
        <w:t xml:space="preserve"> (insbesondere Procalcitonin) und c) </w:t>
      </w:r>
      <w:r w:rsidRPr="00B0710B">
        <w:rPr>
          <w:rFonts w:ascii="Cambria" w:hAnsi="Cambria" w:cs="Arial"/>
          <w:spacing w:val="-1"/>
          <w:sz w:val="20"/>
          <w:szCs w:val="20"/>
        </w:rPr>
        <w:t>eine</w:t>
      </w:r>
      <w:r w:rsidR="002B1061">
        <w:rPr>
          <w:rFonts w:ascii="Cambria" w:hAnsi="Cambria" w:cs="Arial"/>
          <w:spacing w:val="-1"/>
          <w:sz w:val="20"/>
          <w:szCs w:val="20"/>
        </w:rPr>
        <w:t xml:space="preserve"> </w:t>
      </w:r>
      <w:r w:rsidRPr="00B0710B">
        <w:rPr>
          <w:rFonts w:ascii="Cambria" w:hAnsi="Cambria" w:cs="Arial"/>
          <w:spacing w:val="-1"/>
          <w:sz w:val="20"/>
          <w:szCs w:val="20"/>
        </w:rPr>
        <w:t>festgelegte</w:t>
      </w:r>
      <w:r w:rsidRPr="00207748">
        <w:rPr>
          <w:rFonts w:ascii="Cambria" w:hAnsi="Cambria" w:cs="Arial"/>
          <w:spacing w:val="-1"/>
          <w:sz w:val="20"/>
          <w:szCs w:val="20"/>
        </w:rPr>
        <w:t xml:space="preserve"> Dauer der Kombinationstherapie. </w:t>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18"/>
        <w:gridCol w:w="834"/>
      </w:tblGrid>
      <w:tr w:rsidR="00E11869" w:rsidRPr="00207748" w14:paraId="7254FF43"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1D245A46"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t>D. 9</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16A7FF88"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4602BE8D"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2018</w:t>
            </w:r>
          </w:p>
        </w:tc>
      </w:tr>
      <w:tr w:rsidR="00E11869" w:rsidRPr="00207748" w14:paraId="1B7587ED" w14:textId="77777777" w:rsidTr="00334AF5">
        <w:trPr>
          <w:trHeight w:val="193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19797"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t>Empfehlungsgrad</w:t>
            </w:r>
          </w:p>
          <w:p w14:paraId="20B14536" w14:textId="77777777" w:rsidR="00E11869" w:rsidRPr="00207748" w:rsidRDefault="00E11869" w:rsidP="004454B6">
            <w:pPr>
              <w:spacing w:after="0"/>
              <w:rPr>
                <w:rFonts w:ascii="Cambria" w:eastAsia="Arial" w:hAnsi="Cambria" w:cs="Arial"/>
                <w:sz w:val="20"/>
                <w:szCs w:val="20"/>
              </w:rPr>
            </w:pPr>
          </w:p>
          <w:p w14:paraId="4BB8FBCA" w14:textId="77777777" w:rsidR="00E11869" w:rsidRPr="00207748" w:rsidRDefault="00447357" w:rsidP="004454B6">
            <w:pPr>
              <w:spacing w:after="0"/>
              <w:rPr>
                <w:rFonts w:ascii="Cambria" w:eastAsia="Arial" w:hAnsi="Cambria" w:cs="Arial"/>
                <w:b/>
                <w:bCs/>
                <w:sz w:val="20"/>
                <w:szCs w:val="20"/>
              </w:rPr>
            </w:pPr>
            <w:r w:rsidRPr="00207748">
              <w:rPr>
                <w:rFonts w:ascii="Cambria" w:hAnsi="Cambria" w:cs="Arial"/>
                <w:b/>
                <w:bCs/>
                <w:sz w:val="20"/>
                <w:szCs w:val="20"/>
              </w:rPr>
              <w:t>schwach</w:t>
            </w:r>
          </w:p>
          <w:p w14:paraId="12A03FB0" w14:textId="77777777" w:rsidR="00E11869" w:rsidRPr="00207748" w:rsidRDefault="00E11869" w:rsidP="004454B6">
            <w:pPr>
              <w:spacing w:after="0"/>
              <w:rPr>
                <w:rFonts w:ascii="Cambria" w:eastAsia="Arial" w:hAnsi="Cambria" w:cs="Arial"/>
                <w:sz w:val="20"/>
                <w:szCs w:val="20"/>
              </w:rPr>
            </w:pPr>
          </w:p>
          <w:p w14:paraId="28B80B78"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t>Evidenzgrad</w:t>
            </w:r>
          </w:p>
          <w:p w14:paraId="379CCDD7" w14:textId="77777777" w:rsidR="00E11869" w:rsidRPr="00207748" w:rsidRDefault="00E11869" w:rsidP="004454B6">
            <w:pPr>
              <w:spacing w:after="0"/>
              <w:rPr>
                <w:rFonts w:ascii="Cambria" w:eastAsia="Arial" w:hAnsi="Cambria" w:cs="Arial"/>
                <w:b/>
                <w:bCs/>
                <w:sz w:val="20"/>
                <w:szCs w:val="20"/>
              </w:rPr>
            </w:pPr>
          </w:p>
          <w:p w14:paraId="15918361"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niedrig</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9E4A7" w14:textId="77777777" w:rsidR="00E11869" w:rsidRPr="00207748" w:rsidRDefault="00447357" w:rsidP="004454B6">
            <w:pPr>
              <w:spacing w:after="0"/>
              <w:rPr>
                <w:rFonts w:ascii="Cambria" w:hAnsi="Cambria" w:cs="Arial"/>
                <w:sz w:val="20"/>
                <w:szCs w:val="20"/>
              </w:rPr>
            </w:pPr>
            <w:r w:rsidRPr="00207748">
              <w:rPr>
                <w:rFonts w:ascii="Cambria" w:hAnsi="Cambria" w:cs="Arial"/>
                <w:b/>
                <w:bCs/>
                <w:spacing w:val="-5"/>
                <w:sz w:val="20"/>
                <w:szCs w:val="20"/>
              </w:rPr>
              <w:t>Wir schlagen eine antimikrobielle Behandlungsdauer von 7 bis 10 Tagen für die meisten Infektionen, die mit Sepsis oder septischem Schock assoziiert sind, vor.</w:t>
            </w:r>
          </w:p>
        </w:tc>
      </w:tr>
      <w:tr w:rsidR="00E11869" w:rsidRPr="00207748" w14:paraId="0946E97F" w14:textId="77777777" w:rsidTr="00342FB3">
        <w:trPr>
          <w:trHeight w:val="56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06EC5DDA"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92400" w14:textId="77777777" w:rsidR="00E11869" w:rsidRPr="00207748" w:rsidRDefault="00342FB3" w:rsidP="004454B6">
            <w:pPr>
              <w:spacing w:after="0"/>
              <w:rPr>
                <w:rFonts w:ascii="Cambria" w:hAnsi="Cambria" w:cs="Arial"/>
                <w:sz w:val="20"/>
                <w:szCs w:val="20"/>
              </w:rPr>
            </w:pPr>
            <w:r w:rsidRPr="00207748">
              <w:rPr>
                <w:rFonts w:ascii="Cambria" w:hAnsi="Cambria" w:cs="Arial"/>
                <w:b/>
                <w:bCs/>
                <w:sz w:val="20"/>
                <w:szCs w:val="20"/>
              </w:rPr>
              <w:t>SSC-</w:t>
            </w:r>
            <w:r w:rsidR="00447357" w:rsidRPr="00207748">
              <w:rPr>
                <w:rFonts w:ascii="Cambria" w:hAnsi="Cambria" w:cs="Arial"/>
                <w:b/>
                <w:bCs/>
                <w:sz w:val="20"/>
                <w:szCs w:val="20"/>
              </w:rPr>
              <w:t xml:space="preserve">Leitlinienadaptation </w:t>
            </w:r>
          </w:p>
        </w:tc>
      </w:tr>
      <w:tr w:rsidR="00E11869" w:rsidRPr="00207748" w14:paraId="4B4AAD0A"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86A48"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20807" w14:textId="12CEF84E" w:rsidR="00E11869" w:rsidRPr="00207748" w:rsidRDefault="00447357" w:rsidP="004454B6">
            <w:pPr>
              <w:spacing w:after="0"/>
              <w:rPr>
                <w:rFonts w:ascii="Cambria" w:hAnsi="Cambria" w:cs="Arial"/>
                <w:sz w:val="20"/>
                <w:szCs w:val="20"/>
              </w:rPr>
            </w:pPr>
            <w:r w:rsidRPr="00207748">
              <w:rPr>
                <w:rFonts w:ascii="Cambria" w:hAnsi="Cambria" w:cs="Arial"/>
                <w:sz w:val="20"/>
                <w:szCs w:val="20"/>
              </w:rPr>
              <w:t>Konsensstärke: 92 %</w:t>
            </w:r>
          </w:p>
        </w:tc>
      </w:tr>
    </w:tbl>
    <w:p w14:paraId="0ADD3C54" w14:textId="77777777" w:rsidR="00E11869" w:rsidRPr="00207748" w:rsidRDefault="00E11869" w:rsidP="004454B6">
      <w:pPr>
        <w:rPr>
          <w:rFonts w:ascii="Cambria" w:eastAsia="Arial" w:hAnsi="Cambria" w:cs="Arial"/>
          <w:sz w:val="20"/>
          <w:szCs w:val="20"/>
        </w:rPr>
      </w:pP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24"/>
        <w:gridCol w:w="828"/>
      </w:tblGrid>
      <w:tr w:rsidR="00E11869" w:rsidRPr="00207748" w14:paraId="0B1DFB9C"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4601CA8"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t>D. 10</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638576F"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4A7F2792"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2018</w:t>
            </w:r>
          </w:p>
        </w:tc>
      </w:tr>
      <w:tr w:rsidR="00E11869" w:rsidRPr="00207748" w14:paraId="243DDAE2" w14:textId="77777777" w:rsidTr="00342FB3">
        <w:trPr>
          <w:trHeight w:val="84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A54E9"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t>Empfehlungsgrad</w:t>
            </w:r>
          </w:p>
          <w:p w14:paraId="76A81BD3" w14:textId="77777777" w:rsidR="00E11869" w:rsidRPr="00207748" w:rsidRDefault="00E11869" w:rsidP="004454B6">
            <w:pPr>
              <w:spacing w:after="0"/>
              <w:rPr>
                <w:rFonts w:ascii="Cambria" w:eastAsia="Arial" w:hAnsi="Cambria" w:cs="Arial"/>
                <w:sz w:val="20"/>
                <w:szCs w:val="20"/>
              </w:rPr>
            </w:pPr>
          </w:p>
          <w:p w14:paraId="2A405BCC" w14:textId="77777777" w:rsidR="00E11869" w:rsidRPr="00207748" w:rsidRDefault="00447357" w:rsidP="004454B6">
            <w:pPr>
              <w:spacing w:after="0"/>
              <w:rPr>
                <w:rFonts w:ascii="Cambria" w:eastAsia="Arial" w:hAnsi="Cambria" w:cs="Arial"/>
                <w:b/>
                <w:bCs/>
                <w:sz w:val="20"/>
                <w:szCs w:val="20"/>
              </w:rPr>
            </w:pPr>
            <w:r w:rsidRPr="00207748">
              <w:rPr>
                <w:rFonts w:ascii="Cambria" w:hAnsi="Cambria" w:cs="Arial"/>
                <w:b/>
                <w:bCs/>
                <w:sz w:val="20"/>
                <w:szCs w:val="20"/>
              </w:rPr>
              <w:t>stark</w:t>
            </w:r>
          </w:p>
          <w:p w14:paraId="020E7B8D" w14:textId="77777777" w:rsidR="00E11869" w:rsidRPr="00207748" w:rsidRDefault="00E11869" w:rsidP="004454B6">
            <w:pPr>
              <w:spacing w:after="0"/>
              <w:rPr>
                <w:rFonts w:ascii="Cambria" w:eastAsia="Arial" w:hAnsi="Cambria" w:cs="Arial"/>
                <w:sz w:val="20"/>
                <w:szCs w:val="20"/>
              </w:rPr>
            </w:pPr>
          </w:p>
          <w:p w14:paraId="00A68CEB"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t>Evidenzgrad</w:t>
            </w:r>
          </w:p>
          <w:p w14:paraId="1078CBCC" w14:textId="77777777" w:rsidR="00E11869" w:rsidRPr="00207748" w:rsidRDefault="00E11869" w:rsidP="004454B6">
            <w:pPr>
              <w:spacing w:after="0"/>
              <w:rPr>
                <w:rFonts w:ascii="Cambria" w:eastAsia="Arial" w:hAnsi="Cambria" w:cs="Arial"/>
                <w:sz w:val="20"/>
                <w:szCs w:val="20"/>
              </w:rPr>
            </w:pPr>
          </w:p>
          <w:p w14:paraId="052F12F8"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moderat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76DD7" w14:textId="77777777" w:rsidR="00E11869" w:rsidRPr="00207748" w:rsidRDefault="00447357" w:rsidP="004454B6">
            <w:pPr>
              <w:spacing w:after="0"/>
              <w:rPr>
                <w:rFonts w:ascii="Cambria" w:hAnsi="Cambria" w:cs="Arial"/>
                <w:sz w:val="20"/>
                <w:szCs w:val="20"/>
              </w:rPr>
            </w:pPr>
            <w:r w:rsidRPr="00207748">
              <w:rPr>
                <w:rFonts w:ascii="Cambria" w:hAnsi="Cambria" w:cs="Arial"/>
                <w:b/>
                <w:bCs/>
                <w:spacing w:val="-2"/>
                <w:sz w:val="20"/>
                <w:szCs w:val="20"/>
              </w:rPr>
              <w:t xml:space="preserve">Wir empfehlen eine längere Behandlungsdauer (mind. 14 Tage) für Patienten mit </w:t>
            </w:r>
            <w:r w:rsidRPr="00207748">
              <w:rPr>
                <w:rFonts w:ascii="Cambria" w:hAnsi="Cambria" w:cs="Arial"/>
                <w:b/>
                <w:bCs/>
                <w:iCs/>
                <w:spacing w:val="-2"/>
                <w:sz w:val="20"/>
                <w:szCs w:val="20"/>
              </w:rPr>
              <w:t xml:space="preserve">Staphylococcus aureus- </w:t>
            </w:r>
            <w:r w:rsidRPr="00207748">
              <w:rPr>
                <w:rFonts w:ascii="Cambria" w:hAnsi="Cambria" w:cs="Arial"/>
                <w:b/>
                <w:bCs/>
                <w:spacing w:val="-2"/>
                <w:sz w:val="20"/>
                <w:szCs w:val="20"/>
              </w:rPr>
              <w:t>Bakteriämie.</w:t>
            </w:r>
          </w:p>
        </w:tc>
      </w:tr>
      <w:tr w:rsidR="00E11869" w:rsidRPr="00207748" w14:paraId="2FEBAAAC" w14:textId="77777777" w:rsidTr="00342FB3">
        <w:trPr>
          <w:trHeight w:val="960"/>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7402CCDE"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A4667"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SSC</w:t>
            </w:r>
            <w:r w:rsidR="001A58EF" w:rsidRPr="00207748">
              <w:rPr>
                <w:rFonts w:ascii="Cambria" w:hAnsi="Cambria" w:cs="Arial"/>
                <w:b/>
                <w:bCs/>
                <w:sz w:val="20"/>
                <w:szCs w:val="20"/>
              </w:rPr>
              <w:t>-</w:t>
            </w:r>
            <w:r w:rsidRPr="00207748">
              <w:rPr>
                <w:rFonts w:ascii="Cambria" w:hAnsi="Cambria" w:cs="Arial"/>
                <w:b/>
                <w:bCs/>
                <w:sz w:val="20"/>
                <w:szCs w:val="20"/>
              </w:rPr>
              <w:t>Leitlinienadaptation</w:t>
            </w:r>
            <w:r w:rsidR="002F45C9" w:rsidRPr="00207748">
              <w:rPr>
                <w:rFonts w:ascii="Cambria" w:hAnsi="Cambria" w:cs="Arial"/>
                <w:b/>
                <w:bCs/>
                <w:sz w:val="20"/>
                <w:szCs w:val="20"/>
              </w:rPr>
              <w:t>; Abweichung des Empfehlunggrades</w:t>
            </w:r>
          </w:p>
        </w:tc>
      </w:tr>
      <w:tr w:rsidR="00E11869" w:rsidRPr="00207748" w14:paraId="6644BDE6"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F465F"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BAC11" w14:textId="56500E92" w:rsidR="00E11869" w:rsidRPr="00207748" w:rsidRDefault="00447357" w:rsidP="004454B6">
            <w:pPr>
              <w:spacing w:after="0"/>
              <w:rPr>
                <w:rFonts w:ascii="Cambria" w:hAnsi="Cambria" w:cs="Arial"/>
                <w:sz w:val="20"/>
                <w:szCs w:val="20"/>
              </w:rPr>
            </w:pPr>
            <w:r w:rsidRPr="00207748">
              <w:rPr>
                <w:rFonts w:ascii="Cambria" w:hAnsi="Cambria" w:cs="Arial"/>
                <w:sz w:val="20"/>
                <w:szCs w:val="20"/>
              </w:rPr>
              <w:t>Konsensstärke: 100 %</w:t>
            </w:r>
            <w:r w:rsidR="002B1061">
              <w:rPr>
                <w:rFonts w:ascii="Cambria" w:hAnsi="Cambria" w:cs="Arial"/>
                <w:sz w:val="20"/>
                <w:szCs w:val="20"/>
              </w:rPr>
              <w:t xml:space="preserve"> </w:t>
            </w:r>
          </w:p>
        </w:tc>
      </w:tr>
    </w:tbl>
    <w:p w14:paraId="76360375" w14:textId="77777777" w:rsidR="00E11869" w:rsidRPr="00207748" w:rsidRDefault="00E11869" w:rsidP="004454B6">
      <w:pPr>
        <w:rPr>
          <w:rFonts w:ascii="Cambria" w:eastAsia="Arial" w:hAnsi="Cambria" w:cs="Arial"/>
          <w:iCs/>
          <w:sz w:val="20"/>
          <w:szCs w:val="20"/>
        </w:rPr>
      </w:pP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02"/>
        <w:gridCol w:w="850"/>
      </w:tblGrid>
      <w:tr w:rsidR="00E11869" w:rsidRPr="00207748" w14:paraId="619093B1"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112F96B8"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t>D. 11</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9B5C404"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7D2DCFFA"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2018</w:t>
            </w:r>
          </w:p>
        </w:tc>
      </w:tr>
      <w:tr w:rsidR="00E11869" w:rsidRPr="00207748" w14:paraId="0BE5595D" w14:textId="77777777" w:rsidTr="00342FB3">
        <w:trPr>
          <w:trHeight w:val="140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EE078" w14:textId="77777777" w:rsidR="00E11869" w:rsidRPr="00207748" w:rsidRDefault="00E11869" w:rsidP="004454B6">
            <w:pPr>
              <w:spacing w:after="0"/>
              <w:rPr>
                <w:rFonts w:ascii="Cambria" w:eastAsia="Arial" w:hAnsi="Cambria" w:cs="Arial"/>
                <w:b/>
                <w:bCs/>
                <w:sz w:val="20"/>
                <w:szCs w:val="20"/>
              </w:rPr>
            </w:pPr>
          </w:p>
          <w:p w14:paraId="58761609"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t>Empfehlungsgrad</w:t>
            </w:r>
          </w:p>
          <w:p w14:paraId="45384B30" w14:textId="77777777" w:rsidR="00E11869" w:rsidRPr="00207748" w:rsidRDefault="00E11869" w:rsidP="004454B6">
            <w:pPr>
              <w:spacing w:after="0"/>
              <w:rPr>
                <w:rFonts w:ascii="Cambria" w:eastAsia="Arial" w:hAnsi="Cambria" w:cs="Arial"/>
                <w:sz w:val="20"/>
                <w:szCs w:val="20"/>
              </w:rPr>
            </w:pPr>
          </w:p>
          <w:p w14:paraId="1BA93AD8" w14:textId="77777777" w:rsidR="00E11869" w:rsidRPr="00207748" w:rsidRDefault="00447357" w:rsidP="004454B6">
            <w:pPr>
              <w:spacing w:after="0"/>
              <w:rPr>
                <w:rFonts w:ascii="Cambria" w:eastAsia="Arial" w:hAnsi="Cambria" w:cs="Arial"/>
                <w:b/>
                <w:bCs/>
                <w:sz w:val="20"/>
                <w:szCs w:val="20"/>
              </w:rPr>
            </w:pPr>
            <w:r w:rsidRPr="00207748">
              <w:rPr>
                <w:rFonts w:ascii="Cambria" w:hAnsi="Cambria" w:cs="Arial"/>
                <w:b/>
                <w:bCs/>
                <w:sz w:val="20"/>
                <w:szCs w:val="20"/>
              </w:rPr>
              <w:t>schwach</w:t>
            </w:r>
          </w:p>
          <w:p w14:paraId="4643321B" w14:textId="77777777" w:rsidR="00E11869" w:rsidRPr="00207748" w:rsidRDefault="00E11869" w:rsidP="004454B6">
            <w:pPr>
              <w:spacing w:after="0"/>
              <w:rPr>
                <w:rFonts w:ascii="Cambria" w:eastAsia="Arial" w:hAnsi="Cambria" w:cs="Arial"/>
                <w:sz w:val="20"/>
                <w:szCs w:val="20"/>
              </w:rPr>
            </w:pPr>
          </w:p>
          <w:p w14:paraId="1AE61425"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t>Evidenzgrad</w:t>
            </w:r>
          </w:p>
          <w:p w14:paraId="079F9D39" w14:textId="77777777" w:rsidR="00E11869" w:rsidRPr="00207748" w:rsidRDefault="00E11869" w:rsidP="004454B6">
            <w:pPr>
              <w:spacing w:after="0"/>
              <w:rPr>
                <w:rFonts w:ascii="Cambria" w:eastAsia="Arial" w:hAnsi="Cambria" w:cs="Arial"/>
                <w:sz w:val="20"/>
                <w:szCs w:val="20"/>
              </w:rPr>
            </w:pPr>
          </w:p>
          <w:p w14:paraId="115F35A7"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niedrig</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A0603" w14:textId="0C68754C" w:rsidR="00E11869" w:rsidRPr="00207748" w:rsidRDefault="00447357" w:rsidP="004454B6">
            <w:pPr>
              <w:spacing w:after="0"/>
              <w:rPr>
                <w:rFonts w:ascii="Cambria" w:hAnsi="Cambria" w:cs="Arial"/>
                <w:sz w:val="20"/>
                <w:szCs w:val="20"/>
              </w:rPr>
            </w:pPr>
            <w:r w:rsidRPr="00207748">
              <w:rPr>
                <w:rFonts w:ascii="Cambria" w:hAnsi="Cambria" w:cs="Arial"/>
                <w:b/>
                <w:bCs/>
                <w:spacing w:val="-2"/>
                <w:sz w:val="20"/>
                <w:szCs w:val="20"/>
              </w:rPr>
              <w:t>Wir schlagen eine längere Behandlungsdauer für Patienten mit verzögertem Therapieansprechen, mit persistierenden Infektionsherden, mit bestimmten Pilz- und Virusinfe</w:t>
            </w:r>
            <w:r w:rsidR="0024733A" w:rsidRPr="00207748">
              <w:rPr>
                <w:rFonts w:ascii="Cambria" w:hAnsi="Cambria" w:cs="Arial"/>
                <w:b/>
                <w:bCs/>
                <w:spacing w:val="-2"/>
                <w:sz w:val="20"/>
                <w:szCs w:val="20"/>
              </w:rPr>
              <w:t xml:space="preserve">ktionen oder mit </w:t>
            </w:r>
            <w:r w:rsidR="0024733A" w:rsidRPr="00207748">
              <w:rPr>
                <w:rFonts w:ascii="Cambria" w:hAnsi="Cambria" w:cs="Arial"/>
                <w:b/>
                <w:bCs/>
                <w:spacing w:val="-2"/>
                <w:sz w:val="20"/>
                <w:szCs w:val="20"/>
              </w:rPr>
              <w:lastRenderedPageBreak/>
              <w:t>Immundefizienz einschließlich Neutropenie</w:t>
            </w:r>
            <w:r w:rsidRPr="00207748">
              <w:rPr>
                <w:rFonts w:ascii="Cambria" w:hAnsi="Cambria" w:cs="Arial"/>
                <w:b/>
                <w:bCs/>
                <w:spacing w:val="-2"/>
                <w:sz w:val="20"/>
                <w:szCs w:val="20"/>
              </w:rPr>
              <w:t xml:space="preserve"> vor.</w:t>
            </w:r>
          </w:p>
        </w:tc>
      </w:tr>
      <w:tr w:rsidR="00E11869" w:rsidRPr="00207748" w14:paraId="366D67A4" w14:textId="77777777" w:rsidTr="00342FB3">
        <w:trPr>
          <w:trHeight w:val="680"/>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78A20811"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C78B8" w14:textId="5F4C660E" w:rsidR="00E11869" w:rsidRPr="00207748" w:rsidRDefault="00447357" w:rsidP="004454B6">
            <w:pPr>
              <w:spacing w:after="0"/>
              <w:rPr>
                <w:rFonts w:ascii="Cambria" w:eastAsia="Arial" w:hAnsi="Cambria" w:cs="Arial"/>
                <w:b/>
                <w:bCs/>
                <w:sz w:val="20"/>
                <w:szCs w:val="20"/>
              </w:rPr>
            </w:pPr>
            <w:r w:rsidRPr="00207748">
              <w:rPr>
                <w:rFonts w:ascii="Cambria" w:hAnsi="Cambria" w:cs="Arial"/>
                <w:b/>
                <w:bCs/>
                <w:sz w:val="20"/>
                <w:szCs w:val="20"/>
              </w:rPr>
              <w:t>SSC</w:t>
            </w:r>
            <w:r w:rsidR="007722E3" w:rsidRPr="00207748">
              <w:rPr>
                <w:rFonts w:ascii="Cambria" w:hAnsi="Cambria" w:cs="Arial"/>
                <w:b/>
                <w:bCs/>
                <w:sz w:val="20"/>
                <w:szCs w:val="20"/>
              </w:rPr>
              <w:t>-</w:t>
            </w:r>
            <w:r w:rsidRPr="00207748">
              <w:rPr>
                <w:rFonts w:ascii="Cambria" w:hAnsi="Cambria" w:cs="Arial"/>
                <w:b/>
                <w:bCs/>
                <w:sz w:val="20"/>
                <w:szCs w:val="20"/>
              </w:rPr>
              <w:t>Leitlinien</w:t>
            </w:r>
            <w:r w:rsidR="00B26F79">
              <w:rPr>
                <w:rFonts w:ascii="Cambria" w:hAnsi="Cambria" w:cs="Arial"/>
                <w:b/>
                <w:bCs/>
                <w:sz w:val="20"/>
                <w:szCs w:val="20"/>
              </w:rPr>
              <w:t>-</w:t>
            </w:r>
            <w:r w:rsidRPr="00207748">
              <w:rPr>
                <w:rFonts w:ascii="Cambria" w:hAnsi="Cambria" w:cs="Arial"/>
                <w:b/>
                <w:bCs/>
                <w:sz w:val="20"/>
                <w:szCs w:val="20"/>
              </w:rPr>
              <w:t>adaptation und</w:t>
            </w:r>
          </w:p>
          <w:p w14:paraId="0E50377D" w14:textId="1104B5A1"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SSC</w:t>
            </w:r>
            <w:r w:rsidR="007722E3" w:rsidRPr="00207748">
              <w:rPr>
                <w:rFonts w:ascii="Cambria" w:hAnsi="Cambria" w:cs="Arial"/>
                <w:b/>
                <w:bCs/>
                <w:sz w:val="20"/>
                <w:szCs w:val="20"/>
              </w:rPr>
              <w:t>-</w:t>
            </w:r>
            <w:r w:rsidRPr="00207748">
              <w:rPr>
                <w:rFonts w:ascii="Cambria" w:hAnsi="Cambria" w:cs="Arial"/>
                <w:b/>
                <w:bCs/>
                <w:sz w:val="20"/>
                <w:szCs w:val="20"/>
              </w:rPr>
              <w:t>Leitlinien</w:t>
            </w:r>
            <w:r w:rsidR="00B26F79">
              <w:rPr>
                <w:rFonts w:ascii="Cambria" w:hAnsi="Cambria" w:cs="Arial"/>
                <w:b/>
                <w:bCs/>
                <w:sz w:val="20"/>
                <w:szCs w:val="20"/>
              </w:rPr>
              <w:t>-</w:t>
            </w:r>
            <w:r w:rsidRPr="00207748">
              <w:rPr>
                <w:rFonts w:ascii="Cambria" w:hAnsi="Cambria" w:cs="Arial"/>
                <w:b/>
                <w:bCs/>
                <w:sz w:val="20"/>
                <w:szCs w:val="20"/>
              </w:rPr>
              <w:t xml:space="preserve">modifikation </w:t>
            </w:r>
          </w:p>
        </w:tc>
      </w:tr>
      <w:tr w:rsidR="00E11869" w:rsidRPr="00207748" w14:paraId="68313EF3"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DBF05"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5DE62" w14:textId="77777777" w:rsidR="00E11869" w:rsidRPr="00207748" w:rsidRDefault="00447357" w:rsidP="004454B6">
            <w:pPr>
              <w:spacing w:after="0"/>
              <w:rPr>
                <w:rFonts w:ascii="Cambria" w:hAnsi="Cambria" w:cs="Arial"/>
                <w:sz w:val="20"/>
                <w:szCs w:val="20"/>
              </w:rPr>
            </w:pPr>
            <w:r w:rsidRPr="00207748">
              <w:rPr>
                <w:rFonts w:ascii="Cambria" w:hAnsi="Cambria" w:cs="Arial"/>
                <w:sz w:val="20"/>
                <w:szCs w:val="20"/>
              </w:rPr>
              <w:t>Konsensstärke: 100 %</w:t>
            </w:r>
          </w:p>
        </w:tc>
      </w:tr>
    </w:tbl>
    <w:p w14:paraId="4448D8F4" w14:textId="77777777" w:rsidR="00E11869" w:rsidRPr="00207748" w:rsidRDefault="00E11869" w:rsidP="004454B6">
      <w:pPr>
        <w:spacing w:after="120"/>
        <w:rPr>
          <w:rFonts w:ascii="Cambria" w:eastAsia="Arial" w:hAnsi="Cambria" w:cs="Arial"/>
          <w:b/>
          <w:bCs/>
          <w:sz w:val="20"/>
          <w:szCs w:val="20"/>
        </w:rPr>
      </w:pP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02"/>
        <w:gridCol w:w="850"/>
      </w:tblGrid>
      <w:tr w:rsidR="00E11869" w:rsidRPr="00207748" w14:paraId="6C39F640"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39B7D8F7"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t>D.12</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D0B4AC7"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1540A656"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2018</w:t>
            </w:r>
          </w:p>
        </w:tc>
      </w:tr>
      <w:tr w:rsidR="00E11869" w:rsidRPr="00207748" w14:paraId="714793A7" w14:textId="77777777" w:rsidTr="00342FB3">
        <w:trPr>
          <w:trHeight w:val="140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8DA42"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t>Empfehlungsgrad</w:t>
            </w:r>
          </w:p>
          <w:p w14:paraId="16C9C3C3" w14:textId="77777777" w:rsidR="00E11869" w:rsidRPr="00207748" w:rsidRDefault="00E11869" w:rsidP="004454B6">
            <w:pPr>
              <w:spacing w:after="0"/>
              <w:rPr>
                <w:rFonts w:ascii="Cambria" w:eastAsia="Arial" w:hAnsi="Cambria" w:cs="Arial"/>
                <w:sz w:val="20"/>
                <w:szCs w:val="20"/>
              </w:rPr>
            </w:pPr>
          </w:p>
          <w:p w14:paraId="5567C2A4" w14:textId="77777777" w:rsidR="00E11869" w:rsidRPr="00207748" w:rsidRDefault="00447357" w:rsidP="004454B6">
            <w:pPr>
              <w:spacing w:after="0"/>
              <w:rPr>
                <w:rFonts w:ascii="Cambria" w:eastAsia="Arial" w:hAnsi="Cambria" w:cs="Arial"/>
                <w:b/>
                <w:bCs/>
                <w:sz w:val="20"/>
                <w:szCs w:val="20"/>
              </w:rPr>
            </w:pPr>
            <w:r w:rsidRPr="00207748">
              <w:rPr>
                <w:rFonts w:ascii="Cambria" w:hAnsi="Cambria" w:cs="Arial"/>
                <w:b/>
                <w:bCs/>
                <w:sz w:val="20"/>
                <w:szCs w:val="20"/>
              </w:rPr>
              <w:t>schwach</w:t>
            </w:r>
          </w:p>
          <w:p w14:paraId="08A2ED44" w14:textId="77777777" w:rsidR="00E11869" w:rsidRPr="00207748" w:rsidRDefault="00E11869" w:rsidP="004454B6">
            <w:pPr>
              <w:spacing w:after="0"/>
              <w:rPr>
                <w:rFonts w:ascii="Cambria" w:eastAsia="Arial" w:hAnsi="Cambria" w:cs="Arial"/>
                <w:sz w:val="20"/>
                <w:szCs w:val="20"/>
              </w:rPr>
            </w:pPr>
          </w:p>
          <w:p w14:paraId="6D74FB74"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t>Evidenzgrad</w:t>
            </w:r>
          </w:p>
          <w:p w14:paraId="3BDF825C" w14:textId="77777777" w:rsidR="00E11869" w:rsidRPr="00207748" w:rsidRDefault="00E11869" w:rsidP="004454B6">
            <w:pPr>
              <w:spacing w:after="0"/>
              <w:rPr>
                <w:rFonts w:ascii="Cambria" w:eastAsia="Arial" w:hAnsi="Cambria" w:cs="Arial"/>
                <w:sz w:val="20"/>
                <w:szCs w:val="20"/>
              </w:rPr>
            </w:pPr>
          </w:p>
          <w:p w14:paraId="0898C896"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niedrig</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3C8B4" w14:textId="3F6178DD" w:rsidR="00E11869" w:rsidRPr="00207748" w:rsidRDefault="00447357" w:rsidP="004454B6">
            <w:pPr>
              <w:spacing w:after="0"/>
              <w:rPr>
                <w:rFonts w:ascii="Cambria" w:hAnsi="Cambria" w:cs="Arial"/>
                <w:sz w:val="20"/>
                <w:szCs w:val="20"/>
              </w:rPr>
            </w:pPr>
            <w:r w:rsidRPr="00207748">
              <w:rPr>
                <w:rFonts w:ascii="Cambria" w:hAnsi="Cambria" w:cs="Arial"/>
                <w:b/>
                <w:bCs/>
                <w:spacing w:val="-2"/>
                <w:sz w:val="20"/>
                <w:szCs w:val="20"/>
              </w:rPr>
              <w:t>Wir schlagen eine kürzere Behandlungsdauer bei Patienten mit schnellem klinischen Therapieansprechen, nach einer effektiven Fo</w:t>
            </w:r>
            <w:r w:rsidR="00EC3DBA" w:rsidRPr="00207748">
              <w:rPr>
                <w:rFonts w:ascii="Cambria" w:hAnsi="Cambria" w:cs="Arial"/>
                <w:b/>
                <w:bCs/>
                <w:spacing w:val="-2"/>
                <w:sz w:val="20"/>
                <w:szCs w:val="20"/>
              </w:rPr>
              <w:t>k</w:t>
            </w:r>
            <w:r w:rsidR="00B26F79">
              <w:rPr>
                <w:rFonts w:ascii="Cambria" w:hAnsi="Cambria" w:cs="Arial"/>
                <w:b/>
                <w:bCs/>
                <w:spacing w:val="-2"/>
                <w:sz w:val="20"/>
                <w:szCs w:val="20"/>
              </w:rPr>
              <w:t>uskontrolle bei intra</w:t>
            </w:r>
            <w:r w:rsidRPr="00207748">
              <w:rPr>
                <w:rFonts w:ascii="Cambria" w:hAnsi="Cambria" w:cs="Arial"/>
                <w:b/>
                <w:bCs/>
                <w:spacing w:val="-2"/>
                <w:sz w:val="20"/>
                <w:szCs w:val="20"/>
              </w:rPr>
              <w:t>abdominaler oder urogenitaler Sepsis und bei anatomisch unkomplizierter Pyelonephritis vor.</w:t>
            </w:r>
          </w:p>
        </w:tc>
      </w:tr>
      <w:tr w:rsidR="00E11869" w:rsidRPr="00207748" w14:paraId="6DA7DDDA" w14:textId="77777777" w:rsidTr="00342FB3">
        <w:trPr>
          <w:trHeight w:val="400"/>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61F86DF2"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EB58F"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SSC</w:t>
            </w:r>
            <w:r w:rsidR="007722E3" w:rsidRPr="00207748">
              <w:rPr>
                <w:rFonts w:ascii="Cambria" w:hAnsi="Cambria" w:cs="Arial"/>
                <w:b/>
                <w:bCs/>
                <w:sz w:val="20"/>
                <w:szCs w:val="20"/>
              </w:rPr>
              <w:t>-</w:t>
            </w:r>
            <w:r w:rsidRPr="00207748">
              <w:rPr>
                <w:rFonts w:ascii="Cambria" w:hAnsi="Cambria" w:cs="Arial"/>
                <w:b/>
                <w:bCs/>
                <w:sz w:val="20"/>
                <w:szCs w:val="20"/>
              </w:rPr>
              <w:t xml:space="preserve">Leitlinienadaptation </w:t>
            </w:r>
          </w:p>
        </w:tc>
      </w:tr>
      <w:tr w:rsidR="00E11869" w:rsidRPr="00207748" w14:paraId="1604933C"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6E928"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B9234" w14:textId="77777777" w:rsidR="00E11869" w:rsidRPr="00207748" w:rsidRDefault="00447357" w:rsidP="004454B6">
            <w:pPr>
              <w:spacing w:after="0"/>
              <w:rPr>
                <w:rFonts w:ascii="Cambria" w:hAnsi="Cambria" w:cs="Arial"/>
                <w:sz w:val="20"/>
                <w:szCs w:val="20"/>
              </w:rPr>
            </w:pPr>
            <w:r w:rsidRPr="00207748">
              <w:rPr>
                <w:rFonts w:ascii="Cambria" w:hAnsi="Cambria" w:cs="Arial"/>
                <w:sz w:val="20"/>
                <w:szCs w:val="20"/>
              </w:rPr>
              <w:t>Konsensstärke: 100 %</w:t>
            </w:r>
          </w:p>
        </w:tc>
      </w:tr>
    </w:tbl>
    <w:p w14:paraId="48911D11" w14:textId="77777777" w:rsidR="00E11869" w:rsidRPr="00207748" w:rsidRDefault="00E11869" w:rsidP="004454B6">
      <w:pPr>
        <w:spacing w:after="120"/>
        <w:rPr>
          <w:rFonts w:ascii="Cambria" w:eastAsia="Arial" w:hAnsi="Cambria" w:cs="Arial"/>
          <w:sz w:val="20"/>
          <w:szCs w:val="20"/>
        </w:rPr>
      </w:pP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762"/>
        <w:gridCol w:w="1643"/>
        <w:gridCol w:w="820"/>
      </w:tblGrid>
      <w:tr w:rsidR="00E11869" w:rsidRPr="00207748" w14:paraId="2383388B"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0214FED4"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t>D.13</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7A80C2D5"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38BF71F3"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2018</w:t>
            </w:r>
          </w:p>
        </w:tc>
      </w:tr>
      <w:tr w:rsidR="00E11869" w:rsidRPr="00207748" w14:paraId="29107EC1" w14:textId="77777777" w:rsidTr="00342FB3">
        <w:trPr>
          <w:trHeight w:val="252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1CE7FC"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Expertenkonsens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CB74A" w14:textId="77777777" w:rsidR="00E11869" w:rsidRPr="00207748" w:rsidRDefault="00447357" w:rsidP="004454B6">
            <w:pPr>
              <w:spacing w:after="0"/>
              <w:rPr>
                <w:rFonts w:ascii="Cambria" w:hAnsi="Cambria" w:cs="Arial"/>
                <w:sz w:val="20"/>
                <w:szCs w:val="20"/>
              </w:rPr>
            </w:pPr>
            <w:r w:rsidRPr="00207748">
              <w:rPr>
                <w:rFonts w:ascii="Cambria" w:hAnsi="Cambria" w:cs="Arial"/>
                <w:b/>
                <w:bCs/>
                <w:spacing w:val="-2"/>
                <w:sz w:val="20"/>
                <w:szCs w:val="20"/>
              </w:rPr>
              <w:t>Wir empfehlen eine tägliche Beurteilung hinsichtlich der Deeskalation der antimikrobiellen Therapie bei Patienten mit Sepsis und septischem Schock</w:t>
            </w:r>
            <w:r w:rsidRPr="00207748">
              <w:rPr>
                <w:rFonts w:ascii="Cambria" w:hAnsi="Cambria" w:cs="Arial"/>
                <w:b/>
                <w:bCs/>
                <w:spacing w:val="-6"/>
                <w:sz w:val="20"/>
                <w:szCs w:val="20"/>
              </w:rPr>
              <w:t>.</w:t>
            </w:r>
          </w:p>
        </w:tc>
      </w:tr>
      <w:tr w:rsidR="00E11869" w:rsidRPr="00207748" w14:paraId="2120DB9C" w14:textId="77777777" w:rsidTr="00342FB3">
        <w:trPr>
          <w:trHeight w:val="56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78DB891A"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7A63B" w14:textId="48E43FD0"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SSC</w:t>
            </w:r>
            <w:r w:rsidR="007722E3" w:rsidRPr="00207748">
              <w:rPr>
                <w:rFonts w:ascii="Cambria" w:hAnsi="Cambria" w:cs="Arial"/>
                <w:b/>
                <w:bCs/>
                <w:sz w:val="20"/>
                <w:szCs w:val="20"/>
              </w:rPr>
              <w:t>-</w:t>
            </w:r>
            <w:r w:rsidRPr="00207748">
              <w:rPr>
                <w:rFonts w:ascii="Cambria" w:hAnsi="Cambria" w:cs="Arial"/>
                <w:b/>
                <w:bCs/>
                <w:sz w:val="20"/>
                <w:szCs w:val="20"/>
              </w:rPr>
              <w:t>Leitlinien</w:t>
            </w:r>
            <w:r w:rsidR="00B26F79">
              <w:rPr>
                <w:rFonts w:ascii="Cambria" w:hAnsi="Cambria" w:cs="Arial"/>
                <w:b/>
                <w:bCs/>
                <w:sz w:val="20"/>
                <w:szCs w:val="20"/>
              </w:rPr>
              <w:t>-</w:t>
            </w:r>
            <w:r w:rsidRPr="00207748">
              <w:rPr>
                <w:rFonts w:ascii="Cambria" w:hAnsi="Cambria" w:cs="Arial"/>
                <w:b/>
                <w:bCs/>
                <w:sz w:val="20"/>
                <w:szCs w:val="20"/>
              </w:rPr>
              <w:t>adaptation</w:t>
            </w:r>
          </w:p>
        </w:tc>
      </w:tr>
      <w:tr w:rsidR="00E11869" w:rsidRPr="00207748" w14:paraId="500DC773"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5AFAA"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0C4E0" w14:textId="77777777" w:rsidR="00E11869" w:rsidRPr="00207748" w:rsidRDefault="00447357" w:rsidP="004454B6">
            <w:pPr>
              <w:spacing w:after="0"/>
              <w:rPr>
                <w:rFonts w:ascii="Cambria" w:hAnsi="Cambria" w:cs="Arial"/>
                <w:sz w:val="20"/>
                <w:szCs w:val="20"/>
              </w:rPr>
            </w:pPr>
            <w:r w:rsidRPr="00207748">
              <w:rPr>
                <w:rFonts w:ascii="Cambria" w:hAnsi="Cambria" w:cs="Arial"/>
                <w:sz w:val="20"/>
                <w:szCs w:val="20"/>
              </w:rPr>
              <w:t>Konsensstärke: 100 %</w:t>
            </w:r>
          </w:p>
        </w:tc>
      </w:tr>
    </w:tbl>
    <w:p w14:paraId="3BA96D34" w14:textId="2DBE69F8" w:rsidR="00E11869" w:rsidRPr="00207748" w:rsidRDefault="00420A45" w:rsidP="004454B6">
      <w:pPr>
        <w:spacing w:before="240"/>
        <w:rPr>
          <w:rFonts w:ascii="Cambria" w:eastAsia="Arial" w:hAnsi="Cambria" w:cs="Arial"/>
          <w:sz w:val="20"/>
          <w:szCs w:val="20"/>
        </w:rPr>
      </w:pPr>
      <w:r w:rsidRPr="00B0710B">
        <w:rPr>
          <w:rFonts w:ascii="Cambria" w:hAnsi="Cambria" w:cs="Arial"/>
          <w:b/>
          <w:bCs/>
          <w:sz w:val="20"/>
          <w:szCs w:val="20"/>
        </w:rPr>
        <w:t>Begründung:</w:t>
      </w:r>
      <w:r w:rsidR="00447357" w:rsidRPr="00207748">
        <w:rPr>
          <w:rFonts w:ascii="Cambria" w:hAnsi="Cambria" w:cs="Arial"/>
          <w:sz w:val="20"/>
          <w:szCs w:val="20"/>
        </w:rPr>
        <w:t xml:space="preserve"> Die unnötige therapeutische Nutzung von antimikrobiellen Substanzen trägt zur Entstehung und Verbreitung von Antibiotikaresistenzen bei.</w:t>
      </w:r>
      <w:r w:rsidR="00447357" w:rsidRPr="00207748">
        <w:rPr>
          <w:rFonts w:ascii="Cambria" w:eastAsia="Arial" w:hAnsi="Cambria" w:cs="Arial"/>
          <w:sz w:val="20"/>
          <w:szCs w:val="20"/>
          <w:vertAlign w:val="superscript"/>
        </w:rPr>
        <w:endnoteReference w:id="220"/>
      </w:r>
      <w:r w:rsidR="00447357" w:rsidRPr="00207748">
        <w:rPr>
          <w:rFonts w:ascii="Cambria" w:hAnsi="Cambria" w:cs="Arial"/>
          <w:sz w:val="20"/>
          <w:szCs w:val="20"/>
        </w:rPr>
        <w:t xml:space="preserve"> Beim einzelnen Patienten kann sie Erkrankungen wie z.B. einer </w:t>
      </w:r>
      <w:r w:rsidR="00701487" w:rsidRPr="00207748">
        <w:rPr>
          <w:rFonts w:ascii="Cambria" w:hAnsi="Cambria" w:cs="Arial"/>
          <w:sz w:val="20"/>
          <w:szCs w:val="20"/>
        </w:rPr>
        <w:t>C. difficile</w:t>
      </w:r>
      <w:r w:rsidR="00447357" w:rsidRPr="00207748">
        <w:rPr>
          <w:rFonts w:ascii="Cambria" w:hAnsi="Cambria" w:cs="Arial"/>
          <w:iCs/>
          <w:sz w:val="20"/>
          <w:szCs w:val="20"/>
        </w:rPr>
        <w:t>-</w:t>
      </w:r>
      <w:r w:rsidR="00447357" w:rsidRPr="00207748">
        <w:rPr>
          <w:rFonts w:ascii="Cambria" w:hAnsi="Cambria" w:cs="Arial"/>
          <w:sz w:val="20"/>
          <w:szCs w:val="20"/>
        </w:rPr>
        <w:t>Colitis auslösen</w:t>
      </w:r>
      <w:r w:rsidR="006B2B71">
        <w:rPr>
          <w:rFonts w:ascii="Cambria" w:hAnsi="Cambria" w:cs="Arial"/>
          <w:sz w:val="20"/>
          <w:szCs w:val="20"/>
        </w:rPr>
        <w:t xml:space="preserve"> </w:t>
      </w:r>
      <w:r w:rsidR="006B2B71" w:rsidRPr="006B2B71">
        <w:rPr>
          <w:rStyle w:val="EndnoteZchn"/>
          <w:sz w:val="20"/>
          <w:szCs w:val="20"/>
        </w:rPr>
        <w:fldChar w:fldCharType="begin"/>
      </w:r>
      <w:r w:rsidR="006B2B71" w:rsidRPr="006B2B71">
        <w:rPr>
          <w:rStyle w:val="EndnoteZchn"/>
          <w:sz w:val="20"/>
          <w:szCs w:val="20"/>
        </w:rPr>
        <w:instrText xml:space="preserve"> NOTEREF _Ref30584819 \h  \* MERGEFORMAT </w:instrText>
      </w:r>
      <w:r w:rsidR="006B2B71" w:rsidRPr="006B2B71">
        <w:rPr>
          <w:rStyle w:val="EndnoteZchn"/>
          <w:sz w:val="20"/>
          <w:szCs w:val="20"/>
        </w:rPr>
      </w:r>
      <w:r w:rsidR="006B2B71" w:rsidRPr="006B2B71">
        <w:rPr>
          <w:rStyle w:val="EndnoteZchn"/>
          <w:sz w:val="20"/>
          <w:szCs w:val="20"/>
        </w:rPr>
        <w:fldChar w:fldCharType="separate"/>
      </w:r>
      <w:r w:rsidR="001A283B">
        <w:rPr>
          <w:rStyle w:val="EndnoteZchn"/>
          <w:sz w:val="20"/>
          <w:szCs w:val="20"/>
        </w:rPr>
        <w:t>246</w:t>
      </w:r>
      <w:r w:rsidR="006B2B71" w:rsidRPr="006B2B71">
        <w:rPr>
          <w:rStyle w:val="EndnoteZchn"/>
          <w:sz w:val="20"/>
          <w:szCs w:val="20"/>
        </w:rPr>
        <w:fldChar w:fldCharType="end"/>
      </w:r>
      <w:r w:rsidR="00EF1A9E">
        <w:rPr>
          <w:rStyle w:val="EndnoteZchn"/>
          <w:sz w:val="20"/>
          <w:szCs w:val="20"/>
        </w:rPr>
        <w:t xml:space="preserve"> </w:t>
      </w:r>
      <w:r w:rsidR="00447357" w:rsidRPr="00207748">
        <w:rPr>
          <w:rFonts w:ascii="Cambria" w:hAnsi="Cambria" w:cs="Arial"/>
          <w:sz w:val="20"/>
          <w:szCs w:val="20"/>
        </w:rPr>
        <w:t>und ist mit einem erhöhten Mortalitätsrisiko assoziiert, für das es noch keine hinreichenden wissenschaftlichen Erklärungen gibt.</w:t>
      </w:r>
      <w:r w:rsidR="006B2B71" w:rsidRPr="006B2B71">
        <w:rPr>
          <w:rStyle w:val="EndnoteRealZchn"/>
          <w:sz w:val="20"/>
          <w:szCs w:val="20"/>
        </w:rPr>
        <w:fldChar w:fldCharType="begin"/>
      </w:r>
      <w:r w:rsidR="006B2B71" w:rsidRPr="006B2B71">
        <w:rPr>
          <w:rStyle w:val="EndnoteRealZchn"/>
          <w:sz w:val="20"/>
          <w:szCs w:val="20"/>
        </w:rPr>
        <w:instrText xml:space="preserve"> NOTEREF _Ref30585034 \h  \* MERGEFORMAT </w:instrText>
      </w:r>
      <w:r w:rsidR="006B2B71" w:rsidRPr="006B2B71">
        <w:rPr>
          <w:rStyle w:val="EndnoteRealZchn"/>
          <w:sz w:val="20"/>
          <w:szCs w:val="20"/>
        </w:rPr>
      </w:r>
      <w:r w:rsidR="006B2B71" w:rsidRPr="006B2B71">
        <w:rPr>
          <w:rStyle w:val="EndnoteRealZchn"/>
          <w:sz w:val="20"/>
          <w:szCs w:val="20"/>
        </w:rPr>
        <w:fldChar w:fldCharType="separate"/>
      </w:r>
      <w:r w:rsidR="001A283B">
        <w:rPr>
          <w:rStyle w:val="EndnoteRealZchn"/>
          <w:sz w:val="20"/>
          <w:szCs w:val="20"/>
        </w:rPr>
        <w:t>84</w:t>
      </w:r>
      <w:r w:rsidR="006B2B71" w:rsidRPr="006B2B71">
        <w:rPr>
          <w:rStyle w:val="EndnoteRealZchn"/>
          <w:sz w:val="20"/>
          <w:szCs w:val="20"/>
        </w:rPr>
        <w:fldChar w:fldCharType="end"/>
      </w:r>
      <w:r w:rsidR="00447357" w:rsidRPr="00207748">
        <w:rPr>
          <w:rFonts w:ascii="Cambria" w:hAnsi="Cambria" w:cs="Arial"/>
          <w:sz w:val="20"/>
          <w:szCs w:val="20"/>
        </w:rPr>
        <w:t xml:space="preserve"> </w:t>
      </w:r>
    </w:p>
    <w:p w14:paraId="443D8C8F" w14:textId="2BC09707" w:rsidR="00E11869" w:rsidRPr="002B1061" w:rsidRDefault="00447357" w:rsidP="004454B6">
      <w:pPr>
        <w:rPr>
          <w:rFonts w:ascii="Cambria" w:eastAsia="Arial" w:hAnsi="Cambria" w:cs="Arial"/>
          <w:spacing w:val="-1"/>
          <w:sz w:val="20"/>
          <w:szCs w:val="20"/>
        </w:rPr>
      </w:pPr>
      <w:r w:rsidRPr="00207748">
        <w:rPr>
          <w:rFonts w:ascii="Cambria" w:hAnsi="Cambria" w:cs="Arial"/>
          <w:spacing w:val="-1"/>
          <w:sz w:val="20"/>
          <w:szCs w:val="20"/>
        </w:rPr>
        <w:t>Obwohl Patientenfaktoren die Länge der Antibiotikatherapie beeinflussen, ist eine Behandlungsdauer von 7 bis 10 Tagen</w:t>
      </w:r>
      <w:r w:rsidR="002B1061">
        <w:rPr>
          <w:rFonts w:ascii="Cambria" w:hAnsi="Cambria" w:cs="Arial"/>
          <w:spacing w:val="-1"/>
          <w:sz w:val="20"/>
          <w:szCs w:val="20"/>
        </w:rPr>
        <w:t xml:space="preserve"> </w:t>
      </w:r>
      <w:r w:rsidRPr="00207748">
        <w:rPr>
          <w:rFonts w:ascii="Cambria" w:hAnsi="Cambria" w:cs="Arial"/>
          <w:spacing w:val="-1"/>
          <w:sz w:val="20"/>
          <w:szCs w:val="20"/>
        </w:rPr>
        <w:t>im Allgemeinen für die schwersten Infektionen angemessen.</w:t>
      </w:r>
      <w:r w:rsidRPr="00207748">
        <w:rPr>
          <w:rFonts w:ascii="Cambria" w:eastAsia="Arial" w:hAnsi="Cambria" w:cs="Arial"/>
          <w:spacing w:val="-1"/>
          <w:sz w:val="20"/>
          <w:szCs w:val="20"/>
          <w:vertAlign w:val="superscript"/>
        </w:rPr>
        <w:endnoteReference w:id="221"/>
      </w:r>
      <w:r w:rsidRPr="00207748">
        <w:rPr>
          <w:rFonts w:ascii="Cambria" w:hAnsi="Cambria" w:cs="Arial"/>
          <w:spacing w:val="-1"/>
          <w:sz w:val="20"/>
          <w:szCs w:val="20"/>
        </w:rPr>
        <w:t xml:space="preserve"> </w:t>
      </w:r>
      <w:r w:rsidRPr="00207748">
        <w:rPr>
          <w:rFonts w:ascii="Cambria" w:eastAsia="Arial" w:hAnsi="Cambria" w:cs="Arial"/>
          <w:spacing w:val="-1"/>
          <w:sz w:val="20"/>
          <w:szCs w:val="20"/>
          <w:vertAlign w:val="superscript"/>
        </w:rPr>
        <w:endnoteReference w:id="222"/>
      </w:r>
      <w:r w:rsidRPr="00207748">
        <w:rPr>
          <w:rFonts w:ascii="Cambria" w:hAnsi="Cambria" w:cs="Arial"/>
          <w:spacing w:val="-1"/>
          <w:sz w:val="20"/>
          <w:szCs w:val="20"/>
        </w:rPr>
        <w:t xml:space="preserve"> </w:t>
      </w:r>
      <w:r w:rsidRPr="00207748">
        <w:rPr>
          <w:rFonts w:ascii="Cambria" w:eastAsia="Arial" w:hAnsi="Cambria" w:cs="Arial"/>
          <w:spacing w:val="-1"/>
          <w:sz w:val="20"/>
          <w:szCs w:val="20"/>
          <w:vertAlign w:val="superscript"/>
        </w:rPr>
        <w:endnoteReference w:id="223"/>
      </w:r>
      <w:r w:rsidRPr="00207748">
        <w:rPr>
          <w:rFonts w:ascii="Cambria" w:hAnsi="Cambria" w:cs="Arial"/>
          <w:spacing w:val="-1"/>
          <w:sz w:val="20"/>
          <w:szCs w:val="20"/>
        </w:rPr>
        <w:t xml:space="preserve"> </w:t>
      </w:r>
      <w:r w:rsidRPr="00207748">
        <w:rPr>
          <w:rFonts w:ascii="Cambria" w:eastAsia="Arial" w:hAnsi="Cambria" w:cs="Arial"/>
          <w:spacing w:val="-1"/>
          <w:sz w:val="20"/>
          <w:szCs w:val="20"/>
          <w:vertAlign w:val="superscript"/>
        </w:rPr>
        <w:endnoteReference w:id="224"/>
      </w:r>
      <w:r w:rsidRPr="00207748">
        <w:rPr>
          <w:rFonts w:ascii="Cambria" w:hAnsi="Cambria" w:cs="Arial"/>
          <w:spacing w:val="-1"/>
          <w:sz w:val="20"/>
          <w:szCs w:val="20"/>
        </w:rPr>
        <w:t xml:space="preserve"> Die aktuellen Richtlinien empfehlen eine 7-tägige Behandlungsdauer bei nosokomialer Pneumonie (sowohl bei einer im Krankenhaus erworbenen als auch bei einer </w:t>
      </w:r>
      <w:r w:rsidRPr="002E5526">
        <w:rPr>
          <w:rFonts w:ascii="Cambria" w:hAnsi="Cambria" w:cs="Arial"/>
          <w:spacing w:val="-1"/>
          <w:sz w:val="20"/>
          <w:szCs w:val="20"/>
        </w:rPr>
        <w:t>beatmungs</w:t>
      </w:r>
      <w:r w:rsidR="00B0710B" w:rsidRPr="00DC4B69">
        <w:rPr>
          <w:rFonts w:ascii="Cambria" w:hAnsi="Cambria" w:cs="Arial"/>
          <w:spacing w:val="-1"/>
          <w:sz w:val="20"/>
          <w:szCs w:val="20"/>
        </w:rPr>
        <w:t>assoziierten</w:t>
      </w:r>
      <w:r w:rsidRPr="00207748">
        <w:rPr>
          <w:rFonts w:ascii="Cambria" w:hAnsi="Cambria" w:cs="Arial"/>
          <w:spacing w:val="-1"/>
          <w:sz w:val="20"/>
          <w:szCs w:val="20"/>
        </w:rPr>
        <w:t xml:space="preserve"> Pneumonie (VAP)).</w:t>
      </w:r>
      <w:r w:rsidRPr="00207748">
        <w:rPr>
          <w:rFonts w:ascii="Cambria" w:eastAsia="Arial" w:hAnsi="Cambria" w:cs="Arial"/>
          <w:spacing w:val="-1"/>
          <w:sz w:val="20"/>
          <w:szCs w:val="20"/>
          <w:vertAlign w:val="superscript"/>
        </w:rPr>
        <w:endnoteReference w:id="225"/>
      </w:r>
      <w:r w:rsidRPr="00207748">
        <w:rPr>
          <w:rFonts w:ascii="Cambria" w:hAnsi="Cambria" w:cs="Arial"/>
          <w:spacing w:val="-1"/>
          <w:sz w:val="20"/>
          <w:szCs w:val="20"/>
        </w:rPr>
        <w:t xml:space="preserve"> Aktuelle Daten deuten darauf hin, dass einige schwere Infektionen </w:t>
      </w:r>
      <w:r w:rsidR="00B0710B" w:rsidRPr="00DC4B69">
        <w:rPr>
          <w:rFonts w:ascii="Cambria" w:hAnsi="Cambria" w:cs="Arial"/>
          <w:spacing w:val="-1"/>
          <w:sz w:val="20"/>
          <w:szCs w:val="20"/>
        </w:rPr>
        <w:t xml:space="preserve">sogar noch kürzer </w:t>
      </w:r>
      <w:r w:rsidR="002E5526" w:rsidRPr="00DC4B69">
        <w:rPr>
          <w:rFonts w:ascii="Cambria" w:hAnsi="Cambria" w:cs="Arial"/>
          <w:spacing w:val="-1"/>
          <w:sz w:val="20"/>
          <w:szCs w:val="20"/>
        </w:rPr>
        <w:t>behandelt</w:t>
      </w:r>
      <w:r w:rsidRPr="00207748">
        <w:rPr>
          <w:rFonts w:ascii="Cambria" w:hAnsi="Cambria" w:cs="Arial"/>
          <w:spacing w:val="-1"/>
          <w:sz w:val="20"/>
          <w:szCs w:val="20"/>
        </w:rPr>
        <w:t xml:space="preserve"> werden können, insbesondere, wenn eine </w:t>
      </w:r>
      <w:r w:rsidR="002E5526" w:rsidRPr="00DC4B69">
        <w:rPr>
          <w:rFonts w:ascii="Cambria" w:hAnsi="Cambria" w:cs="Arial"/>
          <w:spacing w:val="-1"/>
          <w:sz w:val="20"/>
          <w:szCs w:val="20"/>
        </w:rPr>
        <w:t>Fokussanierung</w:t>
      </w:r>
      <w:r w:rsidRPr="00207748">
        <w:rPr>
          <w:rFonts w:ascii="Cambria" w:hAnsi="Cambria" w:cs="Arial"/>
          <w:spacing w:val="-1"/>
          <w:sz w:val="20"/>
          <w:szCs w:val="20"/>
        </w:rPr>
        <w:t xml:space="preserve"> erfolgreich umgesetzt werden </w:t>
      </w:r>
      <w:r w:rsidR="002E5526" w:rsidRPr="00DC4B69">
        <w:rPr>
          <w:rFonts w:ascii="Cambria" w:hAnsi="Cambria" w:cs="Arial"/>
          <w:spacing w:val="-1"/>
          <w:sz w:val="20"/>
          <w:szCs w:val="20"/>
        </w:rPr>
        <w:t>konnte</w:t>
      </w:r>
      <w:r w:rsidRPr="00207748">
        <w:rPr>
          <w:rFonts w:ascii="Cambria" w:hAnsi="Cambria" w:cs="Arial"/>
          <w:spacing w:val="-1"/>
          <w:sz w:val="20"/>
          <w:szCs w:val="20"/>
        </w:rPr>
        <w:t>.</w:t>
      </w:r>
      <w:bookmarkStart w:id="380" w:name="_Ref30585528"/>
      <w:r w:rsidRPr="00207748">
        <w:rPr>
          <w:rFonts w:ascii="Cambria" w:eastAsia="Arial" w:hAnsi="Cambria" w:cs="Arial"/>
          <w:spacing w:val="-1"/>
          <w:sz w:val="20"/>
          <w:szCs w:val="20"/>
          <w:vertAlign w:val="superscript"/>
        </w:rPr>
        <w:endnoteReference w:id="226"/>
      </w:r>
      <w:bookmarkEnd w:id="380"/>
      <w:r w:rsidRPr="00207748">
        <w:rPr>
          <w:rFonts w:ascii="Cambria" w:hAnsi="Cambria" w:cs="Arial"/>
          <w:spacing w:val="-1"/>
          <w:sz w:val="20"/>
          <w:szCs w:val="20"/>
        </w:rPr>
        <w:t xml:space="preserve"> </w:t>
      </w:r>
      <w:bookmarkStart w:id="381" w:name="_Ref30585657"/>
      <w:r w:rsidRPr="00207748">
        <w:rPr>
          <w:rFonts w:ascii="Cambria" w:eastAsia="Arial" w:hAnsi="Cambria" w:cs="Arial"/>
          <w:spacing w:val="-1"/>
          <w:sz w:val="20"/>
          <w:szCs w:val="20"/>
          <w:vertAlign w:val="superscript"/>
        </w:rPr>
        <w:endnoteReference w:id="227"/>
      </w:r>
      <w:bookmarkEnd w:id="381"/>
      <w:r w:rsidRPr="00207748">
        <w:rPr>
          <w:rFonts w:ascii="Cambria" w:hAnsi="Cambria" w:cs="Arial"/>
          <w:spacing w:val="-1"/>
          <w:sz w:val="20"/>
          <w:szCs w:val="20"/>
        </w:rPr>
        <w:t xml:space="preserve"> </w:t>
      </w:r>
      <w:r w:rsidR="002E5526" w:rsidRPr="00DC4B69">
        <w:rPr>
          <w:rFonts w:ascii="Cambria" w:hAnsi="Cambria" w:cs="Arial"/>
          <w:spacing w:val="-1"/>
          <w:sz w:val="20"/>
          <w:szCs w:val="20"/>
        </w:rPr>
        <w:t>Bei abdomineller</w:t>
      </w:r>
      <w:r w:rsidRPr="00207748">
        <w:rPr>
          <w:rFonts w:ascii="Cambria" w:hAnsi="Cambria" w:cs="Arial"/>
          <w:spacing w:val="-1"/>
          <w:sz w:val="20"/>
          <w:szCs w:val="20"/>
        </w:rPr>
        <w:t xml:space="preserve"> Sepsis zeigte </w:t>
      </w:r>
      <w:r w:rsidR="002E5526" w:rsidRPr="00DC4B69">
        <w:rPr>
          <w:rFonts w:ascii="Cambria" w:hAnsi="Cambria" w:cs="Arial"/>
          <w:spacing w:val="-1"/>
          <w:sz w:val="20"/>
          <w:szCs w:val="20"/>
        </w:rPr>
        <w:t>eine Sub</w:t>
      </w:r>
      <w:r w:rsidRPr="002E5526">
        <w:rPr>
          <w:rFonts w:ascii="Cambria" w:hAnsi="Cambria" w:cs="Arial"/>
          <w:spacing w:val="-1"/>
          <w:sz w:val="20"/>
          <w:szCs w:val="20"/>
        </w:rPr>
        <w:t>gruppenanalyse schwerstkranke</w:t>
      </w:r>
      <w:r w:rsidR="002E5526" w:rsidRPr="00DC4B69">
        <w:rPr>
          <w:rFonts w:ascii="Cambria" w:hAnsi="Cambria" w:cs="Arial"/>
          <w:spacing w:val="-1"/>
          <w:sz w:val="20"/>
          <w:szCs w:val="20"/>
        </w:rPr>
        <w:t>r</w:t>
      </w:r>
      <w:r w:rsidRPr="002E5526">
        <w:rPr>
          <w:rFonts w:ascii="Cambria" w:hAnsi="Cambria" w:cs="Arial"/>
          <w:spacing w:val="-1"/>
          <w:sz w:val="20"/>
          <w:szCs w:val="20"/>
        </w:rPr>
        <w:t xml:space="preserve"> P</w:t>
      </w:r>
      <w:r w:rsidR="002E5526" w:rsidRPr="00DC4B69">
        <w:rPr>
          <w:rFonts w:ascii="Cambria" w:hAnsi="Cambria" w:cs="Arial"/>
          <w:spacing w:val="-1"/>
          <w:sz w:val="20"/>
          <w:szCs w:val="20"/>
        </w:rPr>
        <w:t>atienten</w:t>
      </w:r>
      <w:r w:rsidRPr="00207748">
        <w:rPr>
          <w:rFonts w:ascii="Cambria" w:hAnsi="Cambria" w:cs="Arial"/>
          <w:spacing w:val="-1"/>
          <w:sz w:val="20"/>
          <w:szCs w:val="20"/>
        </w:rPr>
        <w:t xml:space="preserve"> (Acute Physiologic and Chronic Health Evaluation (APACHE) II-Score größer als 15 oder 20) </w:t>
      </w:r>
      <w:r w:rsidR="002E5526" w:rsidRPr="00DC4B69">
        <w:rPr>
          <w:rFonts w:ascii="Cambria" w:hAnsi="Cambria" w:cs="Arial"/>
          <w:spacing w:val="-1"/>
          <w:sz w:val="20"/>
          <w:szCs w:val="20"/>
        </w:rPr>
        <w:t>keine Nachteile einer</w:t>
      </w:r>
      <w:r w:rsidRPr="00207748">
        <w:rPr>
          <w:rFonts w:ascii="Cambria" w:hAnsi="Cambria" w:cs="Arial"/>
          <w:spacing w:val="-1"/>
          <w:sz w:val="20"/>
          <w:szCs w:val="20"/>
        </w:rPr>
        <w:t xml:space="preserve"> Kurzzeitbehandlung</w:t>
      </w:r>
      <w:r w:rsidR="00EF1A9E" w:rsidRPr="00207748">
        <w:rPr>
          <w:rFonts w:ascii="Cambria" w:hAnsi="Cambria" w:cs="Arial"/>
          <w:spacing w:val="-1"/>
          <w:sz w:val="20"/>
          <w:szCs w:val="20"/>
        </w:rPr>
        <w:t xml:space="preserve"> </w:t>
      </w:r>
      <w:r w:rsidRPr="00207748">
        <w:rPr>
          <w:rFonts w:ascii="Cambria" w:hAnsi="Cambria" w:cs="Arial"/>
          <w:spacing w:val="-1"/>
          <w:sz w:val="20"/>
          <w:szCs w:val="20"/>
        </w:rPr>
        <w:t>mit Antibiotika</w:t>
      </w:r>
      <w:r w:rsidR="00EF1A9E">
        <w:rPr>
          <w:rFonts w:ascii="Cambria" w:hAnsi="Cambria" w:cs="Arial"/>
          <w:spacing w:val="-1"/>
          <w:sz w:val="20"/>
          <w:szCs w:val="20"/>
        </w:rPr>
        <w:t>.</w:t>
      </w:r>
      <w:r w:rsidRPr="00207748">
        <w:rPr>
          <w:rFonts w:ascii="Cambria" w:hAnsi="Cambria" w:cs="Arial"/>
          <w:spacing w:val="-1"/>
          <w:sz w:val="20"/>
          <w:szCs w:val="20"/>
        </w:rPr>
        <w:t xml:space="preserve"> </w:t>
      </w:r>
      <w:r w:rsidR="006B2B71" w:rsidRPr="006B2B71">
        <w:rPr>
          <w:rStyle w:val="EndnoteRealZchn"/>
          <w:sz w:val="20"/>
          <w:szCs w:val="20"/>
        </w:rPr>
        <w:fldChar w:fldCharType="begin"/>
      </w:r>
      <w:r w:rsidR="006B2B71" w:rsidRPr="006B2B71">
        <w:rPr>
          <w:rStyle w:val="EndnoteRealZchn"/>
          <w:sz w:val="20"/>
          <w:szCs w:val="20"/>
        </w:rPr>
        <w:instrText xml:space="preserve"> NOTEREF _Ref30585528 \h  \* MERGEFORMAT </w:instrText>
      </w:r>
      <w:r w:rsidR="006B2B71" w:rsidRPr="006B2B71">
        <w:rPr>
          <w:rStyle w:val="EndnoteRealZchn"/>
          <w:sz w:val="20"/>
          <w:szCs w:val="20"/>
        </w:rPr>
      </w:r>
      <w:r w:rsidR="006B2B71" w:rsidRPr="006B2B71">
        <w:rPr>
          <w:rStyle w:val="EndnoteRealZchn"/>
          <w:sz w:val="20"/>
          <w:szCs w:val="20"/>
        </w:rPr>
        <w:fldChar w:fldCharType="separate"/>
      </w:r>
      <w:r w:rsidR="001A283B">
        <w:rPr>
          <w:rStyle w:val="EndnoteRealZchn"/>
          <w:sz w:val="20"/>
          <w:szCs w:val="20"/>
        </w:rPr>
        <w:t>253</w:t>
      </w:r>
      <w:r w:rsidR="006B2B71" w:rsidRPr="006B2B71">
        <w:rPr>
          <w:rStyle w:val="EndnoteRealZchn"/>
          <w:sz w:val="20"/>
          <w:szCs w:val="20"/>
        </w:rPr>
        <w:fldChar w:fldCharType="end"/>
      </w:r>
      <w:r w:rsidR="006B2B71">
        <w:rPr>
          <w:rFonts w:ascii="Cambria" w:eastAsia="Arial" w:hAnsi="Cambria" w:cs="Arial"/>
          <w:spacing w:val="-1"/>
          <w:sz w:val="20"/>
          <w:szCs w:val="20"/>
          <w:vertAlign w:val="superscript"/>
        </w:rPr>
        <w:t xml:space="preserve"> </w:t>
      </w:r>
      <w:r w:rsidRPr="00207748">
        <w:rPr>
          <w:rFonts w:ascii="Cambria" w:eastAsia="Arial" w:hAnsi="Cambria" w:cs="Arial"/>
          <w:spacing w:val="-1"/>
          <w:sz w:val="20"/>
          <w:szCs w:val="20"/>
          <w:vertAlign w:val="superscript"/>
        </w:rPr>
        <w:endnoteReference w:id="228"/>
      </w:r>
      <w:r w:rsidRPr="00207748">
        <w:rPr>
          <w:rFonts w:ascii="Cambria" w:hAnsi="Cambria" w:cs="Arial"/>
          <w:spacing w:val="-1"/>
          <w:sz w:val="20"/>
          <w:szCs w:val="20"/>
        </w:rPr>
        <w:t xml:space="preserve"> Eine Behandlungsdauer von 3 bis 5 Tagen oder eine noch kürzere Behandlungsdauer waren ebenso wirksam wie eine Behandlungsdauer von bis zu 10 Tagen. Des Weiteren haben Studien gezeigt, dass eine Behandlungsdauer von &lt; 7 Tagen ebenso wirksam ist wie eine längere Behandlungsdauer, was das Management einer akuten Pyelonephritis mit oder ohne Bakteriämie</w:t>
      </w:r>
      <w:r w:rsidR="006B2B71">
        <w:rPr>
          <w:rFonts w:ascii="Cambria" w:hAnsi="Cambria" w:cs="Arial"/>
          <w:spacing w:val="-1"/>
          <w:sz w:val="20"/>
          <w:szCs w:val="20"/>
        </w:rPr>
        <w:t xml:space="preserve"> </w:t>
      </w:r>
      <w:r w:rsidR="006B2B71" w:rsidRPr="006B2B71">
        <w:rPr>
          <w:rStyle w:val="EndnoteRealZchn"/>
          <w:sz w:val="20"/>
          <w:szCs w:val="20"/>
        </w:rPr>
        <w:fldChar w:fldCharType="begin"/>
      </w:r>
      <w:r w:rsidR="006B2B71" w:rsidRPr="006B2B71">
        <w:rPr>
          <w:rStyle w:val="EndnoteRealZchn"/>
          <w:sz w:val="20"/>
          <w:szCs w:val="20"/>
        </w:rPr>
        <w:instrText xml:space="preserve"> NOTEREF _Ref30585657 \h  \* MERGEFORMAT </w:instrText>
      </w:r>
      <w:r w:rsidR="006B2B71" w:rsidRPr="006B2B71">
        <w:rPr>
          <w:rStyle w:val="EndnoteRealZchn"/>
          <w:sz w:val="20"/>
          <w:szCs w:val="20"/>
        </w:rPr>
      </w:r>
      <w:r w:rsidR="006B2B71" w:rsidRPr="006B2B71">
        <w:rPr>
          <w:rStyle w:val="EndnoteRealZchn"/>
          <w:sz w:val="20"/>
          <w:szCs w:val="20"/>
        </w:rPr>
        <w:fldChar w:fldCharType="separate"/>
      </w:r>
      <w:r w:rsidR="001A283B">
        <w:rPr>
          <w:rStyle w:val="EndnoteRealZchn"/>
          <w:sz w:val="20"/>
          <w:szCs w:val="20"/>
        </w:rPr>
        <w:t>254</w:t>
      </w:r>
      <w:r w:rsidR="006B2B71" w:rsidRPr="006B2B71">
        <w:rPr>
          <w:rStyle w:val="EndnoteRealZchn"/>
          <w:sz w:val="20"/>
          <w:szCs w:val="20"/>
        </w:rPr>
        <w:fldChar w:fldCharType="end"/>
      </w:r>
      <w:r w:rsidRPr="00207748">
        <w:rPr>
          <w:rFonts w:ascii="Cambria" w:hAnsi="Cambria" w:cs="Arial"/>
          <w:spacing w:val="-1"/>
          <w:sz w:val="20"/>
          <w:szCs w:val="20"/>
        </w:rPr>
        <w:t>, einer unkomplizierten Zellulitis</w:t>
      </w:r>
      <w:r w:rsidR="00EF1A9E">
        <w:rPr>
          <w:rFonts w:ascii="Cambria" w:hAnsi="Cambria" w:cs="Arial"/>
          <w:spacing w:val="-1"/>
          <w:sz w:val="20"/>
          <w:szCs w:val="20"/>
        </w:rPr>
        <w:t xml:space="preserve"> </w:t>
      </w:r>
      <w:r w:rsidRPr="00207748">
        <w:rPr>
          <w:rFonts w:ascii="Cambria" w:eastAsia="Arial" w:hAnsi="Cambria" w:cs="Arial"/>
          <w:spacing w:val="-1"/>
          <w:sz w:val="20"/>
          <w:szCs w:val="20"/>
          <w:vertAlign w:val="superscript"/>
        </w:rPr>
        <w:endnoteReference w:id="229"/>
      </w:r>
      <w:r w:rsidRPr="00207748">
        <w:rPr>
          <w:rFonts w:ascii="Cambria" w:hAnsi="Cambria" w:cs="Arial"/>
          <w:spacing w:val="-1"/>
          <w:sz w:val="20"/>
          <w:szCs w:val="20"/>
        </w:rPr>
        <w:t xml:space="preserve"> und einer spontanen bakteriellen Peritonitis betrifft.</w:t>
      </w:r>
      <w:r w:rsidRPr="00207748">
        <w:rPr>
          <w:rFonts w:ascii="Cambria" w:eastAsia="Arial" w:hAnsi="Cambria" w:cs="Arial"/>
          <w:spacing w:val="-1"/>
          <w:sz w:val="20"/>
          <w:szCs w:val="20"/>
          <w:vertAlign w:val="superscript"/>
        </w:rPr>
        <w:endnoteReference w:id="230"/>
      </w:r>
      <w:r w:rsidRPr="00207748">
        <w:rPr>
          <w:rFonts w:ascii="Cambria" w:hAnsi="Cambria" w:cs="Arial"/>
          <w:spacing w:val="-1"/>
          <w:sz w:val="20"/>
          <w:szCs w:val="20"/>
        </w:rPr>
        <w:t xml:space="preserve"> Bei manchen Erkrankungen ist eine längere antimikrobielle Therapie erforderlich. Dazu gehören ein langsames klinisches Ansprechen, nicht drainierbare Infektionsherde, eine Bakteriämie mit </w:t>
      </w:r>
      <w:r w:rsidRPr="0044792B">
        <w:rPr>
          <w:rFonts w:ascii="Cambria" w:hAnsi="Cambria" w:cs="Arial"/>
          <w:iCs/>
          <w:spacing w:val="-1"/>
          <w:sz w:val="20"/>
          <w:szCs w:val="20"/>
        </w:rPr>
        <w:t>S</w:t>
      </w:r>
      <w:r w:rsidR="002E5526" w:rsidRPr="00DC4B69">
        <w:rPr>
          <w:rFonts w:ascii="Cambria" w:hAnsi="Cambria" w:cs="Arial"/>
          <w:iCs/>
          <w:spacing w:val="-1"/>
          <w:sz w:val="20"/>
          <w:szCs w:val="20"/>
        </w:rPr>
        <w:t>taph.</w:t>
      </w:r>
      <w:r w:rsidRPr="00207748">
        <w:rPr>
          <w:rFonts w:ascii="Cambria" w:hAnsi="Cambria" w:cs="Arial"/>
          <w:iCs/>
          <w:spacing w:val="-1"/>
          <w:sz w:val="20"/>
          <w:szCs w:val="20"/>
        </w:rPr>
        <w:t xml:space="preserve"> aureus </w:t>
      </w:r>
      <w:r w:rsidRPr="00207748">
        <w:rPr>
          <w:rFonts w:ascii="Cambria" w:hAnsi="Cambria" w:cs="Arial"/>
          <w:spacing w:val="-1"/>
          <w:sz w:val="20"/>
          <w:szCs w:val="20"/>
        </w:rPr>
        <w:t>(</w:t>
      </w:r>
      <w:r w:rsidR="002E5526" w:rsidRPr="00DC4B69">
        <w:rPr>
          <w:rFonts w:ascii="Cambria" w:hAnsi="Cambria" w:cs="Arial"/>
          <w:spacing w:val="-1"/>
          <w:sz w:val="20"/>
          <w:szCs w:val="20"/>
        </w:rPr>
        <w:t>einschliesslich</w:t>
      </w:r>
      <w:r w:rsidRPr="00207748">
        <w:rPr>
          <w:rFonts w:ascii="Cambria" w:hAnsi="Cambria" w:cs="Arial"/>
          <w:spacing w:val="-1"/>
          <w:sz w:val="20"/>
          <w:szCs w:val="20"/>
        </w:rPr>
        <w:t xml:space="preserve"> MRSA)</w:t>
      </w:r>
      <w:r w:rsidRPr="00207748">
        <w:rPr>
          <w:rFonts w:ascii="Cambria" w:eastAsia="Arial" w:hAnsi="Cambria" w:cs="Arial"/>
          <w:spacing w:val="-1"/>
          <w:sz w:val="20"/>
          <w:szCs w:val="20"/>
          <w:vertAlign w:val="superscript"/>
        </w:rPr>
        <w:endnoteReference w:id="231"/>
      </w:r>
      <w:r w:rsidRPr="00207748">
        <w:rPr>
          <w:rFonts w:ascii="Cambria" w:hAnsi="Cambria" w:cs="Arial"/>
          <w:spacing w:val="-1"/>
          <w:sz w:val="20"/>
          <w:szCs w:val="20"/>
        </w:rPr>
        <w:t xml:space="preserve"> </w:t>
      </w:r>
      <w:r w:rsidR="006B2B71" w:rsidRPr="006B2B71">
        <w:rPr>
          <w:rStyle w:val="EndnoteRealZchn"/>
          <w:sz w:val="20"/>
          <w:szCs w:val="20"/>
        </w:rPr>
        <w:fldChar w:fldCharType="begin"/>
      </w:r>
      <w:r w:rsidR="006B2B71" w:rsidRPr="006B2B71">
        <w:rPr>
          <w:rStyle w:val="EndnoteRealZchn"/>
          <w:sz w:val="20"/>
          <w:szCs w:val="20"/>
        </w:rPr>
        <w:instrText xml:space="preserve"> NOTEREF _Ref30585242 \h  \* MERGEFORMAT </w:instrText>
      </w:r>
      <w:r w:rsidR="006B2B71" w:rsidRPr="006B2B71">
        <w:rPr>
          <w:rStyle w:val="EndnoteRealZchn"/>
          <w:sz w:val="20"/>
          <w:szCs w:val="20"/>
        </w:rPr>
      </w:r>
      <w:r w:rsidR="006B2B71" w:rsidRPr="006B2B71">
        <w:rPr>
          <w:rStyle w:val="EndnoteRealZchn"/>
          <w:sz w:val="20"/>
          <w:szCs w:val="20"/>
        </w:rPr>
        <w:fldChar w:fldCharType="separate"/>
      </w:r>
      <w:r w:rsidR="001A283B">
        <w:rPr>
          <w:rStyle w:val="EndnoteRealZchn"/>
          <w:sz w:val="20"/>
          <w:szCs w:val="20"/>
        </w:rPr>
        <w:t>138</w:t>
      </w:r>
      <w:r w:rsidR="006B2B71" w:rsidRPr="006B2B71">
        <w:rPr>
          <w:rStyle w:val="EndnoteRealZchn"/>
          <w:sz w:val="20"/>
          <w:szCs w:val="20"/>
        </w:rPr>
        <w:fldChar w:fldCharType="end"/>
      </w:r>
      <w:r w:rsidRPr="00207748">
        <w:rPr>
          <w:rFonts w:ascii="Cambria" w:hAnsi="Cambria" w:cs="Arial"/>
          <w:spacing w:val="-1"/>
          <w:sz w:val="20"/>
          <w:szCs w:val="20"/>
        </w:rPr>
        <w:t xml:space="preserve"> </w:t>
      </w:r>
      <w:r w:rsidR="006B2B71">
        <w:rPr>
          <w:rFonts w:ascii="Cambria" w:hAnsi="Cambria" w:cs="Arial"/>
          <w:spacing w:val="-1"/>
          <w:sz w:val="20"/>
          <w:szCs w:val="20"/>
        </w:rPr>
        <w:t xml:space="preserve">, </w:t>
      </w:r>
      <w:r w:rsidRPr="00207748">
        <w:rPr>
          <w:rFonts w:ascii="Cambria" w:hAnsi="Cambria" w:cs="Arial"/>
          <w:spacing w:val="-1"/>
          <w:sz w:val="20"/>
          <w:szCs w:val="20"/>
        </w:rPr>
        <w:t>eine Candidämie bzw. eine invasive Candidiasis</w:t>
      </w:r>
      <w:r w:rsidR="00CB26D4">
        <w:rPr>
          <w:rFonts w:ascii="Cambria" w:hAnsi="Cambria" w:cs="Arial"/>
          <w:spacing w:val="-1"/>
          <w:sz w:val="20"/>
          <w:szCs w:val="20"/>
        </w:rPr>
        <w:t xml:space="preserve"> </w:t>
      </w:r>
      <w:r w:rsidR="00CB26D4" w:rsidRPr="00CB26D4">
        <w:rPr>
          <w:rStyle w:val="EndnoteRealZchn"/>
        </w:rPr>
        <w:fldChar w:fldCharType="begin"/>
      </w:r>
      <w:r w:rsidR="00CB26D4" w:rsidRPr="00CB26D4">
        <w:rPr>
          <w:rStyle w:val="EndnoteRealZchn"/>
        </w:rPr>
        <w:instrText xml:space="preserve"> NOTEREF _Ref30503818 \h </w:instrText>
      </w:r>
      <w:r w:rsidR="00CB26D4">
        <w:rPr>
          <w:rStyle w:val="EndnoteRealZchn"/>
        </w:rPr>
        <w:instrText xml:space="preserve"> \* MERGEFORMAT </w:instrText>
      </w:r>
      <w:r w:rsidR="00CB26D4" w:rsidRPr="00CB26D4">
        <w:rPr>
          <w:rStyle w:val="EndnoteRealZchn"/>
        </w:rPr>
      </w:r>
      <w:r w:rsidR="00CB26D4" w:rsidRPr="00CB26D4">
        <w:rPr>
          <w:rStyle w:val="EndnoteRealZchn"/>
        </w:rPr>
        <w:fldChar w:fldCharType="separate"/>
      </w:r>
      <w:r w:rsidR="001A283B">
        <w:rPr>
          <w:rStyle w:val="EndnoteRealZchn"/>
        </w:rPr>
        <w:t>139</w:t>
      </w:r>
      <w:r w:rsidR="00CB26D4" w:rsidRPr="00CB26D4">
        <w:rPr>
          <w:rStyle w:val="EndnoteRealZchn"/>
        </w:rPr>
        <w:fldChar w:fldCharType="end"/>
      </w:r>
      <w:r w:rsidRPr="00207748">
        <w:rPr>
          <w:rFonts w:ascii="Cambria" w:hAnsi="Cambria" w:cs="Arial"/>
          <w:spacing w:val="-1"/>
          <w:sz w:val="20"/>
          <w:szCs w:val="20"/>
        </w:rPr>
        <w:t xml:space="preserve"> und andere Pilzinfektionen, einige </w:t>
      </w:r>
      <w:r w:rsidRPr="00207748">
        <w:rPr>
          <w:rFonts w:ascii="Cambria" w:hAnsi="Cambria" w:cs="Arial"/>
          <w:spacing w:val="-1"/>
          <w:sz w:val="20"/>
          <w:szCs w:val="20"/>
        </w:rPr>
        <w:lastRenderedPageBreak/>
        <w:t>Virusinfektionen (z.B. Herpes, Cytomegalovirus) und Immundefizite einschließlich Neutropenie.</w:t>
      </w:r>
      <w:r w:rsidRPr="00207748">
        <w:rPr>
          <w:rFonts w:ascii="Cambria" w:eastAsia="Arial" w:hAnsi="Cambria" w:cs="Arial"/>
          <w:spacing w:val="-1"/>
          <w:sz w:val="20"/>
          <w:szCs w:val="20"/>
          <w:vertAlign w:val="superscript"/>
        </w:rPr>
        <w:endnoteReference w:id="232"/>
      </w:r>
    </w:p>
    <w:p w14:paraId="084630D4" w14:textId="44C76680" w:rsidR="00E11869" w:rsidRPr="00207748" w:rsidRDefault="00447357" w:rsidP="004454B6">
      <w:pPr>
        <w:rPr>
          <w:rFonts w:ascii="Cambria" w:eastAsia="Arial" w:hAnsi="Cambria" w:cs="Arial"/>
          <w:spacing w:val="-4"/>
          <w:sz w:val="20"/>
          <w:szCs w:val="20"/>
        </w:rPr>
      </w:pPr>
      <w:r w:rsidRPr="00207748">
        <w:rPr>
          <w:rFonts w:ascii="Cambria" w:hAnsi="Cambria" w:cs="Arial"/>
          <w:spacing w:val="-4"/>
          <w:sz w:val="20"/>
          <w:szCs w:val="20"/>
        </w:rPr>
        <w:t xml:space="preserve">Die Art des infizierenden Pathogens spielt ebenfalls eine Rolle. Eine unkomplizierte </w:t>
      </w:r>
      <w:r w:rsidRPr="002E5526">
        <w:rPr>
          <w:rFonts w:ascii="Cambria" w:hAnsi="Cambria" w:cs="Arial"/>
          <w:iCs/>
          <w:spacing w:val="-4"/>
          <w:sz w:val="20"/>
          <w:szCs w:val="20"/>
        </w:rPr>
        <w:t>S</w:t>
      </w:r>
      <w:r w:rsidR="002E5526" w:rsidRPr="00DC4B69">
        <w:rPr>
          <w:rFonts w:ascii="Cambria" w:hAnsi="Cambria" w:cs="Arial"/>
          <w:iCs/>
          <w:spacing w:val="-4"/>
          <w:sz w:val="20"/>
          <w:szCs w:val="20"/>
        </w:rPr>
        <w:t>taph.</w:t>
      </w:r>
      <w:r w:rsidRPr="00207748">
        <w:rPr>
          <w:rFonts w:ascii="Cambria" w:hAnsi="Cambria" w:cs="Arial"/>
          <w:iCs/>
          <w:spacing w:val="-4"/>
          <w:sz w:val="20"/>
          <w:szCs w:val="20"/>
        </w:rPr>
        <w:t xml:space="preserve"> aureus-</w:t>
      </w:r>
      <w:r w:rsidRPr="00207748">
        <w:rPr>
          <w:rFonts w:ascii="Cambria" w:hAnsi="Cambria" w:cs="Arial"/>
          <w:spacing w:val="-4"/>
          <w:sz w:val="20"/>
          <w:szCs w:val="20"/>
        </w:rPr>
        <w:t xml:space="preserve">Bakteriämie erfordert eine mindestens 14-tägige Therapie, während die Behandlungsdauer für eine komplizierte Bakteriämie als endovaskuläre Infektion bei 6 Wochen liegt. Eine unkomplizierte Bakteriämie </w:t>
      </w:r>
      <w:r w:rsidR="002E5526" w:rsidRPr="00DC4B69">
        <w:rPr>
          <w:rFonts w:ascii="Cambria" w:hAnsi="Cambria" w:cs="Arial"/>
          <w:spacing w:val="-4"/>
          <w:sz w:val="20"/>
          <w:szCs w:val="20"/>
        </w:rPr>
        <w:t>ist</w:t>
      </w:r>
      <w:r w:rsidRPr="00207748">
        <w:rPr>
          <w:rFonts w:ascii="Cambria" w:hAnsi="Cambria" w:cs="Arial"/>
          <w:spacing w:val="-4"/>
          <w:sz w:val="20"/>
          <w:szCs w:val="20"/>
        </w:rPr>
        <w:t xml:space="preserve"> folgendermaßen definiert: 1) Ausschluss einer Endokarditis, 2) keine implantierten Prothesen, 3) negative </w:t>
      </w:r>
      <w:r w:rsidR="002E5526" w:rsidRPr="00DC4B69">
        <w:rPr>
          <w:rFonts w:ascii="Cambria" w:hAnsi="Cambria" w:cs="Arial"/>
          <w:spacing w:val="-4"/>
          <w:sz w:val="20"/>
          <w:szCs w:val="20"/>
        </w:rPr>
        <w:t>Kontroll-</w:t>
      </w:r>
      <w:r w:rsidRPr="00207748">
        <w:rPr>
          <w:rFonts w:ascii="Cambria" w:hAnsi="Cambria" w:cs="Arial"/>
          <w:spacing w:val="-4"/>
          <w:sz w:val="20"/>
          <w:szCs w:val="20"/>
        </w:rPr>
        <w:t xml:space="preserve"> Blutkulturen, die 2 bis 4 Tage nach dem initialen Blutkultur-Set entnommen wurden, 4) </w:t>
      </w:r>
      <w:r w:rsidR="002E5526" w:rsidRPr="00DC4B69">
        <w:rPr>
          <w:rFonts w:ascii="Cambria" w:hAnsi="Cambria" w:cs="Arial"/>
          <w:spacing w:val="-4"/>
          <w:sz w:val="20"/>
          <w:szCs w:val="20"/>
        </w:rPr>
        <w:t>Entfieberung</w:t>
      </w:r>
      <w:r w:rsidRPr="00207748">
        <w:rPr>
          <w:rFonts w:ascii="Cambria" w:hAnsi="Cambria" w:cs="Arial"/>
          <w:spacing w:val="-4"/>
          <w:sz w:val="20"/>
          <w:szCs w:val="20"/>
        </w:rPr>
        <w:t xml:space="preserve"> innerhalb von 72 Stunden nach dem Ansetzen einer effektiven Antibiotika-Therapie und 5) kein Nachweis einer metastasierenden Infektion.</w:t>
      </w:r>
      <w:r w:rsidR="006B2B71" w:rsidRPr="006B2B71">
        <w:rPr>
          <w:rStyle w:val="EndnoteRealZchn"/>
          <w:sz w:val="20"/>
          <w:szCs w:val="20"/>
        </w:rPr>
        <w:fldChar w:fldCharType="begin"/>
      </w:r>
      <w:r w:rsidR="006B2B71" w:rsidRPr="006B2B71">
        <w:rPr>
          <w:rStyle w:val="EndnoteRealZchn"/>
          <w:sz w:val="20"/>
          <w:szCs w:val="20"/>
        </w:rPr>
        <w:instrText xml:space="preserve"> NOTEREF _Ref30585242 \h  \* MERGEFORMAT </w:instrText>
      </w:r>
      <w:r w:rsidR="006B2B71" w:rsidRPr="006B2B71">
        <w:rPr>
          <w:rStyle w:val="EndnoteRealZchn"/>
          <w:sz w:val="20"/>
          <w:szCs w:val="20"/>
        </w:rPr>
      </w:r>
      <w:r w:rsidR="006B2B71" w:rsidRPr="006B2B71">
        <w:rPr>
          <w:rStyle w:val="EndnoteRealZchn"/>
          <w:sz w:val="20"/>
          <w:szCs w:val="20"/>
        </w:rPr>
        <w:fldChar w:fldCharType="separate"/>
      </w:r>
      <w:r w:rsidR="001A283B">
        <w:rPr>
          <w:rStyle w:val="EndnoteRealZchn"/>
          <w:sz w:val="20"/>
          <w:szCs w:val="20"/>
        </w:rPr>
        <w:t>138</w:t>
      </w:r>
      <w:r w:rsidR="006B2B71" w:rsidRPr="006B2B71">
        <w:rPr>
          <w:rStyle w:val="EndnoteRealZchn"/>
          <w:sz w:val="20"/>
          <w:szCs w:val="20"/>
        </w:rPr>
        <w:fldChar w:fldCharType="end"/>
      </w:r>
      <w:r w:rsidR="006B2B71">
        <w:rPr>
          <w:rFonts w:ascii="Cambria" w:eastAsia="Arial" w:hAnsi="Cambria" w:cs="Arial"/>
          <w:spacing w:val="-4"/>
          <w:sz w:val="20"/>
          <w:szCs w:val="20"/>
          <w:vertAlign w:val="superscript"/>
        </w:rPr>
        <w:t xml:space="preserve"> </w:t>
      </w:r>
      <w:r w:rsidRPr="00207748">
        <w:rPr>
          <w:rFonts w:ascii="Cambria" w:hAnsi="Cambria" w:cs="Arial"/>
          <w:spacing w:val="-4"/>
          <w:sz w:val="20"/>
          <w:szCs w:val="20"/>
        </w:rPr>
        <w:t xml:space="preserve">Patienten mit Candidämie (entweder </w:t>
      </w:r>
      <w:r w:rsidRPr="002E5526">
        <w:rPr>
          <w:rFonts w:ascii="Cambria" w:hAnsi="Cambria" w:cs="Arial"/>
          <w:spacing w:val="-4"/>
          <w:sz w:val="20"/>
          <w:szCs w:val="20"/>
        </w:rPr>
        <w:t>katheter</w:t>
      </w:r>
      <w:r w:rsidR="002E5526" w:rsidRPr="00DC4B69">
        <w:rPr>
          <w:rFonts w:ascii="Cambria" w:hAnsi="Cambria" w:cs="Arial"/>
          <w:spacing w:val="-4"/>
          <w:sz w:val="20"/>
          <w:szCs w:val="20"/>
        </w:rPr>
        <w:t>assoziiert</w:t>
      </w:r>
      <w:r w:rsidRPr="00207748">
        <w:rPr>
          <w:rFonts w:ascii="Cambria" w:hAnsi="Cambria" w:cs="Arial"/>
          <w:spacing w:val="-4"/>
          <w:sz w:val="20"/>
          <w:szCs w:val="20"/>
        </w:rPr>
        <w:t xml:space="preserve"> oder nicht) und tiefen </w:t>
      </w:r>
      <w:r w:rsidRPr="00207748">
        <w:rPr>
          <w:rFonts w:ascii="Cambria" w:hAnsi="Cambria" w:cs="Arial"/>
          <w:iCs/>
          <w:spacing w:val="-4"/>
          <w:sz w:val="20"/>
          <w:szCs w:val="20"/>
        </w:rPr>
        <w:t>Candida-</w:t>
      </w:r>
      <w:r w:rsidRPr="00207748">
        <w:rPr>
          <w:rFonts w:ascii="Cambria" w:hAnsi="Cambria" w:cs="Arial"/>
          <w:spacing w:val="-4"/>
          <w:sz w:val="20"/>
          <w:szCs w:val="20"/>
        </w:rPr>
        <w:t>Infektionen, die entweder mit einer Sepsis einhergeht oder nicht, benötigen eine längere Therapie.</w:t>
      </w:r>
      <w:r w:rsidR="00CB26D4" w:rsidRPr="006B2B71">
        <w:rPr>
          <w:rStyle w:val="EndnoteRealZchn"/>
          <w:sz w:val="20"/>
          <w:szCs w:val="20"/>
        </w:rPr>
        <w:fldChar w:fldCharType="begin"/>
      </w:r>
      <w:r w:rsidR="00CB26D4" w:rsidRPr="006B2B71">
        <w:rPr>
          <w:rStyle w:val="EndnoteRealZchn"/>
          <w:sz w:val="20"/>
          <w:szCs w:val="20"/>
        </w:rPr>
        <w:instrText xml:space="preserve"> NOTEREF _Ref30503818 \h  \* MERGEFORMAT </w:instrText>
      </w:r>
      <w:r w:rsidR="00CB26D4" w:rsidRPr="006B2B71">
        <w:rPr>
          <w:rStyle w:val="EndnoteRealZchn"/>
          <w:sz w:val="20"/>
          <w:szCs w:val="20"/>
        </w:rPr>
      </w:r>
      <w:r w:rsidR="00CB26D4" w:rsidRPr="006B2B71">
        <w:rPr>
          <w:rStyle w:val="EndnoteRealZchn"/>
          <w:sz w:val="20"/>
          <w:szCs w:val="20"/>
        </w:rPr>
        <w:fldChar w:fldCharType="separate"/>
      </w:r>
      <w:r w:rsidR="001A283B">
        <w:rPr>
          <w:rStyle w:val="EndnoteRealZchn"/>
          <w:sz w:val="20"/>
          <w:szCs w:val="20"/>
        </w:rPr>
        <w:t>139</w:t>
      </w:r>
      <w:r w:rsidR="00CB26D4" w:rsidRPr="006B2B71">
        <w:rPr>
          <w:rStyle w:val="EndnoteRealZchn"/>
          <w:sz w:val="20"/>
          <w:szCs w:val="20"/>
        </w:rPr>
        <w:fldChar w:fldCharType="end"/>
      </w:r>
      <w:r w:rsidRPr="00CB26D4">
        <w:rPr>
          <w:rStyle w:val="EndnoteRealZchn"/>
        </w:rPr>
        <w:t xml:space="preserve"> </w:t>
      </w:r>
      <w:r w:rsidRPr="00207748">
        <w:rPr>
          <w:rFonts w:ascii="Cambria" w:eastAsia="Arial" w:hAnsi="Cambria" w:cs="Arial"/>
          <w:spacing w:val="-4"/>
          <w:sz w:val="20"/>
          <w:szCs w:val="20"/>
          <w:vertAlign w:val="superscript"/>
        </w:rPr>
        <w:endnoteReference w:id="233"/>
      </w:r>
      <w:r w:rsidRPr="00207748">
        <w:rPr>
          <w:rFonts w:ascii="Cambria" w:hAnsi="Cambria" w:cs="Arial"/>
          <w:spacing w:val="-4"/>
          <w:sz w:val="20"/>
          <w:szCs w:val="20"/>
        </w:rPr>
        <w:t xml:space="preserve"> Hochresistente gram-negative Pathogene mit einer marginalen Sensitivität gegenüber den verwendeten Antimikrobiotika werden nur langsam </w:t>
      </w:r>
      <w:r w:rsidR="002E5526" w:rsidRPr="00DC4B69">
        <w:rPr>
          <w:rFonts w:ascii="Cambria" w:hAnsi="Cambria" w:cs="Arial"/>
          <w:spacing w:val="-4"/>
          <w:sz w:val="20"/>
          <w:szCs w:val="20"/>
        </w:rPr>
        <w:t>eliminiert</w:t>
      </w:r>
      <w:r w:rsidRPr="00207748">
        <w:rPr>
          <w:rFonts w:ascii="Cambria" w:hAnsi="Cambria" w:cs="Arial"/>
          <w:spacing w:val="-4"/>
          <w:sz w:val="20"/>
          <w:szCs w:val="20"/>
        </w:rPr>
        <w:t>. Die Art und die Lokalisation der Infektion kann ebenfalls die Therapiedauer beeinflussen. Größere Abszesse und Osteomyelitis verfügen über eine begrenzte Medikamentenpenetration und erfordern eine längere Therapie. Obwohl allgemein bekannt ist, dass eine Endokarditis eine längere antimikrobielle Therapie erfordert, zeigt sich eine schwere Erkrankung typischerweise eher als Herzinsuffizienz/kardiogener Schock und Embolie als in Form einer Sepsis oder eines septischen Schocks.</w:t>
      </w:r>
      <w:r w:rsidRPr="00207748">
        <w:rPr>
          <w:rFonts w:ascii="Cambria" w:eastAsia="Arial" w:hAnsi="Cambria" w:cs="Arial"/>
          <w:spacing w:val="-4"/>
          <w:sz w:val="20"/>
          <w:szCs w:val="20"/>
          <w:vertAlign w:val="superscript"/>
        </w:rPr>
        <w:endnoteReference w:id="234"/>
      </w:r>
      <w:r w:rsidRPr="00207748">
        <w:rPr>
          <w:rFonts w:ascii="Cambria" w:hAnsi="Cambria" w:cs="Arial"/>
          <w:spacing w:val="-4"/>
          <w:sz w:val="20"/>
          <w:szCs w:val="20"/>
        </w:rPr>
        <w:t xml:space="preserve"> Eine Vielzahl an anderen Faktoren </w:t>
      </w:r>
      <w:r w:rsidRPr="002E5526">
        <w:rPr>
          <w:rFonts w:ascii="Cambria" w:hAnsi="Cambria" w:cs="Arial"/>
          <w:spacing w:val="-4"/>
          <w:sz w:val="20"/>
          <w:szCs w:val="20"/>
        </w:rPr>
        <w:t>könn</w:t>
      </w:r>
      <w:r w:rsidR="002E5526" w:rsidRPr="00DC4B69">
        <w:rPr>
          <w:rFonts w:ascii="Cambria" w:hAnsi="Cambria" w:cs="Arial"/>
          <w:spacing w:val="-4"/>
          <w:sz w:val="20"/>
          <w:szCs w:val="20"/>
        </w:rPr>
        <w:t>en die</w:t>
      </w:r>
      <w:r w:rsidR="002B1061">
        <w:rPr>
          <w:rFonts w:ascii="Cambria" w:hAnsi="Cambria" w:cs="Arial"/>
          <w:spacing w:val="-4"/>
          <w:sz w:val="20"/>
          <w:szCs w:val="20"/>
        </w:rPr>
        <w:t xml:space="preserve"> </w:t>
      </w:r>
      <w:r w:rsidRPr="002E5526">
        <w:rPr>
          <w:rFonts w:ascii="Cambria" w:hAnsi="Cambria" w:cs="Arial"/>
          <w:spacing w:val="-4"/>
          <w:sz w:val="20"/>
          <w:szCs w:val="20"/>
        </w:rPr>
        <w:t>optimale</w:t>
      </w:r>
      <w:r w:rsidRPr="00207748">
        <w:rPr>
          <w:rFonts w:ascii="Cambria" w:hAnsi="Cambria" w:cs="Arial"/>
          <w:spacing w:val="-4"/>
          <w:sz w:val="20"/>
          <w:szCs w:val="20"/>
        </w:rPr>
        <w:t xml:space="preserve"> Therapiedauer </w:t>
      </w:r>
      <w:r w:rsidR="002E5526" w:rsidRPr="00DC4B69">
        <w:rPr>
          <w:rFonts w:ascii="Cambria" w:hAnsi="Cambria" w:cs="Arial"/>
          <w:spacing w:val="-4"/>
          <w:sz w:val="20"/>
          <w:szCs w:val="20"/>
        </w:rPr>
        <w:t>beeinflussen. Im Zweifelsfall</w:t>
      </w:r>
      <w:r w:rsidRPr="00207748">
        <w:rPr>
          <w:rFonts w:ascii="Cambria" w:hAnsi="Cambria" w:cs="Arial"/>
          <w:spacing w:val="-4"/>
          <w:sz w:val="20"/>
          <w:szCs w:val="20"/>
        </w:rPr>
        <w:t xml:space="preserve"> sollte</w:t>
      </w:r>
      <w:r w:rsidR="002E5526" w:rsidRPr="00DC4B69">
        <w:rPr>
          <w:rFonts w:ascii="Cambria" w:hAnsi="Cambria" w:cs="Arial"/>
          <w:spacing w:val="-4"/>
          <w:sz w:val="20"/>
          <w:szCs w:val="20"/>
        </w:rPr>
        <w:t xml:space="preserve"> eine infektiologisches Konsil veranlasst werden. </w:t>
      </w:r>
    </w:p>
    <w:p w14:paraId="07CBF78E" w14:textId="4B84641A" w:rsidR="00E11869" w:rsidRPr="00207748" w:rsidRDefault="00447357" w:rsidP="004454B6">
      <w:pPr>
        <w:rPr>
          <w:rFonts w:ascii="Cambria" w:eastAsia="Arial" w:hAnsi="Cambria" w:cs="Arial"/>
          <w:spacing w:val="-2"/>
          <w:sz w:val="20"/>
          <w:szCs w:val="20"/>
        </w:rPr>
      </w:pPr>
      <w:r w:rsidRPr="00207748">
        <w:rPr>
          <w:rFonts w:ascii="Cambria" w:hAnsi="Cambria" w:cs="Arial"/>
          <w:spacing w:val="-2"/>
          <w:sz w:val="20"/>
          <w:szCs w:val="20"/>
        </w:rPr>
        <w:t xml:space="preserve">Nur wenige Studien </w:t>
      </w:r>
      <w:r w:rsidR="002E5526" w:rsidRPr="00DC4B69">
        <w:rPr>
          <w:rFonts w:ascii="Cambria" w:hAnsi="Cambria" w:cs="Arial"/>
          <w:spacing w:val="-2"/>
          <w:sz w:val="20"/>
          <w:szCs w:val="20"/>
        </w:rPr>
        <w:t>wurden dezidiert bei</w:t>
      </w:r>
      <w:r w:rsidR="002B1061">
        <w:rPr>
          <w:rFonts w:ascii="Cambria" w:hAnsi="Cambria" w:cs="Arial"/>
          <w:spacing w:val="-2"/>
          <w:sz w:val="20"/>
          <w:szCs w:val="20"/>
        </w:rPr>
        <w:t xml:space="preserve"> </w:t>
      </w:r>
      <w:r w:rsidRPr="00207748">
        <w:rPr>
          <w:rFonts w:ascii="Cambria" w:hAnsi="Cambria" w:cs="Arial"/>
          <w:spacing w:val="-2"/>
          <w:sz w:val="20"/>
          <w:szCs w:val="20"/>
        </w:rPr>
        <w:t>Patienten mit septischem Schock</w:t>
      </w:r>
      <w:r w:rsidR="002E5526" w:rsidRPr="00DC4B69">
        <w:rPr>
          <w:rFonts w:ascii="Cambria" w:hAnsi="Cambria" w:cs="Arial"/>
          <w:spacing w:val="-2"/>
          <w:sz w:val="20"/>
          <w:szCs w:val="20"/>
        </w:rPr>
        <w:t xml:space="preserve"> und</w:t>
      </w:r>
      <w:r w:rsidRPr="00207748">
        <w:rPr>
          <w:rFonts w:ascii="Cambria" w:hAnsi="Cambria" w:cs="Arial"/>
          <w:spacing w:val="-2"/>
          <w:sz w:val="20"/>
          <w:szCs w:val="20"/>
        </w:rPr>
        <w:t xml:space="preserve"> Sepsis </w:t>
      </w:r>
      <w:r w:rsidR="002E5526" w:rsidRPr="00DC4B69">
        <w:rPr>
          <w:rFonts w:ascii="Cambria" w:hAnsi="Cambria" w:cs="Arial"/>
          <w:spacing w:val="-2"/>
          <w:sz w:val="20"/>
          <w:szCs w:val="20"/>
        </w:rPr>
        <w:t>durchgeführt.</w:t>
      </w:r>
      <w:r w:rsidR="002B1061">
        <w:rPr>
          <w:rFonts w:ascii="Cambria" w:hAnsi="Cambria" w:cs="Arial"/>
          <w:spacing w:val="-2"/>
          <w:sz w:val="20"/>
          <w:szCs w:val="20"/>
        </w:rPr>
        <w:t xml:space="preserve"> </w:t>
      </w:r>
      <w:r w:rsidR="002E5526" w:rsidRPr="00DC4B69">
        <w:rPr>
          <w:rFonts w:ascii="Cambria" w:hAnsi="Cambria" w:cs="Arial"/>
          <w:spacing w:val="-2"/>
          <w:sz w:val="20"/>
          <w:szCs w:val="20"/>
        </w:rPr>
        <w:t>Die</w:t>
      </w:r>
      <w:r w:rsidR="002B1061">
        <w:rPr>
          <w:rFonts w:ascii="Cambria" w:hAnsi="Cambria" w:cs="Arial"/>
          <w:spacing w:val="-2"/>
          <w:sz w:val="20"/>
          <w:szCs w:val="20"/>
        </w:rPr>
        <w:t xml:space="preserve"> </w:t>
      </w:r>
      <w:r w:rsidRPr="00207748">
        <w:rPr>
          <w:rFonts w:ascii="Cambria" w:hAnsi="Cambria" w:cs="Arial"/>
          <w:spacing w:val="-2"/>
          <w:sz w:val="20"/>
          <w:szCs w:val="20"/>
        </w:rPr>
        <w:t xml:space="preserve">Standardempfehlungen zur Therapiedauer </w:t>
      </w:r>
      <w:r w:rsidR="002E5526" w:rsidRPr="00DC4B69">
        <w:rPr>
          <w:rFonts w:ascii="Cambria" w:hAnsi="Cambria" w:cs="Arial"/>
          <w:spacing w:val="-2"/>
          <w:sz w:val="20"/>
          <w:szCs w:val="20"/>
        </w:rPr>
        <w:t xml:space="preserve">beruhen </w:t>
      </w:r>
      <w:r w:rsidRPr="00207748">
        <w:rPr>
          <w:rFonts w:ascii="Cambria" w:hAnsi="Cambria" w:cs="Arial"/>
          <w:spacing w:val="-2"/>
          <w:sz w:val="20"/>
          <w:szCs w:val="20"/>
        </w:rPr>
        <w:t xml:space="preserve">in </w:t>
      </w:r>
      <w:r w:rsidR="002E5526" w:rsidRPr="00DC4B69">
        <w:rPr>
          <w:rFonts w:ascii="Cambria" w:hAnsi="Cambria" w:cs="Arial"/>
          <w:spacing w:val="-2"/>
          <w:sz w:val="20"/>
          <w:szCs w:val="20"/>
        </w:rPr>
        <w:t xml:space="preserve">der Regel auf Studien mit </w:t>
      </w:r>
      <w:r w:rsidRPr="00207748">
        <w:rPr>
          <w:rFonts w:ascii="Cambria" w:hAnsi="Cambria" w:cs="Arial"/>
          <w:spacing w:val="-2"/>
          <w:sz w:val="20"/>
          <w:szCs w:val="20"/>
        </w:rPr>
        <w:t xml:space="preserve">weniger </w:t>
      </w:r>
      <w:r w:rsidR="002E5526" w:rsidRPr="00DC4B69">
        <w:rPr>
          <w:rFonts w:ascii="Cambria" w:hAnsi="Cambria" w:cs="Arial"/>
          <w:spacing w:val="-2"/>
          <w:sz w:val="20"/>
          <w:szCs w:val="20"/>
        </w:rPr>
        <w:t>schwer kranken</w:t>
      </w:r>
      <w:r w:rsidRPr="00207748">
        <w:rPr>
          <w:rFonts w:ascii="Cambria" w:hAnsi="Cambria" w:cs="Arial"/>
          <w:spacing w:val="-2"/>
          <w:sz w:val="20"/>
          <w:szCs w:val="20"/>
        </w:rPr>
        <w:t xml:space="preserve"> Kohorten</w:t>
      </w:r>
      <w:r w:rsidR="002E5526" w:rsidRPr="00DC4B69">
        <w:rPr>
          <w:rFonts w:ascii="Cambria" w:hAnsi="Cambria" w:cs="Arial"/>
          <w:spacing w:val="-2"/>
          <w:sz w:val="20"/>
          <w:szCs w:val="20"/>
        </w:rPr>
        <w:t xml:space="preserve">. </w:t>
      </w:r>
    </w:p>
    <w:p w14:paraId="36E4C174" w14:textId="456540FF" w:rsidR="00E11869" w:rsidRDefault="00447357" w:rsidP="004454B6">
      <w:pPr>
        <w:rPr>
          <w:rFonts w:ascii="Cambria" w:hAnsi="Cambria" w:cs="Arial"/>
          <w:spacing w:val="-3"/>
          <w:sz w:val="20"/>
          <w:szCs w:val="20"/>
        </w:rPr>
      </w:pPr>
      <w:r w:rsidRPr="00207748">
        <w:rPr>
          <w:rFonts w:ascii="Cambria" w:hAnsi="Cambria" w:cs="Arial"/>
          <w:spacing w:val="-1"/>
          <w:sz w:val="20"/>
          <w:szCs w:val="20"/>
        </w:rPr>
        <w:t xml:space="preserve">Es gibt viele Gründe für eine unnötig lange antimikrobielle Therapie. Bei komplizierten, kritisch erkrankten Patienten, die mit schweren Infektionen aufgenommen werden, können eine </w:t>
      </w:r>
      <w:r w:rsidRPr="00207748">
        <w:rPr>
          <w:rFonts w:ascii="Cambria" w:hAnsi="Cambria" w:cs="Arial"/>
          <w:spacing w:val="-1"/>
          <w:sz w:val="20"/>
          <w:szCs w:val="20"/>
        </w:rPr>
        <w:lastRenderedPageBreak/>
        <w:t xml:space="preserve">nicht-infektiöse gleichzeitige Erkrankung und medizinische Eingriffe Anzeichen und Symptome hervorrufen, die im Einklang mit einer aktiven Infektion stehen (auch nach der Kontrolle der Infektion). Beispielsweise können Lungeninfiltrate und Kurzatmigkeit durch Lungenödeme verursacht werden, die neben einer Pneumonie bestehen, eine erhöhte Anzahl an weißen Blutkörperchen kann infolge der Verabreichung von Corticosteroiden oder nach physiologischem Stress auftreten, und Fieber kann mit bestimmten Medikamenten im Zusammenhang stehen, zu denen β-Laktame und Phenytoin gehören. Wie jedoch bereits dargestellt wurde, stellen Antimikrobiotika keine harmlose Therapieform dar. Bei Niedrigrisikopatienten können die Nebenwirkungen einen etwaigen Nutzen überwiegen. </w:t>
      </w:r>
      <w:r w:rsidRPr="00207748">
        <w:rPr>
          <w:rFonts w:ascii="Cambria" w:hAnsi="Cambria" w:cs="Arial"/>
          <w:spacing w:val="-3"/>
          <w:sz w:val="20"/>
          <w:szCs w:val="20"/>
        </w:rPr>
        <w:t>Angesichts des potenziellen Schadens, der mit unnötig langen antimikrobiellen Therapien verbunden sein kann, wird eine tägliche Beurteilung hinsichtlich einer Deeskalation der antimikrobiellen Therapie bei Patienten mit Sepsis oder septischem Schock empfohlen. Studien haben gezeigt, dass ein tägliches Aufwerfen der Frage in Bezug auf eine antimikrobielle Deeskalation effektiv ist und mit einer Verbesserung der Mortalitätsraten verbunden sein kann.</w:t>
      </w:r>
      <w:r w:rsidR="006B2B71">
        <w:rPr>
          <w:rFonts w:ascii="Cambria" w:hAnsi="Cambria" w:cs="Arial"/>
          <w:spacing w:val="-3"/>
          <w:sz w:val="20"/>
          <w:szCs w:val="20"/>
        </w:rPr>
        <w:t xml:space="preserve"> </w:t>
      </w:r>
      <w:r w:rsidR="006B2B71" w:rsidRPr="006B2B71">
        <w:rPr>
          <w:rStyle w:val="EndnoteRealZchn"/>
          <w:sz w:val="20"/>
          <w:szCs w:val="20"/>
        </w:rPr>
        <w:fldChar w:fldCharType="begin"/>
      </w:r>
      <w:r w:rsidR="006B2B71" w:rsidRPr="006B2B71">
        <w:rPr>
          <w:rStyle w:val="EndnoteRealZchn"/>
          <w:sz w:val="20"/>
          <w:szCs w:val="20"/>
        </w:rPr>
        <w:instrText xml:space="preserve"> NOTEREF _Ref30585854 \h  \* MERGEFORMAT </w:instrText>
      </w:r>
      <w:r w:rsidR="006B2B71" w:rsidRPr="006B2B71">
        <w:rPr>
          <w:rStyle w:val="EndnoteRealZchn"/>
          <w:sz w:val="20"/>
          <w:szCs w:val="20"/>
        </w:rPr>
      </w:r>
      <w:r w:rsidR="006B2B71" w:rsidRPr="006B2B71">
        <w:rPr>
          <w:rStyle w:val="EndnoteRealZchn"/>
          <w:sz w:val="20"/>
          <w:szCs w:val="20"/>
        </w:rPr>
        <w:fldChar w:fldCharType="separate"/>
      </w:r>
      <w:r w:rsidR="001A283B">
        <w:rPr>
          <w:rStyle w:val="EndnoteRealZchn"/>
          <w:sz w:val="20"/>
          <w:szCs w:val="20"/>
        </w:rPr>
        <w:t>85</w:t>
      </w:r>
      <w:r w:rsidR="006B2B71" w:rsidRPr="006B2B71">
        <w:rPr>
          <w:rStyle w:val="EndnoteRealZchn"/>
          <w:sz w:val="20"/>
          <w:szCs w:val="20"/>
        </w:rPr>
        <w:fldChar w:fldCharType="end"/>
      </w:r>
      <w:r w:rsidR="00EF1A9E">
        <w:rPr>
          <w:rStyle w:val="EndnoteRealZchn"/>
          <w:sz w:val="20"/>
          <w:szCs w:val="20"/>
        </w:rPr>
        <w:t xml:space="preserve"> </w:t>
      </w:r>
      <w:r w:rsidRPr="000B573D">
        <w:rPr>
          <w:rFonts w:ascii="Cambria" w:hAnsi="Cambria" w:cs="Arial"/>
          <w:spacing w:val="-3"/>
          <w:sz w:val="20"/>
          <w:szCs w:val="20"/>
        </w:rPr>
        <w:t>Studien haben gezeigt, dass ein tägliche</w:t>
      </w:r>
      <w:r w:rsidR="000B573D" w:rsidRPr="00DC4B69">
        <w:rPr>
          <w:rFonts w:ascii="Cambria" w:hAnsi="Cambria" w:cs="Arial"/>
          <w:spacing w:val="-3"/>
          <w:sz w:val="20"/>
          <w:szCs w:val="20"/>
        </w:rPr>
        <w:t xml:space="preserve"> Erwägung einer </w:t>
      </w:r>
      <w:r w:rsidRPr="000B573D">
        <w:rPr>
          <w:rFonts w:ascii="Cambria" w:hAnsi="Cambria" w:cs="Arial"/>
          <w:spacing w:val="-3"/>
          <w:sz w:val="20"/>
          <w:szCs w:val="20"/>
        </w:rPr>
        <w:t>antimikrobielle</w:t>
      </w:r>
      <w:r w:rsidR="000B573D" w:rsidRPr="00DC4B69">
        <w:rPr>
          <w:rFonts w:ascii="Cambria" w:hAnsi="Cambria" w:cs="Arial"/>
          <w:spacing w:val="-3"/>
          <w:sz w:val="20"/>
          <w:szCs w:val="20"/>
        </w:rPr>
        <w:t>n</w:t>
      </w:r>
      <w:r w:rsidRPr="000B573D">
        <w:rPr>
          <w:rFonts w:ascii="Cambria" w:hAnsi="Cambria" w:cs="Arial"/>
          <w:spacing w:val="-3"/>
          <w:sz w:val="20"/>
          <w:szCs w:val="20"/>
        </w:rPr>
        <w:t xml:space="preserve"> Deeskalation effektiv ist und mit einer Verbesserung der Mortalitätsraten verbunden sein kann.</w:t>
      </w:r>
      <w:r w:rsidRPr="00207748">
        <w:rPr>
          <w:rFonts w:ascii="Cambria" w:eastAsia="Arial" w:hAnsi="Cambria" w:cs="Arial"/>
          <w:spacing w:val="-3"/>
          <w:sz w:val="20"/>
          <w:szCs w:val="20"/>
          <w:vertAlign w:val="superscript"/>
        </w:rPr>
        <w:endnoteReference w:id="235"/>
      </w:r>
    </w:p>
    <w:p w14:paraId="74BFC1B6" w14:textId="3615D791" w:rsidR="002B1061" w:rsidRDefault="002B1061" w:rsidP="004454B6">
      <w:pPr>
        <w:rPr>
          <w:rFonts w:ascii="Cambria" w:hAnsi="Cambria" w:cs="Arial"/>
          <w:spacing w:val="-3"/>
          <w:sz w:val="20"/>
          <w:szCs w:val="20"/>
        </w:rPr>
      </w:pPr>
    </w:p>
    <w:p w14:paraId="7EFB991C" w14:textId="611D0405" w:rsidR="002B1061" w:rsidRDefault="002B1061" w:rsidP="004454B6">
      <w:pPr>
        <w:rPr>
          <w:rFonts w:ascii="Cambria" w:hAnsi="Cambria" w:cs="Arial"/>
          <w:spacing w:val="-3"/>
          <w:sz w:val="20"/>
          <w:szCs w:val="20"/>
        </w:rPr>
      </w:pPr>
    </w:p>
    <w:p w14:paraId="3130313F" w14:textId="69826655" w:rsidR="002B1061" w:rsidRDefault="002B1061" w:rsidP="004454B6">
      <w:pPr>
        <w:rPr>
          <w:rFonts w:ascii="Cambria" w:hAnsi="Cambria" w:cs="Arial"/>
          <w:spacing w:val="-3"/>
          <w:sz w:val="20"/>
          <w:szCs w:val="20"/>
        </w:rPr>
      </w:pPr>
    </w:p>
    <w:p w14:paraId="4A9CBC05" w14:textId="53A98B95" w:rsidR="002B1061" w:rsidRDefault="002B1061" w:rsidP="004454B6">
      <w:pPr>
        <w:rPr>
          <w:rFonts w:ascii="Cambria" w:hAnsi="Cambria" w:cs="Arial"/>
          <w:spacing w:val="-3"/>
          <w:sz w:val="20"/>
          <w:szCs w:val="20"/>
        </w:rPr>
      </w:pPr>
    </w:p>
    <w:p w14:paraId="2A5CC758" w14:textId="567E6A6C" w:rsidR="002B1061" w:rsidRDefault="002B1061" w:rsidP="004454B6">
      <w:pPr>
        <w:rPr>
          <w:rFonts w:ascii="Cambria" w:hAnsi="Cambria" w:cs="Arial"/>
          <w:spacing w:val="-3"/>
          <w:sz w:val="20"/>
          <w:szCs w:val="20"/>
        </w:rPr>
      </w:pPr>
    </w:p>
    <w:p w14:paraId="4AC59902" w14:textId="0FF316AA" w:rsidR="002B1061" w:rsidRDefault="002B1061" w:rsidP="004454B6">
      <w:pPr>
        <w:rPr>
          <w:rFonts w:ascii="Cambria" w:hAnsi="Cambria" w:cs="Arial"/>
          <w:spacing w:val="-3"/>
          <w:sz w:val="20"/>
          <w:szCs w:val="20"/>
        </w:rPr>
      </w:pPr>
    </w:p>
    <w:p w14:paraId="7BB939C4" w14:textId="77777777" w:rsidR="002B1061" w:rsidRPr="00207748" w:rsidRDefault="002B1061" w:rsidP="004454B6">
      <w:pPr>
        <w:rPr>
          <w:rFonts w:ascii="Cambria" w:eastAsia="Arial" w:hAnsi="Cambria" w:cs="Arial"/>
          <w:sz w:val="20"/>
          <w:szCs w:val="20"/>
        </w:rPr>
      </w:pP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11"/>
        <w:gridCol w:w="841"/>
      </w:tblGrid>
      <w:tr w:rsidR="00E11869" w:rsidRPr="00207748" w14:paraId="2FCD4D50"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00DE41D5"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t>D.14</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9902ED1"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B60E8BC"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2018</w:t>
            </w:r>
          </w:p>
        </w:tc>
      </w:tr>
      <w:tr w:rsidR="00E11869" w:rsidRPr="00207748" w14:paraId="183AFAD9" w14:textId="77777777" w:rsidTr="00334AF5">
        <w:trPr>
          <w:trHeight w:val="3081"/>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BC7CE"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lastRenderedPageBreak/>
              <w:t>Empfehlungsgrad</w:t>
            </w:r>
          </w:p>
          <w:p w14:paraId="2ECD308F" w14:textId="77777777" w:rsidR="00E11869" w:rsidRPr="00207748" w:rsidRDefault="00E11869" w:rsidP="004454B6">
            <w:pPr>
              <w:spacing w:after="0"/>
              <w:rPr>
                <w:rFonts w:ascii="Cambria" w:eastAsia="Arial" w:hAnsi="Cambria" w:cs="Arial"/>
                <w:sz w:val="20"/>
                <w:szCs w:val="20"/>
              </w:rPr>
            </w:pPr>
          </w:p>
          <w:p w14:paraId="10CCA835" w14:textId="77777777" w:rsidR="00E11869" w:rsidRPr="00207748" w:rsidRDefault="00447357" w:rsidP="004454B6">
            <w:pPr>
              <w:spacing w:after="0"/>
              <w:rPr>
                <w:rFonts w:ascii="Cambria" w:eastAsia="Arial" w:hAnsi="Cambria" w:cs="Arial"/>
                <w:b/>
                <w:bCs/>
                <w:sz w:val="20"/>
                <w:szCs w:val="20"/>
              </w:rPr>
            </w:pPr>
            <w:r w:rsidRPr="00207748">
              <w:rPr>
                <w:rFonts w:ascii="Cambria" w:hAnsi="Cambria" w:cs="Arial"/>
                <w:b/>
                <w:bCs/>
                <w:sz w:val="20"/>
                <w:szCs w:val="20"/>
              </w:rPr>
              <w:t>stark</w:t>
            </w:r>
          </w:p>
          <w:p w14:paraId="165DACF5" w14:textId="77777777" w:rsidR="00E11869" w:rsidRPr="00207748" w:rsidRDefault="00E11869" w:rsidP="004454B6">
            <w:pPr>
              <w:spacing w:after="0"/>
              <w:rPr>
                <w:rFonts w:ascii="Cambria" w:eastAsia="Arial" w:hAnsi="Cambria" w:cs="Arial"/>
                <w:sz w:val="20"/>
                <w:szCs w:val="20"/>
              </w:rPr>
            </w:pPr>
          </w:p>
          <w:p w14:paraId="22C0F338"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t>Evidenzgrad</w:t>
            </w:r>
          </w:p>
          <w:p w14:paraId="5F3F785E" w14:textId="77777777" w:rsidR="00E11869" w:rsidRPr="00207748" w:rsidRDefault="00E11869" w:rsidP="004454B6">
            <w:pPr>
              <w:spacing w:after="0"/>
              <w:rPr>
                <w:rFonts w:ascii="Cambria" w:eastAsia="Arial" w:hAnsi="Cambria" w:cs="Arial"/>
                <w:sz w:val="20"/>
                <w:szCs w:val="20"/>
              </w:rPr>
            </w:pPr>
          </w:p>
          <w:p w14:paraId="20F9A3DD"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moderat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0167A" w14:textId="77777777" w:rsidR="00E11869" w:rsidRPr="00207748" w:rsidRDefault="00447357" w:rsidP="004454B6">
            <w:pPr>
              <w:spacing w:after="0"/>
              <w:rPr>
                <w:rFonts w:ascii="Cambria" w:hAnsi="Cambria" w:cs="Arial"/>
                <w:sz w:val="20"/>
                <w:szCs w:val="20"/>
              </w:rPr>
            </w:pPr>
            <w:r w:rsidRPr="00207748">
              <w:rPr>
                <w:rFonts w:ascii="Cambria" w:hAnsi="Cambria" w:cs="Arial"/>
                <w:b/>
                <w:bCs/>
                <w:spacing w:val="-5"/>
                <w:sz w:val="20"/>
                <w:szCs w:val="20"/>
              </w:rPr>
              <w:t>Wir empfehlen, Messungen des Procalcitonin-Werts vorzunehmen, um die Dauer der antimikrobiellen Therapie bei Sepsis-Patienten zu verkürzen. Ausgenommen davon sind Patienten mit Infektionen, die eine längere Therapie erfordern (D.7)</w:t>
            </w:r>
            <w:r w:rsidR="003B1537" w:rsidRPr="00207748">
              <w:rPr>
                <w:rFonts w:ascii="Cambria" w:hAnsi="Cambria" w:cs="Arial"/>
                <w:b/>
                <w:bCs/>
                <w:spacing w:val="-5"/>
                <w:sz w:val="20"/>
                <w:szCs w:val="20"/>
              </w:rPr>
              <w:t>.</w:t>
            </w:r>
          </w:p>
        </w:tc>
      </w:tr>
      <w:tr w:rsidR="00E11869" w:rsidRPr="00207748" w14:paraId="03CBDF6D" w14:textId="77777777" w:rsidTr="00342FB3">
        <w:trPr>
          <w:trHeight w:val="112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29B616F9"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C1484" w14:textId="418A5E3E"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SSC</w:t>
            </w:r>
            <w:r w:rsidR="007722E3" w:rsidRPr="00207748">
              <w:rPr>
                <w:rFonts w:ascii="Cambria" w:hAnsi="Cambria" w:cs="Arial"/>
                <w:b/>
                <w:bCs/>
                <w:sz w:val="20"/>
                <w:szCs w:val="20"/>
              </w:rPr>
              <w:t>-</w:t>
            </w:r>
            <w:r w:rsidRPr="00207748">
              <w:rPr>
                <w:rFonts w:ascii="Cambria" w:hAnsi="Cambria" w:cs="Arial"/>
                <w:b/>
                <w:bCs/>
                <w:sz w:val="20"/>
                <w:szCs w:val="20"/>
              </w:rPr>
              <w:t>Leitlinien</w:t>
            </w:r>
            <w:r w:rsidR="00B26F79">
              <w:rPr>
                <w:rFonts w:ascii="Cambria" w:hAnsi="Cambria" w:cs="Arial"/>
                <w:b/>
                <w:bCs/>
                <w:sz w:val="20"/>
                <w:szCs w:val="20"/>
              </w:rPr>
              <w:t>-</w:t>
            </w:r>
            <w:r w:rsidRPr="00207748">
              <w:rPr>
                <w:rFonts w:ascii="Cambria" w:hAnsi="Cambria" w:cs="Arial"/>
                <w:b/>
                <w:bCs/>
                <w:sz w:val="20"/>
                <w:szCs w:val="20"/>
              </w:rPr>
              <w:t xml:space="preserve">modifikation; Abweichung des Empfehlungsgrades </w:t>
            </w:r>
          </w:p>
        </w:tc>
      </w:tr>
      <w:tr w:rsidR="00E11869" w:rsidRPr="00207748" w14:paraId="06A9AF55"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71969"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6AF8E" w14:textId="77777777" w:rsidR="00E11869" w:rsidRPr="00207748" w:rsidRDefault="00447357" w:rsidP="004454B6">
            <w:pPr>
              <w:spacing w:after="0"/>
              <w:rPr>
                <w:rFonts w:ascii="Cambria" w:hAnsi="Cambria" w:cs="Arial"/>
                <w:sz w:val="20"/>
                <w:szCs w:val="20"/>
              </w:rPr>
            </w:pPr>
            <w:r w:rsidRPr="00207748">
              <w:rPr>
                <w:rFonts w:ascii="Cambria" w:hAnsi="Cambria" w:cs="Arial"/>
                <w:sz w:val="20"/>
                <w:szCs w:val="20"/>
              </w:rPr>
              <w:t>Konsensstärke: 100 %</w:t>
            </w:r>
          </w:p>
        </w:tc>
      </w:tr>
    </w:tbl>
    <w:p w14:paraId="36B81411" w14:textId="6A2D03DB" w:rsidR="00E11869" w:rsidRPr="00207748" w:rsidRDefault="002F45C9" w:rsidP="004454B6">
      <w:pPr>
        <w:spacing w:before="240"/>
        <w:rPr>
          <w:rFonts w:ascii="Cambria" w:eastAsia="Arial" w:hAnsi="Cambria" w:cs="Arial"/>
          <w:b/>
          <w:bCs/>
          <w:spacing w:val="-4"/>
          <w:sz w:val="20"/>
          <w:szCs w:val="20"/>
        </w:rPr>
      </w:pPr>
      <w:r w:rsidRPr="00207748">
        <w:rPr>
          <w:rFonts w:ascii="Cambria" w:hAnsi="Cambria" w:cs="Arial"/>
          <w:b/>
          <w:bCs/>
          <w:spacing w:val="-4"/>
          <w:sz w:val="20"/>
          <w:szCs w:val="20"/>
        </w:rPr>
        <w:t>Begründ</w:t>
      </w:r>
      <w:r w:rsidR="00447357" w:rsidRPr="00207748">
        <w:rPr>
          <w:rFonts w:ascii="Cambria" w:hAnsi="Cambria" w:cs="Arial"/>
          <w:b/>
          <w:bCs/>
          <w:spacing w:val="-4"/>
          <w:sz w:val="20"/>
          <w:szCs w:val="20"/>
        </w:rPr>
        <w:t xml:space="preserve">ung: </w:t>
      </w:r>
      <w:r w:rsidR="00447357" w:rsidRPr="00207748">
        <w:rPr>
          <w:rFonts w:ascii="Cambria" w:hAnsi="Cambria" w:cs="Arial"/>
          <w:spacing w:val="-4"/>
          <w:sz w:val="20"/>
          <w:szCs w:val="20"/>
        </w:rPr>
        <w:t xml:space="preserve">Die </w:t>
      </w:r>
      <w:r w:rsidR="00447357" w:rsidRPr="000B573D">
        <w:rPr>
          <w:rFonts w:ascii="Cambria" w:hAnsi="Cambria" w:cs="Arial"/>
          <w:spacing w:val="-4"/>
          <w:sz w:val="20"/>
          <w:szCs w:val="20"/>
        </w:rPr>
        <w:t>die Nutzung</w:t>
      </w:r>
      <w:r w:rsidR="00447357" w:rsidRPr="00207748">
        <w:rPr>
          <w:rFonts w:ascii="Cambria" w:hAnsi="Cambria" w:cs="Arial"/>
          <w:spacing w:val="-4"/>
          <w:sz w:val="20"/>
          <w:szCs w:val="20"/>
        </w:rPr>
        <w:t xml:space="preserve"> von </w:t>
      </w:r>
      <w:r w:rsidR="00447357" w:rsidRPr="000B573D">
        <w:rPr>
          <w:rFonts w:ascii="Cambria" w:hAnsi="Cambria" w:cs="Arial"/>
          <w:spacing w:val="-4"/>
          <w:sz w:val="20"/>
          <w:szCs w:val="20"/>
        </w:rPr>
        <w:t>Galactomannan</w:t>
      </w:r>
      <w:r w:rsidR="00447357" w:rsidRPr="00207748">
        <w:rPr>
          <w:rFonts w:ascii="Cambria" w:hAnsi="Cambria" w:cs="Arial"/>
          <w:spacing w:val="-4"/>
          <w:sz w:val="20"/>
          <w:szCs w:val="20"/>
        </w:rPr>
        <w:t xml:space="preserve"> und </w:t>
      </w:r>
      <w:r w:rsidR="00447357" w:rsidRPr="000B573D">
        <w:rPr>
          <w:rFonts w:ascii="Cambria" w:hAnsi="Cambria" w:cs="Arial"/>
          <w:spacing w:val="-4"/>
          <w:sz w:val="20"/>
          <w:szCs w:val="20"/>
        </w:rPr>
        <w:t xml:space="preserve">β-D-Glucan </w:t>
      </w:r>
      <w:r w:rsidR="000B573D" w:rsidRPr="00DC4B69">
        <w:rPr>
          <w:rFonts w:ascii="Cambria" w:hAnsi="Cambria" w:cs="Arial"/>
          <w:spacing w:val="-4"/>
          <w:sz w:val="20"/>
          <w:szCs w:val="20"/>
        </w:rPr>
        <w:t>ist</w:t>
      </w:r>
      <w:r w:rsidR="00447357" w:rsidRPr="00207748">
        <w:rPr>
          <w:rFonts w:ascii="Cambria" w:hAnsi="Cambria" w:cs="Arial"/>
          <w:spacing w:val="-4"/>
          <w:sz w:val="20"/>
          <w:szCs w:val="20"/>
        </w:rPr>
        <w:t xml:space="preserve"> bei der Beurteilung von invasivem Aspergillus (und einem breiten Spektrum von Pilzpathogenen) etabliert.</w:t>
      </w:r>
      <w:r w:rsidR="00447357" w:rsidRPr="00207748">
        <w:rPr>
          <w:rFonts w:ascii="Cambria" w:eastAsia="Arial" w:hAnsi="Cambria" w:cs="Arial"/>
          <w:spacing w:val="-4"/>
          <w:sz w:val="20"/>
          <w:szCs w:val="20"/>
          <w:vertAlign w:val="superscript"/>
        </w:rPr>
        <w:endnoteReference w:id="236"/>
      </w:r>
      <w:r w:rsidR="00447357" w:rsidRPr="00207748">
        <w:rPr>
          <w:rFonts w:ascii="Cambria" w:hAnsi="Cambria" w:cs="Arial"/>
          <w:spacing w:val="-4"/>
          <w:sz w:val="20"/>
          <w:szCs w:val="20"/>
        </w:rPr>
        <w:t xml:space="preserve"> </w:t>
      </w:r>
      <w:r w:rsidR="00447357" w:rsidRPr="00207748">
        <w:rPr>
          <w:rFonts w:ascii="Cambria" w:eastAsia="Arial" w:hAnsi="Cambria" w:cs="Arial"/>
          <w:spacing w:val="-4"/>
          <w:sz w:val="20"/>
          <w:szCs w:val="20"/>
          <w:vertAlign w:val="superscript"/>
        </w:rPr>
        <w:endnoteReference w:id="237"/>
      </w:r>
      <w:r w:rsidR="00447357" w:rsidRPr="00207748">
        <w:rPr>
          <w:rFonts w:ascii="Cambria" w:hAnsi="Cambria" w:cs="Arial"/>
          <w:spacing w:val="-4"/>
          <w:sz w:val="20"/>
          <w:szCs w:val="20"/>
        </w:rPr>
        <w:t xml:space="preserve"> Ebenso werden Messungen des Serum-Procalcitonins in vielen Teilen der Welt ergänzend genutzt, um eine akute Infektion zu diagnostizieren und die Dauer der antimikrobiellen Therapie festzulegen. Diverse Procalcitonin-basierte Algorithmen werden verwendet, um die Deeskalation der antimikrobiellen Therapie bei schweren Infektionen und Sepsis zu steuern.</w:t>
      </w:r>
      <w:r w:rsidR="00447357" w:rsidRPr="00207748">
        <w:rPr>
          <w:rFonts w:ascii="Cambria" w:eastAsia="Arial" w:hAnsi="Cambria" w:cs="Arial"/>
          <w:spacing w:val="-4"/>
          <w:sz w:val="20"/>
          <w:szCs w:val="20"/>
          <w:vertAlign w:val="superscript"/>
        </w:rPr>
        <w:endnoteReference w:id="238"/>
      </w:r>
      <w:r w:rsidR="00447357" w:rsidRPr="00207748">
        <w:rPr>
          <w:rFonts w:ascii="Cambria" w:hAnsi="Cambria" w:cs="Arial"/>
          <w:spacing w:val="-4"/>
          <w:sz w:val="20"/>
          <w:szCs w:val="20"/>
        </w:rPr>
        <w:t xml:space="preserve"> </w:t>
      </w:r>
      <w:r w:rsidR="00447357" w:rsidRPr="00207748">
        <w:rPr>
          <w:rFonts w:ascii="Cambria" w:eastAsia="Arial" w:hAnsi="Cambria" w:cs="Arial"/>
          <w:spacing w:val="-4"/>
          <w:sz w:val="20"/>
          <w:szCs w:val="20"/>
          <w:vertAlign w:val="superscript"/>
        </w:rPr>
        <w:endnoteReference w:id="239"/>
      </w:r>
      <w:r w:rsidR="00447357" w:rsidRPr="00207748">
        <w:rPr>
          <w:rFonts w:ascii="Cambria" w:hAnsi="Cambria" w:cs="Arial"/>
          <w:spacing w:val="-4"/>
          <w:sz w:val="20"/>
          <w:szCs w:val="20"/>
        </w:rPr>
        <w:t xml:space="preserve"> </w:t>
      </w:r>
      <w:r w:rsidR="00447357" w:rsidRPr="00207748">
        <w:rPr>
          <w:rFonts w:ascii="Cambria" w:eastAsia="Arial" w:hAnsi="Cambria" w:cs="Arial"/>
          <w:spacing w:val="-4"/>
          <w:sz w:val="20"/>
          <w:szCs w:val="20"/>
          <w:vertAlign w:val="superscript"/>
        </w:rPr>
        <w:endnoteReference w:id="240"/>
      </w:r>
      <w:r w:rsidR="00447357" w:rsidRPr="00207748">
        <w:rPr>
          <w:rFonts w:ascii="Cambria" w:hAnsi="Cambria" w:cs="Arial"/>
          <w:spacing w:val="-4"/>
          <w:sz w:val="20"/>
          <w:szCs w:val="20"/>
        </w:rPr>
        <w:t xml:space="preserve"> </w:t>
      </w:r>
      <w:r w:rsidR="00447357" w:rsidRPr="00207748">
        <w:rPr>
          <w:rFonts w:ascii="Cambria" w:eastAsia="Arial" w:hAnsi="Cambria" w:cs="Arial"/>
          <w:spacing w:val="-4"/>
          <w:sz w:val="20"/>
          <w:szCs w:val="20"/>
          <w:vertAlign w:val="superscript"/>
        </w:rPr>
        <w:endnoteReference w:id="241"/>
      </w:r>
      <w:r w:rsidR="00447357" w:rsidRPr="00207748">
        <w:rPr>
          <w:rFonts w:ascii="Cambria" w:hAnsi="Cambria" w:cs="Arial"/>
          <w:spacing w:val="-4"/>
          <w:sz w:val="20"/>
          <w:szCs w:val="20"/>
        </w:rPr>
        <w:t xml:space="preserve"> </w:t>
      </w:r>
      <w:r w:rsidR="00447357" w:rsidRPr="00207748">
        <w:rPr>
          <w:rFonts w:ascii="Cambria" w:eastAsia="Arial" w:hAnsi="Cambria" w:cs="Arial"/>
          <w:spacing w:val="-4"/>
          <w:sz w:val="20"/>
          <w:szCs w:val="20"/>
          <w:vertAlign w:val="superscript"/>
        </w:rPr>
        <w:endnoteReference w:id="242"/>
      </w:r>
      <w:r w:rsidR="00447357" w:rsidRPr="00207748">
        <w:rPr>
          <w:rFonts w:ascii="Cambria" w:hAnsi="Cambria" w:cs="Arial"/>
          <w:spacing w:val="-4"/>
          <w:sz w:val="20"/>
          <w:szCs w:val="20"/>
        </w:rPr>
        <w:t xml:space="preserve"> </w:t>
      </w:r>
      <w:r w:rsidR="00447357" w:rsidRPr="00207748">
        <w:rPr>
          <w:rFonts w:ascii="Cambria" w:eastAsia="Arial" w:hAnsi="Cambria" w:cs="Arial"/>
          <w:spacing w:val="-4"/>
          <w:sz w:val="20"/>
          <w:szCs w:val="20"/>
          <w:vertAlign w:val="superscript"/>
        </w:rPr>
        <w:endnoteReference w:id="243"/>
      </w:r>
      <w:r w:rsidR="00447357" w:rsidRPr="00207748">
        <w:rPr>
          <w:rFonts w:ascii="Cambria" w:hAnsi="Cambria" w:cs="Arial"/>
          <w:spacing w:val="-4"/>
          <w:sz w:val="20"/>
          <w:szCs w:val="20"/>
        </w:rPr>
        <w:t xml:space="preserve"> Es ist jedoch nicht erkennbar, dass ein bestimmter Algorithmus einen klinischen Vorteil gegenüber einem anderen Algorithmus besitzt. Ein großer Teil der Literatur legt nahe, dass die Nutzung derartiger Algorithmen die sichere antimikrobielle Deeskalation im Vergleich zu klinischen Standardansätzen ohne negative Auswirkungen auf die Mortalität beschleunigen kann. Vor kurzem hat eine große randomisierte Studie zur Procalcitonin-Nutzung bei kritisch </w:t>
      </w:r>
      <w:r w:rsidR="000B573D" w:rsidRPr="00DC4B69">
        <w:rPr>
          <w:rFonts w:ascii="Cambria" w:hAnsi="Cambria" w:cs="Arial"/>
          <w:spacing w:val="-4"/>
          <w:sz w:val="20"/>
          <w:szCs w:val="20"/>
        </w:rPr>
        <w:t>kranken</w:t>
      </w:r>
      <w:r w:rsidR="00447357" w:rsidRPr="00207748">
        <w:rPr>
          <w:rFonts w:ascii="Cambria" w:hAnsi="Cambria" w:cs="Arial"/>
          <w:spacing w:val="-4"/>
          <w:sz w:val="20"/>
          <w:szCs w:val="20"/>
        </w:rPr>
        <w:t xml:space="preserve"> Patienten mit vermuteter bakterieller Infektion eine Reduzierung der Behandlungsdauer </w:t>
      </w:r>
      <w:r w:rsidR="000B573D" w:rsidRPr="00DC4B69">
        <w:rPr>
          <w:rFonts w:ascii="Cambria" w:hAnsi="Cambria" w:cs="Arial"/>
          <w:spacing w:val="-4"/>
          <w:sz w:val="20"/>
          <w:szCs w:val="20"/>
        </w:rPr>
        <w:t>mit Antibiotika</w:t>
      </w:r>
      <w:r w:rsidR="00447357" w:rsidRPr="00207748">
        <w:rPr>
          <w:rFonts w:ascii="Cambria" w:hAnsi="Cambria" w:cs="Arial"/>
          <w:spacing w:val="-4"/>
          <w:sz w:val="20"/>
          <w:szCs w:val="20"/>
        </w:rPr>
        <w:t xml:space="preserve"> nachgewiesen.</w:t>
      </w:r>
      <w:r w:rsidR="00447357" w:rsidRPr="00207748">
        <w:rPr>
          <w:rFonts w:ascii="Cambria" w:eastAsia="Arial" w:hAnsi="Cambria" w:cs="Arial"/>
          <w:spacing w:val="-4"/>
          <w:sz w:val="20"/>
          <w:szCs w:val="20"/>
          <w:vertAlign w:val="superscript"/>
        </w:rPr>
        <w:endnoteReference w:id="244"/>
      </w:r>
      <w:r w:rsidR="00447357" w:rsidRPr="00207748">
        <w:rPr>
          <w:rFonts w:ascii="Cambria" w:hAnsi="Cambria" w:cs="Arial"/>
          <w:spacing w:val="-4"/>
          <w:sz w:val="20"/>
          <w:szCs w:val="20"/>
        </w:rPr>
        <w:t xml:space="preserve"> In Anbetracht des Studiendesigns könnte die Reduzierung jedoch </w:t>
      </w:r>
      <w:r w:rsidR="000B573D">
        <w:rPr>
          <w:rFonts w:ascii="Cambria" w:hAnsi="Cambria" w:cs="Arial"/>
          <w:spacing w:val="-4"/>
          <w:sz w:val="20"/>
          <w:szCs w:val="20"/>
        </w:rPr>
        <w:t xml:space="preserve">auch </w:t>
      </w:r>
      <w:r w:rsidR="00447357" w:rsidRPr="00207748">
        <w:rPr>
          <w:rFonts w:ascii="Cambria" w:hAnsi="Cambria" w:cs="Arial"/>
          <w:spacing w:val="-4"/>
          <w:sz w:val="20"/>
          <w:szCs w:val="20"/>
        </w:rPr>
        <w:t>im Zusammenhang mit einem „soufflierten“ Effekt stehen, der bereits bei anderen Studien beobachtet wurde.</w:t>
      </w:r>
      <w:r w:rsidR="006B2B71" w:rsidRPr="006B2B71">
        <w:rPr>
          <w:rStyle w:val="EndnoteRealZchn"/>
          <w:sz w:val="20"/>
          <w:szCs w:val="20"/>
        </w:rPr>
        <w:fldChar w:fldCharType="begin"/>
      </w:r>
      <w:r w:rsidR="006B2B71" w:rsidRPr="006B2B71">
        <w:rPr>
          <w:rStyle w:val="EndnoteRealZchn"/>
          <w:sz w:val="20"/>
          <w:szCs w:val="20"/>
        </w:rPr>
        <w:instrText xml:space="preserve"> NOTEREF _Ref30585854 \h  \* MERGEFORMAT </w:instrText>
      </w:r>
      <w:r w:rsidR="006B2B71" w:rsidRPr="006B2B71">
        <w:rPr>
          <w:rStyle w:val="EndnoteRealZchn"/>
          <w:sz w:val="20"/>
          <w:szCs w:val="20"/>
        </w:rPr>
      </w:r>
      <w:r w:rsidR="006B2B71" w:rsidRPr="006B2B71">
        <w:rPr>
          <w:rStyle w:val="EndnoteRealZchn"/>
          <w:sz w:val="20"/>
          <w:szCs w:val="20"/>
        </w:rPr>
        <w:fldChar w:fldCharType="separate"/>
      </w:r>
      <w:r w:rsidR="001A283B">
        <w:rPr>
          <w:rStyle w:val="EndnoteRealZchn"/>
          <w:sz w:val="20"/>
          <w:szCs w:val="20"/>
        </w:rPr>
        <w:t>85</w:t>
      </w:r>
      <w:r w:rsidR="006B2B71" w:rsidRPr="006B2B71">
        <w:rPr>
          <w:rStyle w:val="EndnoteRealZchn"/>
          <w:sz w:val="20"/>
          <w:szCs w:val="20"/>
        </w:rPr>
        <w:fldChar w:fldCharType="end"/>
      </w:r>
      <w:r w:rsidR="006B2B71">
        <w:rPr>
          <w:rFonts w:ascii="Cambria" w:eastAsia="Arial" w:hAnsi="Cambria" w:cs="Arial"/>
          <w:spacing w:val="-4"/>
          <w:sz w:val="20"/>
          <w:szCs w:val="20"/>
          <w:vertAlign w:val="superscript"/>
        </w:rPr>
        <w:t xml:space="preserve"> </w:t>
      </w:r>
      <w:r w:rsidR="00447357" w:rsidRPr="00207748">
        <w:rPr>
          <w:rFonts w:ascii="Cambria" w:eastAsia="Arial" w:hAnsi="Cambria" w:cs="Arial"/>
          <w:spacing w:val="-4"/>
          <w:sz w:val="20"/>
          <w:szCs w:val="20"/>
          <w:vertAlign w:val="superscript"/>
        </w:rPr>
        <w:endnoteReference w:id="245"/>
      </w:r>
      <w:r w:rsidR="00447357" w:rsidRPr="00207748">
        <w:rPr>
          <w:rFonts w:ascii="Cambria" w:hAnsi="Cambria" w:cs="Arial"/>
          <w:spacing w:val="-4"/>
          <w:sz w:val="20"/>
          <w:szCs w:val="20"/>
        </w:rPr>
        <w:t xml:space="preserve"> Des Weiteren zeigte die Procalcitonin-Gruppe eine signifikante </w:t>
      </w:r>
      <w:r w:rsidR="00447357" w:rsidRPr="00207748">
        <w:rPr>
          <w:rFonts w:ascii="Cambria" w:hAnsi="Cambria" w:cs="Arial"/>
          <w:spacing w:val="-4"/>
          <w:sz w:val="20"/>
          <w:szCs w:val="20"/>
        </w:rPr>
        <w:lastRenderedPageBreak/>
        <w:t>Reduzierung der Mortalität. Dieses Ergebnis steht im Einklang mit Studien, die einen Zusammenhang zwischen einer frühzeitigen antimikrobiellen Deeskalation und der Überlebensrate im Rahmen von Beobachtungsstudien zu Sepsis und septischem Schock demonstriert haben.</w:t>
      </w:r>
      <w:r w:rsidR="006B2B71" w:rsidRPr="006B2B71">
        <w:rPr>
          <w:rStyle w:val="EndnoteRealZchn"/>
          <w:sz w:val="20"/>
          <w:szCs w:val="20"/>
        </w:rPr>
        <w:fldChar w:fldCharType="begin"/>
      </w:r>
      <w:r w:rsidR="006B2B71" w:rsidRPr="006B2B71">
        <w:rPr>
          <w:rStyle w:val="EndnoteRealZchn"/>
          <w:sz w:val="20"/>
          <w:szCs w:val="20"/>
        </w:rPr>
        <w:instrText xml:space="preserve"> NOTEREF _Ref30585034 \h  \* MERGEFORMAT </w:instrText>
      </w:r>
      <w:r w:rsidR="006B2B71" w:rsidRPr="006B2B71">
        <w:rPr>
          <w:rStyle w:val="EndnoteRealZchn"/>
          <w:sz w:val="20"/>
          <w:szCs w:val="20"/>
        </w:rPr>
      </w:r>
      <w:r w:rsidR="006B2B71" w:rsidRPr="006B2B71">
        <w:rPr>
          <w:rStyle w:val="EndnoteRealZchn"/>
          <w:sz w:val="20"/>
          <w:szCs w:val="20"/>
        </w:rPr>
        <w:fldChar w:fldCharType="separate"/>
      </w:r>
      <w:r w:rsidR="001A283B">
        <w:rPr>
          <w:rStyle w:val="EndnoteRealZchn"/>
          <w:sz w:val="20"/>
          <w:szCs w:val="20"/>
        </w:rPr>
        <w:t>84</w:t>
      </w:r>
      <w:r w:rsidR="006B2B71" w:rsidRPr="006B2B71">
        <w:rPr>
          <w:rStyle w:val="EndnoteRealZchn"/>
          <w:sz w:val="20"/>
          <w:szCs w:val="20"/>
        </w:rPr>
        <w:fldChar w:fldCharType="end"/>
      </w:r>
      <w:r w:rsidR="006B2B71">
        <w:rPr>
          <w:rFonts w:ascii="Cambria" w:eastAsia="Arial" w:hAnsi="Cambria" w:cs="Arial"/>
          <w:spacing w:val="-4"/>
          <w:sz w:val="20"/>
          <w:szCs w:val="20"/>
          <w:vertAlign w:val="superscript"/>
        </w:rPr>
        <w:t xml:space="preserve"> </w:t>
      </w:r>
      <w:r w:rsidR="006B2B71">
        <w:rPr>
          <w:rFonts w:ascii="Cambria" w:eastAsia="Arial" w:hAnsi="Cambria" w:cs="Arial"/>
          <w:spacing w:val="-4"/>
          <w:sz w:val="20"/>
          <w:szCs w:val="20"/>
          <w:vertAlign w:val="superscript"/>
        </w:rPr>
        <w:fldChar w:fldCharType="begin"/>
      </w:r>
      <w:r w:rsidR="006B2B71">
        <w:rPr>
          <w:rFonts w:ascii="Cambria" w:eastAsia="Arial" w:hAnsi="Cambria" w:cs="Arial"/>
          <w:spacing w:val="-4"/>
          <w:sz w:val="20"/>
          <w:szCs w:val="20"/>
          <w:vertAlign w:val="superscript"/>
        </w:rPr>
        <w:instrText xml:space="preserve"> NOTEREF _Ref30585854 \h </w:instrText>
      </w:r>
      <w:r w:rsidR="006B2B71">
        <w:rPr>
          <w:rFonts w:ascii="Cambria" w:eastAsia="Arial" w:hAnsi="Cambria" w:cs="Arial"/>
          <w:spacing w:val="-4"/>
          <w:sz w:val="20"/>
          <w:szCs w:val="20"/>
          <w:vertAlign w:val="superscript"/>
        </w:rPr>
      </w:r>
      <w:r w:rsidR="006B2B71">
        <w:rPr>
          <w:rFonts w:ascii="Cambria" w:eastAsia="Arial" w:hAnsi="Cambria" w:cs="Arial"/>
          <w:spacing w:val="-4"/>
          <w:sz w:val="20"/>
          <w:szCs w:val="20"/>
          <w:vertAlign w:val="superscript"/>
        </w:rPr>
        <w:fldChar w:fldCharType="separate"/>
      </w:r>
      <w:r w:rsidR="001A283B">
        <w:rPr>
          <w:rFonts w:ascii="Cambria" w:eastAsia="Arial" w:hAnsi="Cambria" w:cs="Arial"/>
          <w:spacing w:val="-4"/>
          <w:sz w:val="20"/>
          <w:szCs w:val="20"/>
          <w:vertAlign w:val="superscript"/>
        </w:rPr>
        <w:t>85</w:t>
      </w:r>
      <w:r w:rsidR="006B2B71">
        <w:rPr>
          <w:rFonts w:ascii="Cambria" w:eastAsia="Arial" w:hAnsi="Cambria" w:cs="Arial"/>
          <w:spacing w:val="-4"/>
          <w:sz w:val="20"/>
          <w:szCs w:val="20"/>
          <w:vertAlign w:val="superscript"/>
        </w:rPr>
        <w:fldChar w:fldCharType="end"/>
      </w:r>
      <w:r w:rsidR="00447357" w:rsidRPr="00207748">
        <w:rPr>
          <w:rFonts w:ascii="Cambria" w:hAnsi="Cambria" w:cs="Arial"/>
          <w:spacing w:val="-4"/>
          <w:sz w:val="20"/>
          <w:szCs w:val="20"/>
        </w:rPr>
        <w:t xml:space="preserve"> Dieser Vorteil ist jedoch als ungesichert zu betrachten, da eine andere Meta-Analyse von RCTs zur Deeskalation keinen ähnlichen Vorteil in Bezug auf die Überlebensrate nachweisen konnte.</w:t>
      </w:r>
      <w:r w:rsidR="00447357" w:rsidRPr="00207748">
        <w:rPr>
          <w:rFonts w:ascii="Cambria" w:eastAsia="Arial" w:hAnsi="Cambria" w:cs="Arial"/>
          <w:spacing w:val="-4"/>
          <w:sz w:val="20"/>
          <w:szCs w:val="20"/>
          <w:vertAlign w:val="superscript"/>
        </w:rPr>
        <w:endnoteReference w:id="246"/>
      </w:r>
      <w:r w:rsidR="00447357" w:rsidRPr="00207748">
        <w:rPr>
          <w:rFonts w:ascii="Cambria" w:hAnsi="Cambria" w:cs="Arial"/>
          <w:spacing w:val="-4"/>
          <w:sz w:val="20"/>
          <w:szCs w:val="20"/>
        </w:rPr>
        <w:t xml:space="preserve"> </w:t>
      </w:r>
    </w:p>
    <w:p w14:paraId="4EE68EE4" w14:textId="18C027ED" w:rsidR="00E11869" w:rsidRPr="00207748" w:rsidRDefault="00447357" w:rsidP="004454B6">
      <w:pPr>
        <w:rPr>
          <w:rFonts w:ascii="Cambria" w:eastAsia="Arial" w:hAnsi="Cambria" w:cs="Arial"/>
          <w:spacing w:val="2"/>
          <w:sz w:val="20"/>
          <w:szCs w:val="20"/>
        </w:rPr>
      </w:pPr>
      <w:r w:rsidRPr="00207748">
        <w:rPr>
          <w:rFonts w:ascii="Cambria" w:hAnsi="Cambria" w:cs="Arial"/>
          <w:spacing w:val="-4"/>
          <w:sz w:val="20"/>
          <w:szCs w:val="20"/>
        </w:rPr>
        <w:t>Es gilt nicht als erwiesen</w:t>
      </w:r>
      <w:r w:rsidRPr="00207748">
        <w:rPr>
          <w:rFonts w:ascii="Cambria" w:hAnsi="Cambria" w:cs="Arial"/>
          <w:sz w:val="20"/>
          <w:szCs w:val="20"/>
        </w:rPr>
        <w:t xml:space="preserve">, dass die Nutzung von Procalcitonin das Risiko von Antibiotika-verbundener Diarrhoe durch </w:t>
      </w:r>
      <w:r w:rsidRPr="00207748">
        <w:rPr>
          <w:rFonts w:ascii="Cambria" w:hAnsi="Cambria" w:cs="Arial"/>
          <w:spacing w:val="2"/>
          <w:sz w:val="20"/>
          <w:szCs w:val="20"/>
        </w:rPr>
        <w:t>C</w:t>
      </w:r>
      <w:r w:rsidR="00EC3DBA" w:rsidRPr="00207748">
        <w:rPr>
          <w:rFonts w:ascii="Cambria" w:hAnsi="Cambria" w:cs="Arial"/>
          <w:spacing w:val="2"/>
          <w:sz w:val="20"/>
          <w:szCs w:val="20"/>
        </w:rPr>
        <w:t>.</w:t>
      </w:r>
      <w:r w:rsidRPr="00207748">
        <w:rPr>
          <w:rFonts w:ascii="Cambria" w:hAnsi="Cambria" w:cs="Arial"/>
          <w:spacing w:val="2"/>
          <w:sz w:val="20"/>
          <w:szCs w:val="20"/>
        </w:rPr>
        <w:t xml:space="preserve"> difficile reduziert. Es ist jedoch bekannt, dass das Auftreten einer C</w:t>
      </w:r>
      <w:r w:rsidR="00EC3DBA" w:rsidRPr="00207748">
        <w:rPr>
          <w:rFonts w:ascii="Cambria" w:hAnsi="Cambria" w:cs="Arial"/>
          <w:spacing w:val="2"/>
          <w:sz w:val="20"/>
          <w:szCs w:val="20"/>
        </w:rPr>
        <w:t>.</w:t>
      </w:r>
      <w:r w:rsidRPr="00207748">
        <w:rPr>
          <w:rFonts w:ascii="Cambria" w:hAnsi="Cambria" w:cs="Arial"/>
          <w:spacing w:val="2"/>
          <w:sz w:val="20"/>
          <w:szCs w:val="20"/>
        </w:rPr>
        <w:t xml:space="preserve"> difficile-Colitis im Zusammenhang mit der kumulativen Antibiotika-Exposition bei individuellen Patienten steht</w:t>
      </w:r>
      <w:r w:rsidR="006B2B71">
        <w:rPr>
          <w:rFonts w:ascii="Cambria" w:hAnsi="Cambria" w:cs="Arial"/>
          <w:spacing w:val="2"/>
          <w:sz w:val="20"/>
          <w:szCs w:val="20"/>
        </w:rPr>
        <w:t xml:space="preserve"> </w:t>
      </w:r>
      <w:r w:rsidR="006B2B71" w:rsidRPr="006B2B71">
        <w:rPr>
          <w:rStyle w:val="EndnoteRealZchn"/>
          <w:sz w:val="20"/>
          <w:szCs w:val="20"/>
        </w:rPr>
        <w:fldChar w:fldCharType="begin"/>
      </w:r>
      <w:r w:rsidR="006B2B71" w:rsidRPr="006B2B71">
        <w:rPr>
          <w:rStyle w:val="EndnoteRealZchn"/>
          <w:sz w:val="20"/>
          <w:szCs w:val="20"/>
        </w:rPr>
        <w:instrText xml:space="preserve"> NOTEREF _Ref30584819 \h  \* MERGEFORMAT </w:instrText>
      </w:r>
      <w:r w:rsidR="006B2B71" w:rsidRPr="006B2B71">
        <w:rPr>
          <w:rStyle w:val="EndnoteRealZchn"/>
          <w:sz w:val="20"/>
          <w:szCs w:val="20"/>
        </w:rPr>
      </w:r>
      <w:r w:rsidR="006B2B71" w:rsidRPr="006B2B71">
        <w:rPr>
          <w:rStyle w:val="EndnoteRealZchn"/>
          <w:sz w:val="20"/>
          <w:szCs w:val="20"/>
        </w:rPr>
        <w:fldChar w:fldCharType="separate"/>
      </w:r>
      <w:r w:rsidR="001A283B">
        <w:rPr>
          <w:rStyle w:val="EndnoteRealZchn"/>
          <w:sz w:val="20"/>
          <w:szCs w:val="20"/>
        </w:rPr>
        <w:t>246</w:t>
      </w:r>
      <w:r w:rsidR="006B2B71" w:rsidRPr="006B2B71">
        <w:rPr>
          <w:rStyle w:val="EndnoteRealZchn"/>
          <w:sz w:val="20"/>
          <w:szCs w:val="20"/>
        </w:rPr>
        <w:fldChar w:fldCharType="end"/>
      </w:r>
      <w:r w:rsidRPr="00207748">
        <w:rPr>
          <w:rFonts w:ascii="Cambria" w:hAnsi="Cambria" w:cs="Arial"/>
          <w:spacing w:val="2"/>
          <w:sz w:val="20"/>
          <w:szCs w:val="20"/>
        </w:rPr>
        <w:t xml:space="preserve">, sodass ein derartiger Vorteil wahrscheinlich ist. Obwohl bisher nicht nachgewiesen wurde, dass die Prävalenz einer antimikrobiellen Resistenz durch die Nutzung von Procalcitonin reduziert wird, ist bekannt, dass die </w:t>
      </w:r>
      <w:r w:rsidRPr="0044792B">
        <w:rPr>
          <w:rFonts w:ascii="Cambria" w:hAnsi="Cambria" w:cs="Arial"/>
          <w:spacing w:val="2"/>
          <w:sz w:val="20"/>
          <w:szCs w:val="20"/>
        </w:rPr>
        <w:t>E</w:t>
      </w:r>
      <w:r w:rsidR="000B573D" w:rsidRPr="00DC4B69">
        <w:rPr>
          <w:rFonts w:ascii="Cambria" w:hAnsi="Cambria" w:cs="Arial"/>
          <w:spacing w:val="2"/>
          <w:sz w:val="20"/>
          <w:szCs w:val="20"/>
        </w:rPr>
        <w:t>ntwicklung</w:t>
      </w:r>
      <w:r w:rsidRPr="00207748">
        <w:rPr>
          <w:rFonts w:ascii="Cambria" w:hAnsi="Cambria" w:cs="Arial"/>
          <w:spacing w:val="2"/>
          <w:sz w:val="20"/>
          <w:szCs w:val="20"/>
        </w:rPr>
        <w:t xml:space="preserve"> einer antimikrobiellen Resistenz im Zusammenhang mit dem Gesamtverbrauch von </w:t>
      </w:r>
      <w:r w:rsidRPr="000B573D">
        <w:rPr>
          <w:rFonts w:ascii="Cambria" w:hAnsi="Cambria" w:cs="Arial"/>
          <w:spacing w:val="2"/>
          <w:sz w:val="20"/>
          <w:szCs w:val="20"/>
        </w:rPr>
        <w:t>Anti</w:t>
      </w:r>
      <w:r w:rsidR="000B573D" w:rsidRPr="00DC4B69">
        <w:rPr>
          <w:rFonts w:ascii="Cambria" w:hAnsi="Cambria" w:cs="Arial"/>
          <w:spacing w:val="2"/>
          <w:sz w:val="20"/>
          <w:szCs w:val="20"/>
        </w:rPr>
        <w:t>infektiva</w:t>
      </w:r>
      <w:r w:rsidRPr="00207748">
        <w:rPr>
          <w:rFonts w:ascii="Cambria" w:hAnsi="Cambria" w:cs="Arial"/>
          <w:spacing w:val="2"/>
          <w:sz w:val="20"/>
          <w:szCs w:val="20"/>
        </w:rPr>
        <w:t xml:space="preserve"> steht.</w:t>
      </w:r>
      <w:r w:rsidRPr="00207748">
        <w:rPr>
          <w:rFonts w:ascii="Cambria" w:eastAsia="Arial" w:hAnsi="Cambria" w:cs="Arial"/>
          <w:spacing w:val="2"/>
          <w:sz w:val="20"/>
          <w:szCs w:val="20"/>
          <w:vertAlign w:val="superscript"/>
        </w:rPr>
        <w:endnoteReference w:id="247"/>
      </w:r>
    </w:p>
    <w:p w14:paraId="17FAF302" w14:textId="67CA81E6" w:rsidR="00963061" w:rsidRDefault="00447357" w:rsidP="00FB33A2">
      <w:pPr>
        <w:rPr>
          <w:rFonts w:ascii="Cambria" w:hAnsi="Cambria" w:cs="Arial"/>
          <w:spacing w:val="-1"/>
          <w:sz w:val="20"/>
          <w:szCs w:val="20"/>
        </w:rPr>
      </w:pPr>
      <w:r w:rsidRPr="00207748">
        <w:rPr>
          <w:rFonts w:ascii="Cambria" w:hAnsi="Cambria" w:cs="Arial"/>
          <w:spacing w:val="-1"/>
          <w:sz w:val="20"/>
          <w:szCs w:val="20"/>
        </w:rPr>
        <w:t>Es ist wichtig zu beachten, dass Procalcitonin und alle anderen Biomarker nur unterstützende und ergänzende Daten zur klinischen Beurteilung zur Verfügung stellen können. Entscheidungen bezüglich des Ansetzens, der Änderung oder des Absetzens einer antimikrobiellen Therapie sollten niemals ausschließlich auf Grundlage von Veränderungen von Biomarkern (einschließlich Procalcitonin) getroffen werden.</w:t>
      </w:r>
      <w:bookmarkStart w:id="382" w:name="_Toc25845112"/>
    </w:p>
    <w:p w14:paraId="5EE64D6A" w14:textId="061C2231" w:rsidR="002B1061" w:rsidRDefault="002B1061" w:rsidP="00FB33A2">
      <w:pPr>
        <w:rPr>
          <w:rFonts w:ascii="Cambria" w:hAnsi="Cambria" w:cs="Arial"/>
          <w:spacing w:val="-1"/>
          <w:sz w:val="20"/>
          <w:szCs w:val="20"/>
        </w:rPr>
      </w:pPr>
    </w:p>
    <w:p w14:paraId="00586B46" w14:textId="18790CEE" w:rsidR="002B1061" w:rsidRDefault="002B1061" w:rsidP="00FB33A2">
      <w:pPr>
        <w:rPr>
          <w:rFonts w:ascii="Cambria" w:hAnsi="Cambria" w:cs="Arial"/>
          <w:spacing w:val="-1"/>
          <w:sz w:val="20"/>
          <w:szCs w:val="20"/>
        </w:rPr>
      </w:pPr>
    </w:p>
    <w:p w14:paraId="76F1D43C" w14:textId="345280B5" w:rsidR="002B1061" w:rsidRDefault="002B1061" w:rsidP="00FB33A2">
      <w:pPr>
        <w:rPr>
          <w:rFonts w:ascii="Cambria" w:hAnsi="Cambria" w:cs="Arial"/>
          <w:spacing w:val="-1"/>
          <w:sz w:val="20"/>
          <w:szCs w:val="20"/>
        </w:rPr>
      </w:pPr>
    </w:p>
    <w:p w14:paraId="5C2064FC" w14:textId="57317468" w:rsidR="002B1061" w:rsidRDefault="002B1061" w:rsidP="00FB33A2">
      <w:pPr>
        <w:rPr>
          <w:rFonts w:ascii="Cambria" w:hAnsi="Cambria" w:cs="Arial"/>
          <w:spacing w:val="-1"/>
          <w:sz w:val="20"/>
          <w:szCs w:val="20"/>
        </w:rPr>
      </w:pPr>
    </w:p>
    <w:p w14:paraId="1F4B8B4E" w14:textId="77777777" w:rsidR="002B1061" w:rsidRPr="00207748" w:rsidRDefault="002B1061" w:rsidP="00FB33A2">
      <w:pPr>
        <w:rPr>
          <w:rFonts w:ascii="Cambria" w:eastAsia="Arial" w:hAnsi="Cambria" w:cs="Arial"/>
          <w:b/>
          <w:bCs/>
          <w:sz w:val="20"/>
          <w:szCs w:val="20"/>
        </w:rPr>
      </w:pPr>
    </w:p>
    <w:p w14:paraId="11DF4199" w14:textId="77777777" w:rsidR="00E11869" w:rsidRPr="00182D07" w:rsidRDefault="00447357" w:rsidP="004454B6">
      <w:pPr>
        <w:pStyle w:val="berschrift2"/>
        <w:rPr>
          <w:b w:val="0"/>
        </w:rPr>
      </w:pPr>
      <w:bookmarkStart w:id="383" w:name="_Toc437861460"/>
      <w:bookmarkStart w:id="384" w:name="_Toc31278498"/>
      <w:r w:rsidRPr="00182D07">
        <w:t>E. Fokuskontrolle</w:t>
      </w:r>
      <w:bookmarkEnd w:id="382"/>
      <w:bookmarkEnd w:id="383"/>
      <w:bookmarkEnd w:id="384"/>
    </w:p>
    <w:p w14:paraId="3CE4445A" w14:textId="77777777" w:rsidR="00E11869" w:rsidRPr="00207748" w:rsidRDefault="00E11869" w:rsidP="00FB33A2">
      <w:pPr>
        <w:pStyle w:val="KeinLeerraum"/>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866"/>
        <w:gridCol w:w="1645"/>
        <w:gridCol w:w="822"/>
      </w:tblGrid>
      <w:tr w:rsidR="00E11869" w:rsidRPr="00207748" w14:paraId="09C9ACF1" w14:textId="77777777" w:rsidTr="002B1061">
        <w:trPr>
          <w:trHeight w:val="282"/>
        </w:trPr>
        <w:tc>
          <w:tcPr>
            <w:tcW w:w="2154"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1C1F0C43"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t xml:space="preserve">E. 1 </w:t>
            </w:r>
          </w:p>
        </w:tc>
        <w:tc>
          <w:tcPr>
            <w:tcW w:w="1898"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E261877"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 xml:space="preserve">Empfehlung </w:t>
            </w:r>
          </w:p>
        </w:tc>
        <w:tc>
          <w:tcPr>
            <w:tcW w:w="948"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46857AED"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2018</w:t>
            </w:r>
          </w:p>
        </w:tc>
      </w:tr>
      <w:tr w:rsidR="00E11869" w:rsidRPr="00207748" w14:paraId="5774A32D" w14:textId="77777777" w:rsidTr="002B1061">
        <w:trPr>
          <w:trHeight w:val="3922"/>
        </w:trPr>
        <w:tc>
          <w:tcPr>
            <w:tcW w:w="2154"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FC6109"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lastRenderedPageBreak/>
              <w:t>Expertenkonsens</w:t>
            </w:r>
          </w:p>
        </w:tc>
        <w:tc>
          <w:tcPr>
            <w:tcW w:w="284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6" w:type="dxa"/>
            </w:tcMar>
          </w:tcPr>
          <w:p w14:paraId="252354B0" w14:textId="77777777" w:rsidR="00E11869" w:rsidRPr="00207748" w:rsidRDefault="00447357" w:rsidP="004454B6">
            <w:pPr>
              <w:spacing w:after="0"/>
              <w:ind w:right="216"/>
              <w:rPr>
                <w:rFonts w:ascii="Cambria" w:hAnsi="Cambria" w:cs="Arial"/>
                <w:sz w:val="20"/>
                <w:szCs w:val="20"/>
              </w:rPr>
            </w:pPr>
            <w:r w:rsidRPr="00207748">
              <w:rPr>
                <w:rFonts w:ascii="Cambria" w:hAnsi="Cambria" w:cs="Arial"/>
                <w:b/>
                <w:bCs/>
                <w:sz w:val="20"/>
                <w:szCs w:val="20"/>
              </w:rPr>
              <w:t>Wir empfehlen, dass nach einem sanierbaren Fo</w:t>
            </w:r>
            <w:r w:rsidR="00701487" w:rsidRPr="00207748">
              <w:rPr>
                <w:rFonts w:ascii="Cambria" w:hAnsi="Cambria" w:cs="Arial"/>
                <w:b/>
                <w:bCs/>
                <w:sz w:val="20"/>
                <w:szCs w:val="20"/>
              </w:rPr>
              <w:t>k</w:t>
            </w:r>
            <w:r w:rsidRPr="00207748">
              <w:rPr>
                <w:rFonts w:ascii="Cambria" w:hAnsi="Cambria" w:cs="Arial"/>
                <w:b/>
                <w:bCs/>
                <w:sz w:val="20"/>
                <w:szCs w:val="20"/>
              </w:rPr>
              <w:t>us, einschließlich Fremdmaterialien</w:t>
            </w:r>
            <w:r w:rsidR="001337CD" w:rsidRPr="00207748">
              <w:rPr>
                <w:rFonts w:ascii="Cambria" w:hAnsi="Cambria" w:cs="Arial"/>
                <w:b/>
                <w:bCs/>
                <w:sz w:val="20"/>
                <w:szCs w:val="20"/>
              </w:rPr>
              <w:t>,</w:t>
            </w:r>
            <w:r w:rsidRPr="00207748">
              <w:rPr>
                <w:rFonts w:ascii="Cambria" w:hAnsi="Cambria" w:cs="Arial"/>
                <w:b/>
                <w:bCs/>
                <w:sz w:val="20"/>
                <w:szCs w:val="20"/>
              </w:rPr>
              <w:t xml:space="preserve"> schnell und gezielt gesucht wird und ggf. eine operative/ interventionelle Fo</w:t>
            </w:r>
            <w:r w:rsidR="00701487" w:rsidRPr="00207748">
              <w:rPr>
                <w:rFonts w:ascii="Cambria" w:hAnsi="Cambria" w:cs="Arial"/>
                <w:b/>
                <w:bCs/>
                <w:sz w:val="20"/>
                <w:szCs w:val="20"/>
              </w:rPr>
              <w:t>k</w:t>
            </w:r>
            <w:r w:rsidRPr="00207748">
              <w:rPr>
                <w:rFonts w:ascii="Cambria" w:hAnsi="Cambria" w:cs="Arial"/>
                <w:b/>
                <w:bCs/>
                <w:sz w:val="20"/>
                <w:szCs w:val="20"/>
              </w:rPr>
              <w:t xml:space="preserve">ussanierung so schnell wie medizinisch und logistisch möglich erfolgen soll. </w:t>
            </w:r>
          </w:p>
        </w:tc>
      </w:tr>
      <w:tr w:rsidR="00E11869" w:rsidRPr="00207748" w14:paraId="6BEA3081" w14:textId="77777777" w:rsidTr="002B1061">
        <w:trPr>
          <w:trHeight w:val="319"/>
        </w:trPr>
        <w:tc>
          <w:tcPr>
            <w:tcW w:w="2154" w:type="pct"/>
            <w:vMerge/>
            <w:tcBorders>
              <w:top w:val="single" w:sz="4" w:space="0" w:color="000000"/>
              <w:left w:val="single" w:sz="4" w:space="0" w:color="000000"/>
              <w:bottom w:val="single" w:sz="4" w:space="0" w:color="000000"/>
              <w:right w:val="single" w:sz="4" w:space="0" w:color="000000"/>
            </w:tcBorders>
            <w:shd w:val="clear" w:color="auto" w:fill="auto"/>
          </w:tcPr>
          <w:p w14:paraId="30A4DAE0" w14:textId="77777777" w:rsidR="00E11869" w:rsidRPr="00207748" w:rsidRDefault="00E11869" w:rsidP="004454B6">
            <w:pPr>
              <w:rPr>
                <w:rFonts w:ascii="Cambria" w:hAnsi="Cambria" w:cs="Arial"/>
                <w:sz w:val="20"/>
                <w:szCs w:val="20"/>
              </w:rPr>
            </w:pPr>
          </w:p>
        </w:tc>
        <w:tc>
          <w:tcPr>
            <w:tcW w:w="284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DA1EF" w14:textId="77777777" w:rsidR="00E11869" w:rsidRPr="00207748" w:rsidRDefault="00447357" w:rsidP="004454B6">
            <w:pPr>
              <w:spacing w:after="0"/>
              <w:rPr>
                <w:rFonts w:ascii="Cambria" w:eastAsia="Arial" w:hAnsi="Cambria" w:cs="Arial"/>
                <w:b/>
                <w:bCs/>
                <w:sz w:val="20"/>
                <w:szCs w:val="20"/>
              </w:rPr>
            </w:pPr>
            <w:r w:rsidRPr="00207748">
              <w:rPr>
                <w:rFonts w:ascii="Cambria" w:hAnsi="Cambria" w:cs="Arial"/>
                <w:b/>
                <w:bCs/>
                <w:sz w:val="20"/>
                <w:szCs w:val="20"/>
              </w:rPr>
              <w:t>SSC</w:t>
            </w:r>
            <w:r w:rsidR="007722E3" w:rsidRPr="00207748">
              <w:rPr>
                <w:rFonts w:ascii="Cambria" w:hAnsi="Cambria" w:cs="Arial"/>
                <w:b/>
                <w:bCs/>
                <w:sz w:val="20"/>
                <w:szCs w:val="20"/>
              </w:rPr>
              <w:t>-</w:t>
            </w:r>
            <w:r w:rsidRPr="00207748">
              <w:rPr>
                <w:rFonts w:ascii="Cambria" w:hAnsi="Cambria" w:cs="Arial"/>
                <w:b/>
                <w:bCs/>
                <w:sz w:val="20"/>
                <w:szCs w:val="20"/>
              </w:rPr>
              <w:t>Leitlinien</w:t>
            </w:r>
            <w:r w:rsidR="00E873A9" w:rsidRPr="00207748">
              <w:rPr>
                <w:rFonts w:ascii="Cambria" w:hAnsi="Cambria" w:cs="Arial"/>
                <w:b/>
                <w:bCs/>
                <w:sz w:val="20"/>
                <w:szCs w:val="20"/>
              </w:rPr>
              <w:t>adaptation</w:t>
            </w:r>
          </w:p>
        </w:tc>
      </w:tr>
      <w:tr w:rsidR="00E11869" w:rsidRPr="00207748" w14:paraId="0F07C9DA" w14:textId="77777777" w:rsidTr="002B1061">
        <w:trPr>
          <w:trHeight w:val="282"/>
        </w:trPr>
        <w:tc>
          <w:tcPr>
            <w:tcW w:w="21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3A72C" w14:textId="77777777" w:rsidR="00E11869" w:rsidRPr="00207748" w:rsidRDefault="00E11869" w:rsidP="004454B6">
            <w:pPr>
              <w:rPr>
                <w:rFonts w:ascii="Cambria" w:hAnsi="Cambria" w:cs="Arial"/>
                <w:sz w:val="20"/>
                <w:szCs w:val="20"/>
              </w:rPr>
            </w:pPr>
          </w:p>
        </w:tc>
        <w:tc>
          <w:tcPr>
            <w:tcW w:w="284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10273" w14:textId="77777777" w:rsidR="00E11869" w:rsidRPr="00207748" w:rsidRDefault="00447357" w:rsidP="004454B6">
            <w:pPr>
              <w:spacing w:after="0"/>
              <w:rPr>
                <w:rFonts w:ascii="Cambria" w:hAnsi="Cambria" w:cs="Arial"/>
                <w:sz w:val="20"/>
                <w:szCs w:val="20"/>
              </w:rPr>
            </w:pPr>
            <w:r w:rsidRPr="00207748">
              <w:rPr>
                <w:rFonts w:ascii="Cambria" w:hAnsi="Cambria" w:cs="Arial"/>
                <w:sz w:val="20"/>
                <w:szCs w:val="20"/>
              </w:rPr>
              <w:t>Konsensstärke: 100 %</w:t>
            </w:r>
          </w:p>
        </w:tc>
      </w:tr>
    </w:tbl>
    <w:p w14:paraId="38D75C07" w14:textId="77777777" w:rsidR="00342FB3" w:rsidRPr="00207748" w:rsidRDefault="00342FB3" w:rsidP="004454B6">
      <w:pPr>
        <w:rPr>
          <w:rFonts w:ascii="Cambria" w:eastAsia="Arial" w:hAnsi="Cambria" w:cs="Arial"/>
          <w:iCs/>
          <w:sz w:val="20"/>
          <w:szCs w:val="20"/>
        </w:rPr>
      </w:pPr>
    </w:p>
    <w:p w14:paraId="38F25C59" w14:textId="74BD6013" w:rsidR="00E11869" w:rsidRPr="00207748" w:rsidRDefault="00420A45" w:rsidP="004454B6">
      <w:pPr>
        <w:rPr>
          <w:rFonts w:ascii="Cambria" w:eastAsia="Arial" w:hAnsi="Cambria" w:cs="Arial"/>
          <w:sz w:val="20"/>
          <w:szCs w:val="20"/>
        </w:rPr>
      </w:pPr>
      <w:r w:rsidRPr="00207748">
        <w:rPr>
          <w:rFonts w:ascii="Cambria" w:hAnsi="Cambria" w:cs="Arial"/>
          <w:b/>
          <w:bCs/>
          <w:sz w:val="20"/>
          <w:szCs w:val="20"/>
        </w:rPr>
        <w:t>Begründung:</w:t>
      </w:r>
      <w:r w:rsidR="00447357" w:rsidRPr="00207748">
        <w:rPr>
          <w:rFonts w:ascii="Cambria" w:hAnsi="Cambria" w:cs="Arial"/>
          <w:sz w:val="20"/>
          <w:szCs w:val="20"/>
        </w:rPr>
        <w:t xml:space="preserve"> </w:t>
      </w:r>
      <w:r w:rsidR="00501402" w:rsidRPr="00DC4B69">
        <w:rPr>
          <w:rFonts w:ascii="Cambria" w:hAnsi="Cambria" w:cs="Arial"/>
          <w:sz w:val="20"/>
          <w:szCs w:val="20"/>
        </w:rPr>
        <w:t>Fundamentale</w:t>
      </w:r>
      <w:r w:rsidR="00447357" w:rsidRPr="00207748">
        <w:rPr>
          <w:rFonts w:ascii="Cambria" w:hAnsi="Cambria" w:cs="Arial"/>
          <w:sz w:val="20"/>
          <w:szCs w:val="20"/>
        </w:rPr>
        <w:t xml:space="preserve"> Prinzipien der Fokuskontrolle beinhalten die schnelle </w:t>
      </w:r>
      <w:r w:rsidR="00501402" w:rsidRPr="00DC4B69">
        <w:rPr>
          <w:rFonts w:ascii="Cambria" w:hAnsi="Cambria" w:cs="Arial"/>
          <w:sz w:val="20"/>
          <w:szCs w:val="20"/>
        </w:rPr>
        <w:t xml:space="preserve">Identifikation des Infektionsherdes </w:t>
      </w:r>
      <w:r w:rsidR="00212F49" w:rsidRPr="00DC4B69">
        <w:rPr>
          <w:rFonts w:ascii="Cambria" w:hAnsi="Cambria" w:cs="Arial"/>
          <w:sz w:val="20"/>
          <w:szCs w:val="20"/>
        </w:rPr>
        <w:t>und dessen potentielle chirurgische oder interventionelle Sanierung</w:t>
      </w:r>
      <w:r w:rsidR="00447357" w:rsidRPr="00207748">
        <w:rPr>
          <w:rFonts w:ascii="Cambria" w:hAnsi="Cambria" w:cs="Arial"/>
          <w:sz w:val="20"/>
          <w:szCs w:val="20"/>
        </w:rPr>
        <w:t xml:space="preserve"> (insbesondere Abszessdrainage, Débridement von infiziertem nekrotischen Gewebe, Entfernung von potenziell infizierten </w:t>
      </w:r>
      <w:r w:rsidR="00212F49" w:rsidRPr="00DC4B69">
        <w:rPr>
          <w:rFonts w:ascii="Cambria" w:hAnsi="Cambria" w:cs="Arial"/>
          <w:sz w:val="20"/>
          <w:szCs w:val="20"/>
        </w:rPr>
        <w:t xml:space="preserve">devices </w:t>
      </w:r>
      <w:r w:rsidR="00447357" w:rsidRPr="00207748">
        <w:rPr>
          <w:rFonts w:ascii="Cambria" w:hAnsi="Cambria" w:cs="Arial"/>
          <w:sz w:val="20"/>
          <w:szCs w:val="20"/>
        </w:rPr>
        <w:t>medizinischen Vorrichtungen</w:t>
      </w:r>
      <w:r w:rsidR="00447357" w:rsidRPr="00023D2D">
        <w:rPr>
          <w:rFonts w:ascii="Cambria" w:hAnsi="Cambria" w:cs="Arial"/>
          <w:sz w:val="20"/>
          <w:szCs w:val="20"/>
        </w:rPr>
        <w:t>)</w:t>
      </w:r>
      <w:r w:rsidR="0025726E" w:rsidRPr="004F680D">
        <w:rPr>
          <w:rFonts w:ascii="Cambria" w:hAnsi="Cambria" w:cs="Arial"/>
          <w:sz w:val="20"/>
          <w:szCs w:val="20"/>
        </w:rPr>
        <w:t>.</w:t>
      </w:r>
      <w:r w:rsidR="0025726E" w:rsidRPr="00207748">
        <w:rPr>
          <w:rFonts w:ascii="Cambria" w:hAnsi="Cambria" w:cs="Arial"/>
          <w:sz w:val="20"/>
          <w:szCs w:val="20"/>
        </w:rPr>
        <w:t xml:space="preserve"> </w:t>
      </w:r>
      <w:r w:rsidR="00447357" w:rsidRPr="00207748">
        <w:rPr>
          <w:rFonts w:ascii="Cambria" w:eastAsia="Arial" w:hAnsi="Cambria" w:cs="Arial"/>
          <w:sz w:val="20"/>
          <w:szCs w:val="20"/>
          <w:vertAlign w:val="superscript"/>
        </w:rPr>
        <w:endnoteReference w:id="248"/>
      </w:r>
      <w:r w:rsidR="00447357" w:rsidRPr="00207748">
        <w:rPr>
          <w:rFonts w:ascii="Cambria" w:hAnsi="Cambria" w:cs="Arial"/>
          <w:sz w:val="20"/>
          <w:szCs w:val="20"/>
        </w:rPr>
        <w:t xml:space="preserve"> Zu den Infektionsherden, die gut auf Fokuskontrollmaßnahmen ansprechen, gehören intraabdominale Abszesse, gastrointestinale Perforationen, Darmischämie oder Volvulus, Cholangitis, Cholecystitis, mit einer Obstruktion oder einem Abszess verbundene Pyelonephritis, eine nekrotisierende </w:t>
      </w:r>
      <w:r w:rsidR="00447357" w:rsidRPr="00923DD6">
        <w:rPr>
          <w:rFonts w:ascii="Cambria" w:hAnsi="Cambria" w:cs="Arial"/>
          <w:sz w:val="20"/>
          <w:szCs w:val="20"/>
        </w:rPr>
        <w:t>Weich</w:t>
      </w:r>
      <w:r w:rsidR="00212F49" w:rsidRPr="00DC4B69">
        <w:rPr>
          <w:rFonts w:ascii="Cambria" w:hAnsi="Cambria" w:cs="Arial"/>
          <w:sz w:val="20"/>
          <w:szCs w:val="20"/>
        </w:rPr>
        <w:t>teil</w:t>
      </w:r>
      <w:r w:rsidR="00447357" w:rsidRPr="00023D2D">
        <w:rPr>
          <w:rFonts w:ascii="Cambria" w:hAnsi="Cambria" w:cs="Arial"/>
          <w:sz w:val="20"/>
          <w:szCs w:val="20"/>
        </w:rPr>
        <w:t>infektion</w:t>
      </w:r>
      <w:r w:rsidR="00447357" w:rsidRPr="00207748">
        <w:rPr>
          <w:rFonts w:ascii="Cambria" w:hAnsi="Cambria" w:cs="Arial"/>
          <w:sz w:val="20"/>
          <w:szCs w:val="20"/>
        </w:rPr>
        <w:t xml:space="preserve">, andere tiefe Infektionen (z.B. Empyem oder septische Arthritis) </w:t>
      </w:r>
      <w:r w:rsidR="00212F49" w:rsidRPr="00DC4B69">
        <w:rPr>
          <w:rFonts w:ascii="Cambria" w:hAnsi="Cambria" w:cs="Arial"/>
          <w:sz w:val="20"/>
          <w:szCs w:val="20"/>
        </w:rPr>
        <w:t>sowie</w:t>
      </w:r>
      <w:r w:rsidR="00447357" w:rsidRPr="00207748">
        <w:rPr>
          <w:rFonts w:ascii="Cambria" w:hAnsi="Cambria" w:cs="Arial"/>
          <w:sz w:val="20"/>
          <w:szCs w:val="20"/>
        </w:rPr>
        <w:t xml:space="preserve"> Infektionen von </w:t>
      </w:r>
      <w:r w:rsidR="00212F49" w:rsidRPr="00DC4B69">
        <w:rPr>
          <w:rFonts w:ascii="Cambria" w:hAnsi="Cambria" w:cs="Arial"/>
          <w:sz w:val="20"/>
          <w:szCs w:val="20"/>
        </w:rPr>
        <w:t>Implantaten</w:t>
      </w:r>
      <w:r w:rsidR="00447357" w:rsidRPr="00207748">
        <w:rPr>
          <w:rFonts w:ascii="Cambria" w:hAnsi="Cambria" w:cs="Arial"/>
          <w:sz w:val="20"/>
          <w:szCs w:val="20"/>
        </w:rPr>
        <w:t>.</w:t>
      </w:r>
    </w:p>
    <w:p w14:paraId="44CD9A13" w14:textId="02DC1C9B" w:rsidR="00E11869" w:rsidRPr="00207748" w:rsidRDefault="00212F49" w:rsidP="004454B6">
      <w:pPr>
        <w:rPr>
          <w:rFonts w:ascii="Cambria" w:eastAsia="Arial" w:hAnsi="Cambria" w:cs="Arial"/>
          <w:sz w:val="20"/>
          <w:szCs w:val="20"/>
        </w:rPr>
      </w:pPr>
      <w:r w:rsidRPr="00DC4B69">
        <w:rPr>
          <w:rFonts w:ascii="Cambria" w:hAnsi="Cambria" w:cs="Arial"/>
          <w:sz w:val="20"/>
          <w:szCs w:val="20"/>
        </w:rPr>
        <w:t xml:space="preserve">Potentielle </w:t>
      </w:r>
      <w:r w:rsidR="00447357" w:rsidRPr="00923DD6">
        <w:rPr>
          <w:rFonts w:ascii="Cambria" w:hAnsi="Cambria" w:cs="Arial"/>
          <w:sz w:val="20"/>
          <w:szCs w:val="20"/>
        </w:rPr>
        <w:t>Infektionsherde</w:t>
      </w:r>
      <w:r w:rsidR="00447357" w:rsidRPr="0044792B">
        <w:rPr>
          <w:rFonts w:ascii="Cambria" w:hAnsi="Cambria" w:cs="Arial"/>
          <w:sz w:val="20"/>
          <w:szCs w:val="20"/>
        </w:rPr>
        <w:t>sollten</w:t>
      </w:r>
      <w:r w:rsidR="00447357" w:rsidRPr="00207748">
        <w:rPr>
          <w:rFonts w:ascii="Cambria" w:hAnsi="Cambria" w:cs="Arial"/>
          <w:sz w:val="20"/>
          <w:szCs w:val="20"/>
        </w:rPr>
        <w:t xml:space="preserve"> so schnell wie möglich nach einer initialen </w:t>
      </w:r>
      <w:r w:rsidR="007918F1" w:rsidRPr="00DC4B69">
        <w:rPr>
          <w:rFonts w:ascii="Cambria" w:hAnsi="Cambria" w:cs="Arial"/>
          <w:sz w:val="20"/>
          <w:szCs w:val="20"/>
        </w:rPr>
        <w:t>Volumen</w:t>
      </w:r>
      <w:r w:rsidR="007918F1" w:rsidRPr="000B573D">
        <w:rPr>
          <w:rFonts w:ascii="Cambria" w:hAnsi="Cambria" w:cs="Arial"/>
          <w:sz w:val="20"/>
          <w:szCs w:val="20"/>
        </w:rPr>
        <w:t xml:space="preserve">therapie </w:t>
      </w:r>
      <w:r w:rsidRPr="00DC4B69">
        <w:rPr>
          <w:rFonts w:ascii="Cambria" w:hAnsi="Cambria" w:cs="Arial"/>
          <w:sz w:val="20"/>
          <w:szCs w:val="20"/>
        </w:rPr>
        <w:t>saniert</w:t>
      </w:r>
      <w:r w:rsidR="00447357" w:rsidRPr="00207748">
        <w:rPr>
          <w:rFonts w:ascii="Cambria" w:hAnsi="Cambria" w:cs="Arial"/>
          <w:sz w:val="20"/>
          <w:szCs w:val="20"/>
        </w:rPr>
        <w:t xml:space="preserve"> werden</w:t>
      </w:r>
      <w:r w:rsidR="0025726E" w:rsidRPr="00207748">
        <w:rPr>
          <w:rFonts w:ascii="Cambria" w:hAnsi="Cambria" w:cs="Arial"/>
          <w:sz w:val="20"/>
          <w:szCs w:val="20"/>
        </w:rPr>
        <w:t xml:space="preserve">. </w:t>
      </w:r>
      <w:r w:rsidR="00447357" w:rsidRPr="00207748">
        <w:rPr>
          <w:rFonts w:ascii="Cambria" w:eastAsia="Arial" w:hAnsi="Cambria" w:cs="Arial"/>
          <w:sz w:val="20"/>
          <w:szCs w:val="20"/>
          <w:vertAlign w:val="superscript"/>
        </w:rPr>
        <w:endnoteReference w:id="249"/>
      </w:r>
      <w:r w:rsidR="00447357" w:rsidRPr="00207748">
        <w:rPr>
          <w:rFonts w:ascii="Cambria" w:hAnsi="Cambria" w:cs="Arial"/>
          <w:sz w:val="20"/>
          <w:szCs w:val="20"/>
        </w:rPr>
        <w:t xml:space="preserve"> </w:t>
      </w:r>
      <w:r w:rsidR="00447357" w:rsidRPr="00207748">
        <w:rPr>
          <w:rFonts w:ascii="Cambria" w:eastAsia="Arial" w:hAnsi="Cambria" w:cs="Arial"/>
          <w:sz w:val="20"/>
          <w:szCs w:val="20"/>
          <w:vertAlign w:val="superscript"/>
        </w:rPr>
        <w:endnoteReference w:id="250"/>
      </w:r>
      <w:r w:rsidR="002B1061">
        <w:rPr>
          <w:rFonts w:ascii="Cambria" w:hAnsi="Cambria" w:cs="Arial"/>
          <w:sz w:val="20"/>
          <w:szCs w:val="20"/>
        </w:rPr>
        <w:t xml:space="preserve"> Ein</w:t>
      </w:r>
      <w:r w:rsidR="00447357" w:rsidRPr="00207748">
        <w:rPr>
          <w:rFonts w:ascii="Cambria" w:hAnsi="Cambria" w:cs="Arial"/>
          <w:sz w:val="20"/>
          <w:szCs w:val="20"/>
        </w:rPr>
        <w:t xml:space="preserve"> </w:t>
      </w:r>
      <w:r w:rsidR="007918F1" w:rsidRPr="00DC4B69">
        <w:rPr>
          <w:rFonts w:ascii="Cambria" w:hAnsi="Cambria" w:cs="Arial"/>
          <w:sz w:val="20"/>
          <w:szCs w:val="20"/>
        </w:rPr>
        <w:t>Zeitfenster</w:t>
      </w:r>
      <w:r w:rsidR="00447357" w:rsidRPr="00207748">
        <w:rPr>
          <w:rFonts w:ascii="Cambria" w:hAnsi="Cambria" w:cs="Arial"/>
          <w:sz w:val="20"/>
          <w:szCs w:val="20"/>
        </w:rPr>
        <w:t xml:space="preserve"> von nicht mehr als 6 bis 12 Stunden nach der Diagnose scheint in den meisten Fällen </w:t>
      </w:r>
      <w:r w:rsidR="00447357" w:rsidRPr="0044792B">
        <w:rPr>
          <w:rFonts w:ascii="Cambria" w:hAnsi="Cambria" w:cs="Arial"/>
          <w:sz w:val="20"/>
          <w:szCs w:val="20"/>
        </w:rPr>
        <w:t>auszureichen</w:t>
      </w:r>
      <w:r w:rsidR="007918F1" w:rsidRPr="00DC4B69">
        <w:rPr>
          <w:rFonts w:ascii="Cambria" w:hAnsi="Cambria" w:cs="Arial"/>
          <w:sz w:val="20"/>
          <w:szCs w:val="20"/>
        </w:rPr>
        <w:t xml:space="preserve">d zu </w:t>
      </w:r>
      <w:r w:rsidR="00447357" w:rsidRPr="00207748">
        <w:rPr>
          <w:rFonts w:ascii="Cambria" w:hAnsi="Cambria" w:cs="Arial"/>
          <w:sz w:val="20"/>
          <w:szCs w:val="20"/>
        </w:rPr>
        <w:t>sein.</w:t>
      </w:r>
    </w:p>
    <w:p w14:paraId="1E9C9948" w14:textId="2E2BD7F2" w:rsidR="00E11869" w:rsidRPr="00207748" w:rsidRDefault="00447357" w:rsidP="004454B6">
      <w:pPr>
        <w:rPr>
          <w:rFonts w:ascii="Cambria" w:eastAsia="Arial" w:hAnsi="Cambria" w:cs="Arial"/>
          <w:sz w:val="20"/>
          <w:szCs w:val="20"/>
        </w:rPr>
      </w:pPr>
      <w:r w:rsidRPr="00207748">
        <w:rPr>
          <w:rFonts w:ascii="Cambria" w:hAnsi="Cambria" w:cs="Arial"/>
          <w:sz w:val="20"/>
          <w:szCs w:val="20"/>
        </w:rPr>
        <w:t xml:space="preserve">Die klinische Erfahrung </w:t>
      </w:r>
      <w:r w:rsidR="007918F1" w:rsidRPr="00DC4B69">
        <w:rPr>
          <w:rFonts w:ascii="Cambria" w:hAnsi="Cambria" w:cs="Arial"/>
          <w:sz w:val="20"/>
          <w:szCs w:val="20"/>
        </w:rPr>
        <w:t>hat gezeigt</w:t>
      </w:r>
      <w:r w:rsidRPr="00207748">
        <w:rPr>
          <w:rFonts w:ascii="Cambria" w:hAnsi="Cambria" w:cs="Arial"/>
          <w:sz w:val="20"/>
          <w:szCs w:val="20"/>
        </w:rPr>
        <w:t xml:space="preserve">, dass </w:t>
      </w:r>
      <w:r w:rsidR="00823254" w:rsidRPr="0044792B">
        <w:rPr>
          <w:rFonts w:ascii="Cambria" w:hAnsi="Cambria" w:cs="Arial"/>
          <w:sz w:val="20"/>
          <w:szCs w:val="20"/>
        </w:rPr>
        <w:t xml:space="preserve">auch bei schwerstkranken Patienten eine Stabilisierung </w:t>
      </w:r>
      <w:r w:rsidR="00F41E95" w:rsidRPr="0044792B">
        <w:rPr>
          <w:rFonts w:ascii="Cambria" w:hAnsi="Cambria" w:cs="Arial"/>
          <w:sz w:val="20"/>
          <w:szCs w:val="20"/>
        </w:rPr>
        <w:t>nur durch</w:t>
      </w:r>
      <w:r w:rsidR="002B1061">
        <w:rPr>
          <w:rFonts w:ascii="Cambria" w:hAnsi="Cambria" w:cs="Arial"/>
          <w:sz w:val="20"/>
          <w:szCs w:val="20"/>
        </w:rPr>
        <w:t xml:space="preserve"> </w:t>
      </w:r>
      <w:r w:rsidRPr="00207748">
        <w:rPr>
          <w:rFonts w:ascii="Cambria" w:hAnsi="Cambria" w:cs="Arial"/>
          <w:sz w:val="20"/>
          <w:szCs w:val="20"/>
        </w:rPr>
        <w:t xml:space="preserve">eine angemessene Fokuskontrolle </w:t>
      </w:r>
      <w:r w:rsidR="00F41E95" w:rsidRPr="00DC4B69">
        <w:rPr>
          <w:rFonts w:ascii="Cambria" w:hAnsi="Cambria" w:cs="Arial"/>
          <w:sz w:val="20"/>
          <w:szCs w:val="20"/>
        </w:rPr>
        <w:t xml:space="preserve">erreichen lässt und </w:t>
      </w:r>
      <w:r w:rsidRPr="00207748">
        <w:rPr>
          <w:rFonts w:ascii="Cambria" w:hAnsi="Cambria" w:cs="Arial"/>
          <w:sz w:val="20"/>
          <w:szCs w:val="20"/>
        </w:rPr>
        <w:t>nicht</w:t>
      </w:r>
      <w:r w:rsidR="002B1061">
        <w:rPr>
          <w:rFonts w:ascii="Cambria" w:hAnsi="Cambria" w:cs="Arial"/>
          <w:sz w:val="20"/>
          <w:szCs w:val="20"/>
        </w:rPr>
        <w:t xml:space="preserve"> </w:t>
      </w:r>
      <w:r w:rsidR="00823254" w:rsidRPr="00DC4B69">
        <w:rPr>
          <w:rFonts w:ascii="Cambria" w:hAnsi="Cambria" w:cs="Arial"/>
          <w:sz w:val="20"/>
          <w:szCs w:val="20"/>
        </w:rPr>
        <w:t xml:space="preserve">durch </w:t>
      </w:r>
      <w:r w:rsidR="00823254" w:rsidRPr="00DC4B69">
        <w:rPr>
          <w:rFonts w:ascii="Cambria" w:hAnsi="Cambria" w:cs="Arial"/>
          <w:sz w:val="20"/>
          <w:szCs w:val="20"/>
        </w:rPr>
        <w:lastRenderedPageBreak/>
        <w:t>eine Erweiterung von supportiven</w:t>
      </w:r>
      <w:r w:rsidRPr="00207748">
        <w:rPr>
          <w:rFonts w:ascii="Cambria" w:hAnsi="Cambria" w:cs="Arial"/>
          <w:sz w:val="20"/>
          <w:szCs w:val="20"/>
        </w:rPr>
        <w:t xml:space="preserve"> oder </w:t>
      </w:r>
      <w:r w:rsidR="00823254" w:rsidRPr="00DC4B69">
        <w:rPr>
          <w:rFonts w:ascii="Cambria" w:hAnsi="Cambria" w:cs="Arial"/>
          <w:sz w:val="20"/>
          <w:szCs w:val="20"/>
        </w:rPr>
        <w:t>ant</w:t>
      </w:r>
      <w:r w:rsidR="002B1061">
        <w:rPr>
          <w:rFonts w:ascii="Cambria" w:hAnsi="Cambria" w:cs="Arial"/>
          <w:sz w:val="20"/>
          <w:szCs w:val="20"/>
        </w:rPr>
        <w:t>imikrobiellen Massnahmen allein</w:t>
      </w:r>
      <w:r w:rsidR="006F0117" w:rsidRPr="00A70A21">
        <w:rPr>
          <w:rFonts w:ascii="Cambria" w:hAnsi="Cambria" w:cs="Arial"/>
          <w:sz w:val="20"/>
          <w:szCs w:val="20"/>
        </w:rPr>
        <w:t>.</w:t>
      </w:r>
      <w:r w:rsidR="006F0117" w:rsidRPr="00207748">
        <w:rPr>
          <w:rFonts w:ascii="Cambria" w:hAnsi="Cambria" w:cs="Arial"/>
          <w:sz w:val="20"/>
          <w:szCs w:val="20"/>
        </w:rPr>
        <w:t xml:space="preserve"> </w:t>
      </w:r>
      <w:r w:rsidRPr="00207748">
        <w:rPr>
          <w:rFonts w:ascii="Cambria" w:eastAsia="Arial" w:hAnsi="Cambria" w:cs="Arial"/>
          <w:sz w:val="20"/>
          <w:szCs w:val="20"/>
          <w:vertAlign w:val="superscript"/>
        </w:rPr>
        <w:endnoteReference w:id="251"/>
      </w:r>
    </w:p>
    <w:p w14:paraId="3C1EE2C8" w14:textId="38B5609B" w:rsidR="00E11869" w:rsidRPr="00207748" w:rsidRDefault="00447357" w:rsidP="004454B6">
      <w:pPr>
        <w:rPr>
          <w:rFonts w:ascii="Cambria" w:eastAsia="Arial" w:hAnsi="Cambria" w:cs="Arial"/>
          <w:sz w:val="20"/>
          <w:szCs w:val="20"/>
        </w:rPr>
      </w:pPr>
      <w:r w:rsidRPr="00207748">
        <w:rPr>
          <w:rFonts w:ascii="Cambria" w:hAnsi="Cambria" w:cs="Arial"/>
          <w:sz w:val="20"/>
          <w:szCs w:val="20"/>
        </w:rPr>
        <w:t xml:space="preserve">Bei der Auswahl von </w:t>
      </w:r>
      <w:r w:rsidR="00F41E95" w:rsidRPr="00DC4B69">
        <w:rPr>
          <w:rFonts w:ascii="Cambria" w:hAnsi="Cambria" w:cs="Arial"/>
          <w:sz w:val="20"/>
          <w:szCs w:val="20"/>
        </w:rPr>
        <w:t>geeigneten Massnahmen zur Fokuskontrolle</w:t>
      </w:r>
      <w:r w:rsidR="002B1061">
        <w:rPr>
          <w:rFonts w:ascii="Cambria" w:hAnsi="Cambria" w:cs="Arial"/>
          <w:sz w:val="20"/>
          <w:szCs w:val="20"/>
        </w:rPr>
        <w:t xml:space="preserve"> </w:t>
      </w:r>
      <w:r w:rsidRPr="00207748">
        <w:rPr>
          <w:rFonts w:ascii="Cambria" w:hAnsi="Cambria" w:cs="Arial"/>
          <w:sz w:val="20"/>
          <w:szCs w:val="20"/>
        </w:rPr>
        <w:t xml:space="preserve">müssen die Vorteile und Risiken einer spezifischen Intervention, das mit </w:t>
      </w:r>
      <w:r w:rsidR="00F41E95" w:rsidRPr="00DC4B69">
        <w:rPr>
          <w:rFonts w:ascii="Cambria" w:hAnsi="Cambria" w:cs="Arial"/>
          <w:sz w:val="20"/>
          <w:szCs w:val="20"/>
        </w:rPr>
        <w:t xml:space="preserve">der Intervention verbundene </w:t>
      </w:r>
      <w:r w:rsidR="00F41E95" w:rsidRPr="000B573D">
        <w:rPr>
          <w:rFonts w:ascii="Cambria" w:hAnsi="Cambria" w:cs="Arial"/>
          <w:sz w:val="20"/>
          <w:szCs w:val="20"/>
        </w:rPr>
        <w:t>Tran</w:t>
      </w:r>
      <w:r w:rsidR="00F41E95" w:rsidRPr="0044792B">
        <w:rPr>
          <w:rFonts w:ascii="Cambria" w:hAnsi="Cambria" w:cs="Arial"/>
          <w:sz w:val="20"/>
          <w:szCs w:val="20"/>
        </w:rPr>
        <w:t>s</w:t>
      </w:r>
      <w:r w:rsidR="00F41E95" w:rsidRPr="00DC4B69">
        <w:rPr>
          <w:rFonts w:ascii="Cambria" w:hAnsi="Cambria" w:cs="Arial"/>
          <w:sz w:val="20"/>
          <w:szCs w:val="20"/>
        </w:rPr>
        <w:t>port</w:t>
      </w:r>
      <w:r w:rsidR="00F41E95" w:rsidRPr="000B573D">
        <w:rPr>
          <w:rFonts w:ascii="Cambria" w:hAnsi="Cambria" w:cs="Arial"/>
          <w:sz w:val="20"/>
          <w:szCs w:val="20"/>
        </w:rPr>
        <w:t>risiko</w:t>
      </w:r>
      <w:r w:rsidRPr="00207748">
        <w:rPr>
          <w:rFonts w:ascii="Cambria" w:hAnsi="Cambria" w:cs="Arial"/>
          <w:sz w:val="20"/>
          <w:szCs w:val="20"/>
        </w:rPr>
        <w:t xml:space="preserve"> und die Erfolgswahrscheinlichkeit der betreffenden Maßnahme abgewogen werden. </w:t>
      </w:r>
      <w:r w:rsidR="00F41E95" w:rsidRPr="00DC4B69">
        <w:rPr>
          <w:rFonts w:ascii="Cambria" w:hAnsi="Cambria" w:cs="Arial"/>
          <w:sz w:val="20"/>
          <w:szCs w:val="20"/>
        </w:rPr>
        <w:t>Die Interventionen</w:t>
      </w:r>
      <w:r w:rsidR="002B1061">
        <w:rPr>
          <w:rFonts w:ascii="Cambria" w:hAnsi="Cambria" w:cs="Arial"/>
          <w:sz w:val="20"/>
          <w:szCs w:val="20"/>
        </w:rPr>
        <w:t xml:space="preserve"> </w:t>
      </w:r>
      <w:r w:rsidRPr="00207748">
        <w:rPr>
          <w:rFonts w:ascii="Cambria" w:hAnsi="Cambria" w:cs="Arial"/>
          <w:sz w:val="20"/>
          <w:szCs w:val="20"/>
        </w:rPr>
        <w:t xml:space="preserve">können weitere Komplikationen verursachen, wie z.B. Blutungen, Fisteln oder versehentliche Organverletzungen. Im Allgemeinen sollte die am wenigsten invasive Option </w:t>
      </w:r>
      <w:r w:rsidR="00F41E95" w:rsidRPr="00DC4B69">
        <w:rPr>
          <w:rFonts w:ascii="Cambria" w:hAnsi="Cambria" w:cs="Arial"/>
          <w:sz w:val="20"/>
          <w:szCs w:val="20"/>
        </w:rPr>
        <w:t>angestrebt</w:t>
      </w:r>
      <w:r w:rsidR="002B1061">
        <w:rPr>
          <w:rFonts w:ascii="Cambria" w:hAnsi="Cambria" w:cs="Arial"/>
          <w:sz w:val="20"/>
          <w:szCs w:val="20"/>
        </w:rPr>
        <w:t xml:space="preserve"> </w:t>
      </w:r>
      <w:r w:rsidRPr="00207748">
        <w:rPr>
          <w:rFonts w:ascii="Cambria" w:hAnsi="Cambria" w:cs="Arial"/>
          <w:sz w:val="20"/>
          <w:szCs w:val="20"/>
        </w:rPr>
        <w:t xml:space="preserve">werden. Ein offener chirurgischer Eingriff sollte in Betracht gezogen werden, wenn andere Interventionsansätze nicht geeignet sind oder nicht zeitgerecht zur Verfügung </w:t>
      </w:r>
      <w:r w:rsidR="00F41E95" w:rsidRPr="00DC4B69">
        <w:rPr>
          <w:rFonts w:ascii="Cambria" w:hAnsi="Cambria" w:cs="Arial"/>
          <w:sz w:val="20"/>
          <w:szCs w:val="20"/>
        </w:rPr>
        <w:t>stehen</w:t>
      </w:r>
      <w:r w:rsidRPr="00923DD6">
        <w:rPr>
          <w:rFonts w:ascii="Cambria" w:hAnsi="Cambria" w:cs="Arial"/>
          <w:sz w:val="20"/>
          <w:szCs w:val="20"/>
        </w:rPr>
        <w:t>.</w:t>
      </w:r>
      <w:r w:rsidRPr="00207748">
        <w:rPr>
          <w:rFonts w:ascii="Cambria" w:hAnsi="Cambria" w:cs="Arial"/>
          <w:sz w:val="20"/>
          <w:szCs w:val="20"/>
        </w:rPr>
        <w:t xml:space="preserve"> Eine chirurgische Exploration kann auch indiziert sein, wenn </w:t>
      </w:r>
      <w:r w:rsidR="00923DD6" w:rsidRPr="00DC4B69">
        <w:rPr>
          <w:rFonts w:ascii="Cambria" w:hAnsi="Cambria" w:cs="Arial"/>
          <w:sz w:val="20"/>
          <w:szCs w:val="20"/>
        </w:rPr>
        <w:t xml:space="preserve">der Infektionsherd trotz erfolgter Bildgebung nicht gesichert werden kann. </w:t>
      </w: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883"/>
        <w:gridCol w:w="1651"/>
        <w:gridCol w:w="799"/>
      </w:tblGrid>
      <w:tr w:rsidR="00E11869" w:rsidRPr="00207748" w14:paraId="5E48A73E" w14:textId="77777777" w:rsidTr="00B26F79">
        <w:trPr>
          <w:trHeight w:val="282"/>
        </w:trPr>
        <w:tc>
          <w:tcPr>
            <w:tcW w:w="2173"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07EEF44B"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t>E.2</w:t>
            </w:r>
          </w:p>
        </w:tc>
        <w:tc>
          <w:tcPr>
            <w:tcW w:w="1905"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751E885B"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 xml:space="preserve">Empfehlung </w:t>
            </w:r>
          </w:p>
        </w:tc>
        <w:tc>
          <w:tcPr>
            <w:tcW w:w="922"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2F620438"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2018</w:t>
            </w:r>
          </w:p>
        </w:tc>
      </w:tr>
      <w:tr w:rsidR="00E11869" w:rsidRPr="00207748" w14:paraId="2804B0EA" w14:textId="77777777" w:rsidTr="00B26F79">
        <w:trPr>
          <w:trHeight w:val="2802"/>
        </w:trPr>
        <w:tc>
          <w:tcPr>
            <w:tcW w:w="2173"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44D9A1"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Expertenkonsens</w:t>
            </w:r>
          </w:p>
        </w:tc>
        <w:tc>
          <w:tcPr>
            <w:tcW w:w="282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DC2BE"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Wir empfehlen das unverzügliche Entfernen intravaskulärer Zugänge, die einen möglichen Ausgangspunkt für die Sepsis oder den septischen Schock darstellen.</w:t>
            </w:r>
          </w:p>
        </w:tc>
      </w:tr>
      <w:tr w:rsidR="00E11869" w:rsidRPr="00207748" w14:paraId="486FEF74" w14:textId="77777777" w:rsidTr="00B26F79">
        <w:trPr>
          <w:trHeight w:val="562"/>
        </w:trPr>
        <w:tc>
          <w:tcPr>
            <w:tcW w:w="2173" w:type="pct"/>
            <w:vMerge/>
            <w:tcBorders>
              <w:top w:val="single" w:sz="4" w:space="0" w:color="000000"/>
              <w:left w:val="single" w:sz="4" w:space="0" w:color="000000"/>
              <w:bottom w:val="single" w:sz="4" w:space="0" w:color="000000"/>
              <w:right w:val="single" w:sz="4" w:space="0" w:color="000000"/>
            </w:tcBorders>
            <w:shd w:val="clear" w:color="auto" w:fill="auto"/>
          </w:tcPr>
          <w:p w14:paraId="5703DC32" w14:textId="77777777" w:rsidR="00E11869" w:rsidRPr="00207748" w:rsidRDefault="00E11869" w:rsidP="004454B6">
            <w:pPr>
              <w:rPr>
                <w:rFonts w:ascii="Cambria" w:hAnsi="Cambria" w:cs="Arial"/>
                <w:sz w:val="20"/>
                <w:szCs w:val="20"/>
              </w:rPr>
            </w:pPr>
          </w:p>
        </w:tc>
        <w:tc>
          <w:tcPr>
            <w:tcW w:w="282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35490" w14:textId="77777777" w:rsidR="00E11869" w:rsidRPr="00207748" w:rsidRDefault="00342FB3" w:rsidP="004454B6">
            <w:pPr>
              <w:spacing w:after="0"/>
              <w:rPr>
                <w:rFonts w:ascii="Cambria" w:hAnsi="Cambria" w:cs="Arial"/>
                <w:sz w:val="20"/>
                <w:szCs w:val="20"/>
              </w:rPr>
            </w:pPr>
            <w:r w:rsidRPr="00207748">
              <w:rPr>
                <w:rFonts w:ascii="Cambria" w:hAnsi="Cambria" w:cs="Arial"/>
                <w:b/>
                <w:bCs/>
                <w:sz w:val="20"/>
                <w:szCs w:val="20"/>
              </w:rPr>
              <w:t>SSC-</w:t>
            </w:r>
            <w:r w:rsidR="00447357" w:rsidRPr="00207748">
              <w:rPr>
                <w:rFonts w:ascii="Cambria" w:hAnsi="Cambria" w:cs="Arial"/>
                <w:b/>
                <w:bCs/>
                <w:sz w:val="20"/>
                <w:szCs w:val="20"/>
              </w:rPr>
              <w:t xml:space="preserve">Leitlinienadaptation </w:t>
            </w:r>
          </w:p>
        </w:tc>
      </w:tr>
      <w:tr w:rsidR="00E11869" w:rsidRPr="00207748" w14:paraId="28F52710" w14:textId="77777777" w:rsidTr="00B26F79">
        <w:trPr>
          <w:trHeight w:val="282"/>
        </w:trPr>
        <w:tc>
          <w:tcPr>
            <w:tcW w:w="21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21880" w14:textId="77777777" w:rsidR="00E11869" w:rsidRPr="00207748" w:rsidRDefault="00E11869" w:rsidP="004454B6">
            <w:pPr>
              <w:rPr>
                <w:rFonts w:ascii="Cambria" w:hAnsi="Cambria" w:cs="Arial"/>
                <w:sz w:val="20"/>
                <w:szCs w:val="20"/>
              </w:rPr>
            </w:pPr>
          </w:p>
        </w:tc>
        <w:tc>
          <w:tcPr>
            <w:tcW w:w="282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2946E" w14:textId="77777777" w:rsidR="00E11869" w:rsidRPr="00207748" w:rsidRDefault="00447357" w:rsidP="004454B6">
            <w:pPr>
              <w:spacing w:after="0"/>
              <w:rPr>
                <w:rFonts w:ascii="Cambria" w:hAnsi="Cambria" w:cs="Arial"/>
                <w:sz w:val="20"/>
                <w:szCs w:val="20"/>
              </w:rPr>
            </w:pPr>
            <w:r w:rsidRPr="00207748">
              <w:rPr>
                <w:rFonts w:ascii="Cambria" w:hAnsi="Cambria" w:cs="Arial"/>
                <w:sz w:val="20"/>
                <w:szCs w:val="20"/>
              </w:rPr>
              <w:t>Konsensstärke: 100 %</w:t>
            </w:r>
          </w:p>
        </w:tc>
      </w:tr>
    </w:tbl>
    <w:p w14:paraId="43C7615B" w14:textId="77777777" w:rsidR="00963061" w:rsidRPr="00207748" w:rsidRDefault="00963061" w:rsidP="004454B6">
      <w:pPr>
        <w:rPr>
          <w:rFonts w:ascii="Cambria" w:eastAsia="Arial" w:hAnsi="Cambria" w:cs="Arial"/>
          <w:iCs/>
          <w:sz w:val="20"/>
          <w:szCs w:val="20"/>
        </w:rPr>
      </w:pPr>
    </w:p>
    <w:p w14:paraId="52EEB374" w14:textId="68A2C0D8" w:rsidR="00963061" w:rsidRPr="00207748" w:rsidRDefault="00515F25" w:rsidP="00FB33A2">
      <w:pPr>
        <w:rPr>
          <w:rFonts w:ascii="Cambria" w:eastAsia="Arial" w:hAnsi="Cambria" w:cs="Arial"/>
          <w:sz w:val="20"/>
          <w:szCs w:val="20"/>
        </w:rPr>
      </w:pPr>
      <w:r w:rsidRPr="00207748">
        <w:rPr>
          <w:rFonts w:ascii="Cambria" w:hAnsi="Cambria" w:cs="Arial"/>
          <w:b/>
          <w:sz w:val="20"/>
          <w:szCs w:val="20"/>
        </w:rPr>
        <w:t xml:space="preserve">Begründung: </w:t>
      </w:r>
      <w:r w:rsidR="00447357" w:rsidRPr="00923DD6">
        <w:rPr>
          <w:rFonts w:ascii="Cambria" w:hAnsi="Cambria" w:cs="Arial"/>
          <w:sz w:val="20"/>
          <w:szCs w:val="20"/>
        </w:rPr>
        <w:t>Intravas</w:t>
      </w:r>
      <w:r w:rsidR="00923DD6" w:rsidRPr="00DC4B69">
        <w:rPr>
          <w:rFonts w:ascii="Cambria" w:hAnsi="Cambria" w:cs="Arial"/>
          <w:sz w:val="20"/>
          <w:szCs w:val="20"/>
        </w:rPr>
        <w:t>ale</w:t>
      </w:r>
      <w:r w:rsidR="00447357" w:rsidRPr="00207748">
        <w:rPr>
          <w:rFonts w:ascii="Cambria" w:hAnsi="Cambria" w:cs="Arial"/>
          <w:sz w:val="20"/>
          <w:szCs w:val="20"/>
        </w:rPr>
        <w:t xml:space="preserve"> Zugänge wie zentrale Venenkatheter können </w:t>
      </w:r>
      <w:r w:rsidR="00923DD6" w:rsidRPr="00DC4B69">
        <w:rPr>
          <w:rFonts w:ascii="Cambria" w:hAnsi="Cambria" w:cs="Arial"/>
          <w:sz w:val="20"/>
          <w:szCs w:val="20"/>
        </w:rPr>
        <w:t>Ausgangspunkt</w:t>
      </w:r>
      <w:r w:rsidR="00447357" w:rsidRPr="00207748">
        <w:rPr>
          <w:rFonts w:ascii="Cambria" w:hAnsi="Cambria" w:cs="Arial"/>
          <w:sz w:val="20"/>
          <w:szCs w:val="20"/>
        </w:rPr>
        <w:t xml:space="preserve"> einer Sepsis oder eines septischen Schocks sein. Ein </w:t>
      </w:r>
      <w:r w:rsidR="00447357" w:rsidRPr="007A4486">
        <w:rPr>
          <w:rFonts w:ascii="Cambria" w:hAnsi="Cambria" w:cs="Arial"/>
          <w:sz w:val="20"/>
          <w:szCs w:val="20"/>
        </w:rPr>
        <w:t>intravas</w:t>
      </w:r>
      <w:r w:rsidR="00923DD6" w:rsidRPr="00DC4B69">
        <w:rPr>
          <w:rFonts w:ascii="Cambria" w:hAnsi="Cambria" w:cs="Arial"/>
          <w:sz w:val="20"/>
          <w:szCs w:val="20"/>
        </w:rPr>
        <w:t>aler</w:t>
      </w:r>
      <w:r w:rsidR="00447357" w:rsidRPr="00207748">
        <w:rPr>
          <w:rFonts w:ascii="Cambria" w:hAnsi="Cambria" w:cs="Arial"/>
          <w:sz w:val="20"/>
          <w:szCs w:val="20"/>
        </w:rPr>
        <w:t xml:space="preserve"> Zugang, sollte im Allgemeinen unverzüglich entfernt werden, nachdem </w:t>
      </w:r>
      <w:r w:rsidR="00447357" w:rsidRPr="00923DD6">
        <w:rPr>
          <w:rFonts w:ascii="Cambria" w:hAnsi="Cambria" w:cs="Arial"/>
          <w:sz w:val="20"/>
          <w:szCs w:val="20"/>
        </w:rPr>
        <w:t>ein andere</w:t>
      </w:r>
      <w:r w:rsidR="00923DD6" w:rsidRPr="00DC4B69">
        <w:rPr>
          <w:rFonts w:ascii="Cambria" w:hAnsi="Cambria" w:cs="Arial"/>
          <w:sz w:val="20"/>
          <w:szCs w:val="20"/>
        </w:rPr>
        <w:t>r</w:t>
      </w:r>
      <w:r w:rsidR="00447357" w:rsidRPr="00923DD6">
        <w:rPr>
          <w:rFonts w:ascii="Cambria" w:hAnsi="Cambria" w:cs="Arial"/>
          <w:sz w:val="20"/>
          <w:szCs w:val="20"/>
        </w:rPr>
        <w:t xml:space="preserve"> </w:t>
      </w:r>
      <w:r w:rsidR="00923DD6" w:rsidRPr="00DC4B69">
        <w:rPr>
          <w:rFonts w:ascii="Cambria" w:hAnsi="Cambria" w:cs="Arial"/>
          <w:sz w:val="20"/>
          <w:szCs w:val="20"/>
        </w:rPr>
        <w:t>intravasaler Zugang gelegt</w:t>
      </w:r>
      <w:r w:rsidR="00447357" w:rsidRPr="00207748">
        <w:rPr>
          <w:rFonts w:ascii="Cambria" w:hAnsi="Cambria" w:cs="Arial"/>
          <w:sz w:val="20"/>
          <w:szCs w:val="20"/>
        </w:rPr>
        <w:t xml:space="preserve"> wurde. </w:t>
      </w:r>
      <w:r w:rsidR="00923DD6" w:rsidRPr="00DC4B69">
        <w:rPr>
          <w:rFonts w:ascii="Cambria" w:hAnsi="Cambria" w:cs="Arial"/>
          <w:sz w:val="20"/>
          <w:szCs w:val="20"/>
        </w:rPr>
        <w:t>Patienten mit</w:t>
      </w:r>
      <w:r w:rsidR="00447357" w:rsidRPr="00207748">
        <w:rPr>
          <w:rFonts w:ascii="Cambria" w:hAnsi="Cambria" w:cs="Arial"/>
          <w:sz w:val="20"/>
          <w:szCs w:val="20"/>
        </w:rPr>
        <w:t xml:space="preserve"> implantierten</w:t>
      </w:r>
      <w:r w:rsidR="00923DD6" w:rsidRPr="00DC4B69">
        <w:rPr>
          <w:rFonts w:ascii="Cambria" w:hAnsi="Cambria" w:cs="Arial"/>
          <w:sz w:val="20"/>
          <w:szCs w:val="20"/>
        </w:rPr>
        <w:t xml:space="preserve">, getunnelten Kathetern können </w:t>
      </w:r>
      <w:r w:rsidR="00447357" w:rsidRPr="00207748">
        <w:rPr>
          <w:rFonts w:ascii="Cambria" w:hAnsi="Cambria" w:cs="Arial"/>
          <w:sz w:val="20"/>
          <w:szCs w:val="20"/>
        </w:rPr>
        <w:t xml:space="preserve">mit einer längeren </w:t>
      </w:r>
      <w:r w:rsidR="00447357" w:rsidRPr="00EF1A9E">
        <w:rPr>
          <w:rFonts w:ascii="Cambria" w:hAnsi="Cambria" w:cs="Arial"/>
          <w:sz w:val="20"/>
          <w:szCs w:val="20"/>
        </w:rPr>
        <w:t xml:space="preserve">antimikrobiellen Therapie behandelt werden, </w:t>
      </w:r>
      <w:r w:rsidR="00447357" w:rsidRPr="00EF1A9E">
        <w:rPr>
          <w:rFonts w:ascii="Cambria" w:hAnsi="Cambria" w:cs="Arial"/>
          <w:sz w:val="20"/>
          <w:szCs w:val="20"/>
        </w:rPr>
        <w:lastRenderedPageBreak/>
        <w:t xml:space="preserve">falls </w:t>
      </w:r>
      <w:r w:rsidR="00923DD6" w:rsidRPr="00EF1A9E">
        <w:rPr>
          <w:rFonts w:ascii="Cambria" w:hAnsi="Cambria" w:cs="Arial"/>
          <w:sz w:val="20"/>
          <w:szCs w:val="20"/>
        </w:rPr>
        <w:t>kein septischer Schock oder eine Fungämie vorliegt und eine</w:t>
      </w:r>
      <w:r w:rsidR="00447357" w:rsidRPr="00EF1A9E">
        <w:rPr>
          <w:rFonts w:ascii="Cambria" w:hAnsi="Cambria" w:cs="Arial"/>
          <w:sz w:val="20"/>
          <w:szCs w:val="20"/>
        </w:rPr>
        <w:t xml:space="preserve"> Entfernung des Katheters nicht </w:t>
      </w:r>
      <w:r w:rsidR="00923DD6" w:rsidRPr="00EF1A9E">
        <w:rPr>
          <w:rFonts w:ascii="Cambria" w:hAnsi="Cambria" w:cs="Arial"/>
          <w:sz w:val="20"/>
          <w:szCs w:val="20"/>
        </w:rPr>
        <w:t>praktikabel ist</w:t>
      </w:r>
      <w:r w:rsidR="006F0117" w:rsidRPr="00EF1A9E">
        <w:rPr>
          <w:rFonts w:ascii="Cambria" w:hAnsi="Cambria" w:cs="Arial"/>
          <w:sz w:val="20"/>
          <w:szCs w:val="20"/>
        </w:rPr>
        <w:t xml:space="preserve">. </w:t>
      </w:r>
      <w:r w:rsidR="00EF1A9E" w:rsidRPr="00EF1A9E">
        <w:rPr>
          <w:rFonts w:ascii="Cambria" w:hAnsi="Cambria" w:cs="Arial"/>
          <w:sz w:val="20"/>
          <w:szCs w:val="20"/>
        </w:rPr>
        <w:t>E</w:t>
      </w:r>
      <w:r w:rsidR="00447357" w:rsidRPr="00EF1A9E">
        <w:rPr>
          <w:rFonts w:ascii="Cambria" w:hAnsi="Cambria" w:cs="Arial"/>
          <w:sz w:val="20"/>
          <w:szCs w:val="20"/>
        </w:rPr>
        <w:t xml:space="preserve">ine Entfernung des Katheters </w:t>
      </w:r>
      <w:r w:rsidR="00923DD6" w:rsidRPr="00EF1A9E">
        <w:rPr>
          <w:rFonts w:ascii="Cambria" w:hAnsi="Cambria" w:cs="Arial"/>
          <w:sz w:val="20"/>
          <w:szCs w:val="20"/>
        </w:rPr>
        <w:t>ist primär jedoch immer anzustreben.</w:t>
      </w:r>
      <w:r w:rsidR="00923DD6" w:rsidRPr="00DC4B69">
        <w:rPr>
          <w:rFonts w:ascii="Cambria" w:hAnsi="Cambria" w:cs="Arial"/>
          <w:sz w:val="20"/>
          <w:szCs w:val="20"/>
        </w:rPr>
        <w:t xml:space="preserve"> </w:t>
      </w:r>
      <w:bookmarkStart w:id="385" w:name="_Toc25845113"/>
    </w:p>
    <w:p w14:paraId="46D9587E" w14:textId="3F5F3BDA" w:rsidR="00E11869" w:rsidRPr="00182D07" w:rsidRDefault="00447357" w:rsidP="004454B6">
      <w:pPr>
        <w:pStyle w:val="berschrift2"/>
        <w:rPr>
          <w:b w:val="0"/>
        </w:rPr>
      </w:pPr>
      <w:bookmarkStart w:id="386" w:name="_Toc437861461"/>
      <w:bookmarkStart w:id="387" w:name="_Toc31278499"/>
      <w:r w:rsidRPr="00182D07">
        <w:t>F. Flüssigkeitstherapie</w:t>
      </w:r>
      <w:bookmarkEnd w:id="385"/>
      <w:bookmarkEnd w:id="386"/>
      <w:bookmarkEnd w:id="387"/>
    </w:p>
    <w:p w14:paraId="1B24C273" w14:textId="77777777" w:rsidR="00E11869" w:rsidRPr="00207748" w:rsidRDefault="00E11869" w:rsidP="00FB33A2">
      <w:pPr>
        <w:pStyle w:val="KeinLeerraum"/>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883"/>
        <w:gridCol w:w="1668"/>
        <w:gridCol w:w="782"/>
      </w:tblGrid>
      <w:tr w:rsidR="00E11869" w:rsidRPr="00207748" w14:paraId="28188FCF" w14:textId="77777777" w:rsidTr="00B26F79">
        <w:trPr>
          <w:trHeight w:val="282"/>
        </w:trPr>
        <w:tc>
          <w:tcPr>
            <w:tcW w:w="2173"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C448619"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F.1</w:t>
            </w:r>
          </w:p>
        </w:tc>
        <w:tc>
          <w:tcPr>
            <w:tcW w:w="1925"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1BD9627F"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Empfehlung</w:t>
            </w:r>
          </w:p>
        </w:tc>
        <w:tc>
          <w:tcPr>
            <w:tcW w:w="903"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7DA46DE3"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2018</w:t>
            </w:r>
          </w:p>
        </w:tc>
      </w:tr>
      <w:tr w:rsidR="00E11869" w:rsidRPr="00207748" w14:paraId="4C2DC636" w14:textId="77777777" w:rsidTr="00B26F79">
        <w:trPr>
          <w:trHeight w:val="2542"/>
        </w:trPr>
        <w:tc>
          <w:tcPr>
            <w:tcW w:w="2173"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51B2DE" w14:textId="77777777" w:rsidR="00E11869" w:rsidRPr="00207748" w:rsidRDefault="00447357" w:rsidP="004454B6">
            <w:pPr>
              <w:rPr>
                <w:rFonts w:ascii="Cambria" w:hAnsi="Cambria" w:cs="Arial"/>
                <w:sz w:val="20"/>
                <w:szCs w:val="20"/>
              </w:rPr>
            </w:pPr>
            <w:r w:rsidRPr="00207748">
              <w:rPr>
                <w:rFonts w:ascii="Cambria" w:hAnsi="Cambria" w:cs="Arial"/>
                <w:b/>
                <w:bCs/>
                <w:sz w:val="20"/>
                <w:szCs w:val="20"/>
              </w:rPr>
              <w:t>Expertenkonsens</w:t>
            </w:r>
          </w:p>
        </w:tc>
        <w:tc>
          <w:tcPr>
            <w:tcW w:w="282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7D11B" w14:textId="0D1D4519" w:rsidR="00E11869" w:rsidRPr="00207748" w:rsidRDefault="00447357" w:rsidP="004454B6">
            <w:pPr>
              <w:spacing w:after="0"/>
              <w:rPr>
                <w:rFonts w:ascii="Cambria" w:hAnsi="Cambria" w:cs="Arial"/>
                <w:sz w:val="20"/>
                <w:szCs w:val="20"/>
              </w:rPr>
            </w:pPr>
            <w:r w:rsidRPr="00207748">
              <w:rPr>
                <w:rFonts w:ascii="Cambria" w:hAnsi="Cambria" w:cs="Arial"/>
                <w:b/>
                <w:bCs/>
                <w:spacing w:val="-4"/>
                <w:sz w:val="20"/>
                <w:szCs w:val="20"/>
              </w:rPr>
              <w:t>Wir empfehlen, dass eine Flüssigkeits</w:t>
            </w:r>
            <w:r w:rsidR="00B26F79">
              <w:rPr>
                <w:rFonts w:ascii="Cambria" w:hAnsi="Cambria" w:cs="Arial"/>
                <w:b/>
                <w:bCs/>
                <w:spacing w:val="-4"/>
                <w:sz w:val="20"/>
                <w:szCs w:val="20"/>
              </w:rPr>
              <w:t>-</w:t>
            </w:r>
            <w:r w:rsidRPr="00207748">
              <w:rPr>
                <w:rFonts w:ascii="Cambria" w:hAnsi="Cambria" w:cs="Arial"/>
                <w:b/>
                <w:bCs/>
                <w:spacing w:val="-4"/>
                <w:sz w:val="20"/>
                <w:szCs w:val="20"/>
              </w:rPr>
              <w:t>therapie nach dem „Fluid-Challenge“-Prinzip angewendet wird, bei der die Flüssigkeitsgabe fortgesetzt wird, solange Zeiche</w:t>
            </w:r>
            <w:r w:rsidR="00B20D2B" w:rsidRPr="00207748">
              <w:rPr>
                <w:rFonts w:ascii="Cambria" w:hAnsi="Cambria" w:cs="Arial"/>
                <w:b/>
                <w:bCs/>
                <w:spacing w:val="-4"/>
                <w:sz w:val="20"/>
                <w:szCs w:val="20"/>
              </w:rPr>
              <w:t>n einer Hypoperfusion vorliegen.</w:t>
            </w:r>
          </w:p>
        </w:tc>
      </w:tr>
      <w:tr w:rsidR="00E11869" w:rsidRPr="00207748" w14:paraId="62FA072E" w14:textId="77777777" w:rsidTr="00B26F79">
        <w:trPr>
          <w:trHeight w:val="562"/>
        </w:trPr>
        <w:tc>
          <w:tcPr>
            <w:tcW w:w="2173" w:type="pct"/>
            <w:vMerge/>
            <w:tcBorders>
              <w:top w:val="single" w:sz="4" w:space="0" w:color="000000"/>
              <w:left w:val="single" w:sz="4" w:space="0" w:color="000000"/>
              <w:bottom w:val="single" w:sz="4" w:space="0" w:color="000000"/>
              <w:right w:val="single" w:sz="4" w:space="0" w:color="000000"/>
            </w:tcBorders>
            <w:shd w:val="clear" w:color="auto" w:fill="auto"/>
          </w:tcPr>
          <w:p w14:paraId="1319D173" w14:textId="77777777" w:rsidR="00E11869" w:rsidRPr="00207748" w:rsidRDefault="00E11869" w:rsidP="004454B6">
            <w:pPr>
              <w:rPr>
                <w:rFonts w:ascii="Cambria" w:hAnsi="Cambria" w:cs="Arial"/>
                <w:sz w:val="20"/>
                <w:szCs w:val="20"/>
              </w:rPr>
            </w:pPr>
          </w:p>
        </w:tc>
        <w:tc>
          <w:tcPr>
            <w:tcW w:w="282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4D55C"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SSC</w:t>
            </w:r>
            <w:r w:rsidR="00420A45" w:rsidRPr="00207748">
              <w:rPr>
                <w:rFonts w:ascii="Cambria" w:hAnsi="Cambria" w:cs="Arial"/>
                <w:b/>
                <w:bCs/>
                <w:sz w:val="20"/>
                <w:szCs w:val="20"/>
              </w:rPr>
              <w:t>-</w:t>
            </w:r>
            <w:r w:rsidRPr="00207748">
              <w:rPr>
                <w:rFonts w:ascii="Cambria" w:hAnsi="Cambria" w:cs="Arial"/>
                <w:b/>
                <w:bCs/>
                <w:sz w:val="20"/>
                <w:szCs w:val="20"/>
              </w:rPr>
              <w:t xml:space="preserve">Leitlinienmodifikation </w:t>
            </w:r>
          </w:p>
        </w:tc>
      </w:tr>
      <w:tr w:rsidR="00E11869" w:rsidRPr="00207748" w14:paraId="403CE0D1" w14:textId="77777777" w:rsidTr="00B26F79">
        <w:trPr>
          <w:trHeight w:val="282"/>
        </w:trPr>
        <w:tc>
          <w:tcPr>
            <w:tcW w:w="21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26AF8" w14:textId="77777777" w:rsidR="00E11869" w:rsidRPr="00207748" w:rsidRDefault="00E11869" w:rsidP="004454B6">
            <w:pPr>
              <w:rPr>
                <w:rFonts w:ascii="Cambria" w:hAnsi="Cambria" w:cs="Arial"/>
                <w:sz w:val="20"/>
                <w:szCs w:val="20"/>
              </w:rPr>
            </w:pPr>
          </w:p>
        </w:tc>
        <w:tc>
          <w:tcPr>
            <w:tcW w:w="282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E7E36" w14:textId="77777777" w:rsidR="00E11869" w:rsidRPr="00207748" w:rsidRDefault="00447357" w:rsidP="004454B6">
            <w:pPr>
              <w:spacing w:after="0"/>
              <w:rPr>
                <w:rFonts w:ascii="Cambria" w:hAnsi="Cambria" w:cs="Arial"/>
                <w:sz w:val="20"/>
                <w:szCs w:val="20"/>
              </w:rPr>
            </w:pPr>
            <w:r w:rsidRPr="00207748">
              <w:rPr>
                <w:rFonts w:ascii="Cambria" w:hAnsi="Cambria" w:cs="Arial"/>
                <w:sz w:val="20"/>
                <w:szCs w:val="20"/>
              </w:rPr>
              <w:t>Konsensstärke: 100 %</w:t>
            </w:r>
          </w:p>
        </w:tc>
      </w:tr>
    </w:tbl>
    <w:p w14:paraId="7A898DDC" w14:textId="05AA9E32" w:rsidR="00E11869" w:rsidRPr="00207748" w:rsidRDefault="00342FB3" w:rsidP="004454B6">
      <w:pPr>
        <w:spacing w:before="240"/>
        <w:rPr>
          <w:rFonts w:ascii="Cambria" w:eastAsia="Arial" w:hAnsi="Cambria" w:cs="Arial"/>
          <w:spacing w:val="1"/>
          <w:sz w:val="20"/>
          <w:szCs w:val="20"/>
        </w:rPr>
      </w:pPr>
      <w:r w:rsidRPr="00207748">
        <w:rPr>
          <w:rFonts w:ascii="Cambria" w:hAnsi="Cambria" w:cs="Arial"/>
          <w:b/>
          <w:bCs/>
          <w:sz w:val="20"/>
          <w:szCs w:val="20"/>
        </w:rPr>
        <w:t>Begründung</w:t>
      </w:r>
      <w:r w:rsidR="00447357" w:rsidRPr="00207748">
        <w:rPr>
          <w:rFonts w:ascii="Cambria" w:hAnsi="Cambria" w:cs="Arial"/>
          <w:b/>
          <w:bCs/>
          <w:sz w:val="20"/>
          <w:szCs w:val="20"/>
        </w:rPr>
        <w:t xml:space="preserve">: </w:t>
      </w:r>
      <w:r w:rsidR="00447357" w:rsidRPr="00207748">
        <w:rPr>
          <w:rFonts w:ascii="Cambria" w:hAnsi="Cambria" w:cs="Arial"/>
          <w:spacing w:val="1"/>
          <w:sz w:val="20"/>
          <w:szCs w:val="20"/>
        </w:rPr>
        <w:t xml:space="preserve">Die intravenöse </w:t>
      </w:r>
      <w:r w:rsidR="007A4486">
        <w:rPr>
          <w:rFonts w:ascii="Cambria" w:hAnsi="Cambria" w:cs="Arial"/>
          <w:spacing w:val="1"/>
          <w:sz w:val="20"/>
          <w:szCs w:val="20"/>
        </w:rPr>
        <w:t xml:space="preserve">Volumentherapie </w:t>
      </w:r>
      <w:r w:rsidR="00447357" w:rsidRPr="00207748">
        <w:rPr>
          <w:rFonts w:ascii="Cambria" w:hAnsi="Cambria" w:cs="Arial"/>
          <w:spacing w:val="1"/>
          <w:sz w:val="20"/>
          <w:szCs w:val="20"/>
        </w:rPr>
        <w:t xml:space="preserve">ist ein Eckpfeiler der modernen Therapie. Dennoch ist nur wenig Evidenz aus RCTs verfügbar, welche diese Praxis unterstützen würde. Eine Studie an (meist an Malaria erkrankten) Kindern in Afrika, in einer Umgebung, in der </w:t>
      </w:r>
      <w:r w:rsidR="007A4486">
        <w:rPr>
          <w:rFonts w:ascii="Cambria" w:hAnsi="Cambria" w:cs="Arial"/>
          <w:spacing w:val="1"/>
          <w:sz w:val="20"/>
          <w:szCs w:val="20"/>
        </w:rPr>
        <w:t>andere supportive Massnahmen</w:t>
      </w:r>
      <w:r w:rsidR="00447357" w:rsidRPr="00207748">
        <w:rPr>
          <w:rFonts w:ascii="Cambria" w:hAnsi="Cambria" w:cs="Arial"/>
          <w:spacing w:val="1"/>
          <w:sz w:val="20"/>
          <w:szCs w:val="20"/>
        </w:rPr>
        <w:t xml:space="preserve"> nur </w:t>
      </w:r>
      <w:r w:rsidR="007A4486">
        <w:rPr>
          <w:rFonts w:ascii="Cambria" w:hAnsi="Cambria" w:cs="Arial"/>
          <w:spacing w:val="1"/>
          <w:sz w:val="20"/>
          <w:szCs w:val="20"/>
        </w:rPr>
        <w:t xml:space="preserve">sehr </w:t>
      </w:r>
      <w:r w:rsidR="00447357" w:rsidRPr="00207748">
        <w:rPr>
          <w:rFonts w:ascii="Cambria" w:hAnsi="Cambria" w:cs="Arial"/>
          <w:spacing w:val="1"/>
          <w:sz w:val="20"/>
          <w:szCs w:val="20"/>
        </w:rPr>
        <w:t xml:space="preserve">begrenzt </w:t>
      </w:r>
      <w:r w:rsidR="007A4486">
        <w:rPr>
          <w:rFonts w:ascii="Cambria" w:hAnsi="Cambria" w:cs="Arial"/>
          <w:spacing w:val="1"/>
          <w:sz w:val="20"/>
          <w:szCs w:val="20"/>
        </w:rPr>
        <w:t>verfügbar sind</w:t>
      </w:r>
      <w:r w:rsidR="00447357" w:rsidRPr="00207748">
        <w:rPr>
          <w:rFonts w:ascii="Cambria" w:hAnsi="Cambria" w:cs="Arial"/>
          <w:spacing w:val="1"/>
          <w:sz w:val="20"/>
          <w:szCs w:val="20"/>
        </w:rPr>
        <w:t>, stellte diese Praxis in Frage</w:t>
      </w:r>
      <w:r w:rsidR="006F0117" w:rsidRPr="00207748">
        <w:rPr>
          <w:rFonts w:ascii="Cambria" w:hAnsi="Cambria" w:cs="Arial"/>
          <w:spacing w:val="1"/>
          <w:sz w:val="20"/>
          <w:szCs w:val="20"/>
        </w:rPr>
        <w:t xml:space="preserve">. </w:t>
      </w:r>
      <w:r w:rsidR="00447357" w:rsidRPr="00207748">
        <w:rPr>
          <w:rFonts w:ascii="Cambria" w:eastAsia="Arial" w:hAnsi="Cambria" w:cs="Arial"/>
          <w:spacing w:val="1"/>
          <w:sz w:val="20"/>
          <w:szCs w:val="20"/>
          <w:vertAlign w:val="superscript"/>
        </w:rPr>
        <w:endnoteReference w:id="252"/>
      </w:r>
      <w:r w:rsidR="00447357" w:rsidRPr="00207748">
        <w:rPr>
          <w:rFonts w:ascii="Cambria" w:hAnsi="Cambria" w:cs="Arial"/>
          <w:spacing w:val="1"/>
          <w:sz w:val="20"/>
          <w:szCs w:val="20"/>
        </w:rPr>
        <w:t xml:space="preserve"> Wir glauben</w:t>
      </w:r>
      <w:r w:rsidR="007A4486">
        <w:rPr>
          <w:rFonts w:ascii="Cambria" w:hAnsi="Cambria" w:cs="Arial"/>
          <w:spacing w:val="1"/>
          <w:sz w:val="20"/>
          <w:szCs w:val="20"/>
        </w:rPr>
        <w:t xml:space="preserve"> jedoch</w:t>
      </w:r>
      <w:r w:rsidR="00447357" w:rsidRPr="00207748">
        <w:rPr>
          <w:rFonts w:ascii="Cambria" w:hAnsi="Cambria" w:cs="Arial"/>
          <w:spacing w:val="1"/>
          <w:sz w:val="20"/>
          <w:szCs w:val="20"/>
        </w:rPr>
        <w:t>, dass eine Extrapolation dieser Daten in</w:t>
      </w:r>
      <w:r w:rsidR="00665775" w:rsidRPr="00207748">
        <w:rPr>
          <w:rFonts w:ascii="Cambria" w:hAnsi="Cambria" w:cs="Arial"/>
          <w:spacing w:val="1"/>
          <w:sz w:val="20"/>
          <w:szCs w:val="20"/>
        </w:rPr>
        <w:t xml:space="preserve"> Bezug auf Patienten in Region</w:t>
      </w:r>
      <w:r w:rsidR="00447357" w:rsidRPr="00207748">
        <w:rPr>
          <w:rFonts w:ascii="Cambria" w:hAnsi="Cambria" w:cs="Arial"/>
          <w:spacing w:val="1"/>
          <w:sz w:val="20"/>
          <w:szCs w:val="20"/>
        </w:rPr>
        <w:t xml:space="preserve">en mit besserer medizinischer Versorgung nicht gerechtfertigt </w:t>
      </w:r>
      <w:r w:rsidR="007A4486">
        <w:rPr>
          <w:rFonts w:ascii="Cambria" w:hAnsi="Cambria" w:cs="Arial"/>
          <w:spacing w:val="1"/>
          <w:sz w:val="20"/>
          <w:szCs w:val="20"/>
        </w:rPr>
        <w:t>ist</w:t>
      </w:r>
      <w:r w:rsidR="00665775" w:rsidRPr="00207748">
        <w:rPr>
          <w:rFonts w:ascii="Cambria" w:hAnsi="Cambria" w:cs="Arial"/>
          <w:spacing w:val="1"/>
          <w:sz w:val="20"/>
          <w:szCs w:val="20"/>
        </w:rPr>
        <w:t>,</w:t>
      </w:r>
      <w:r w:rsidR="00447357" w:rsidRPr="00207748">
        <w:rPr>
          <w:rFonts w:ascii="Cambria" w:hAnsi="Cambria" w:cs="Arial"/>
          <w:spacing w:val="1"/>
          <w:sz w:val="20"/>
          <w:szCs w:val="20"/>
        </w:rPr>
        <w:t xml:space="preserve"> und empfehlen daher, </w:t>
      </w:r>
      <w:r w:rsidR="007A4486">
        <w:rPr>
          <w:rFonts w:ascii="Cambria" w:hAnsi="Cambria" w:cs="Arial"/>
          <w:spacing w:val="1"/>
          <w:sz w:val="20"/>
          <w:szCs w:val="20"/>
        </w:rPr>
        <w:t>eine</w:t>
      </w:r>
      <w:r w:rsidR="00447357" w:rsidRPr="00207748">
        <w:rPr>
          <w:rFonts w:ascii="Cambria" w:hAnsi="Cambria" w:cs="Arial"/>
          <w:spacing w:val="1"/>
          <w:sz w:val="20"/>
          <w:szCs w:val="20"/>
        </w:rPr>
        <w:t xml:space="preserve"> Euvolämie mit intravenösen Flüssigkeiten wiederher</w:t>
      </w:r>
      <w:r w:rsidR="007A4486">
        <w:rPr>
          <w:rFonts w:ascii="Cambria" w:hAnsi="Cambria" w:cs="Arial"/>
          <w:spacing w:val="1"/>
          <w:sz w:val="20"/>
          <w:szCs w:val="20"/>
        </w:rPr>
        <w:t>zu</w:t>
      </w:r>
      <w:r w:rsidR="00447357" w:rsidRPr="00207748">
        <w:rPr>
          <w:rFonts w:ascii="Cambria" w:hAnsi="Cambria" w:cs="Arial"/>
          <w:spacing w:val="1"/>
          <w:sz w:val="20"/>
          <w:szCs w:val="20"/>
        </w:rPr>
        <w:t>stellen</w:t>
      </w:r>
      <w:r w:rsidR="007A4486">
        <w:rPr>
          <w:rFonts w:ascii="Cambria" w:hAnsi="Cambria" w:cs="Arial"/>
          <w:spacing w:val="1"/>
          <w:sz w:val="20"/>
          <w:szCs w:val="20"/>
        </w:rPr>
        <w:t>.</w:t>
      </w:r>
      <w:r w:rsidR="00447357" w:rsidRPr="00207748">
        <w:rPr>
          <w:rFonts w:ascii="Cambria" w:hAnsi="Cambria" w:cs="Arial"/>
          <w:spacing w:val="1"/>
          <w:sz w:val="20"/>
          <w:szCs w:val="20"/>
        </w:rPr>
        <w:t xml:space="preserve"> </w:t>
      </w:r>
      <w:r w:rsidR="007A4486">
        <w:rPr>
          <w:rFonts w:ascii="Cambria" w:hAnsi="Cambria" w:cs="Arial"/>
          <w:spacing w:val="1"/>
          <w:sz w:val="20"/>
          <w:szCs w:val="20"/>
        </w:rPr>
        <w:t>Dieses sollte initial rasch erfolgen und dann zurückhaltend</w:t>
      </w:r>
      <w:r w:rsidR="00447357" w:rsidRPr="00207748">
        <w:rPr>
          <w:rFonts w:ascii="Cambria" w:hAnsi="Cambria" w:cs="Arial"/>
          <w:spacing w:val="1"/>
          <w:sz w:val="20"/>
          <w:szCs w:val="20"/>
        </w:rPr>
        <w:t>, sobald sich der Patient stabilisiert.</w:t>
      </w:r>
      <w:r w:rsidR="002B1061">
        <w:rPr>
          <w:rFonts w:ascii="Cambria" w:hAnsi="Cambria" w:cs="Arial"/>
          <w:spacing w:val="1"/>
          <w:sz w:val="20"/>
          <w:szCs w:val="20"/>
        </w:rPr>
        <w:t xml:space="preserve"> </w:t>
      </w:r>
      <w:r w:rsidR="00447357" w:rsidRPr="00207748">
        <w:rPr>
          <w:rFonts w:ascii="Cambria" w:hAnsi="Cambria" w:cs="Arial"/>
          <w:spacing w:val="1"/>
          <w:sz w:val="20"/>
          <w:szCs w:val="20"/>
        </w:rPr>
        <w:t xml:space="preserve">eine anhaltend positive Flüssigkeitsbilanz auf </w:t>
      </w:r>
      <w:r w:rsidR="007A4486">
        <w:rPr>
          <w:rFonts w:ascii="Cambria" w:hAnsi="Cambria" w:cs="Arial"/>
          <w:spacing w:val="1"/>
          <w:sz w:val="20"/>
          <w:szCs w:val="20"/>
        </w:rPr>
        <w:t>der Intensivstation</w:t>
      </w:r>
      <w:r w:rsidR="00447357" w:rsidRPr="00207748">
        <w:rPr>
          <w:rFonts w:ascii="Cambria" w:hAnsi="Cambria" w:cs="Arial"/>
          <w:spacing w:val="1"/>
          <w:sz w:val="20"/>
          <w:szCs w:val="20"/>
        </w:rPr>
        <w:t xml:space="preserve"> ist</w:t>
      </w:r>
      <w:r w:rsidR="007A4486">
        <w:rPr>
          <w:rFonts w:ascii="Cambria" w:hAnsi="Cambria" w:cs="Arial"/>
          <w:spacing w:val="1"/>
          <w:sz w:val="20"/>
          <w:szCs w:val="20"/>
        </w:rPr>
        <w:t xml:space="preserve"> mit einem schlechteren outcome verbunden</w:t>
      </w:r>
      <w:r w:rsidR="00447357" w:rsidRPr="00207748">
        <w:rPr>
          <w:rFonts w:ascii="Cambria" w:eastAsia="Arial" w:hAnsi="Cambria" w:cs="Arial"/>
          <w:spacing w:val="1"/>
          <w:sz w:val="20"/>
          <w:szCs w:val="20"/>
          <w:vertAlign w:val="superscript"/>
        </w:rPr>
        <w:endnoteReference w:id="253"/>
      </w:r>
      <w:r w:rsidR="00447357" w:rsidRPr="00207748">
        <w:rPr>
          <w:rFonts w:ascii="Cambria" w:hAnsi="Cambria" w:cs="Arial"/>
          <w:spacing w:val="1"/>
          <w:sz w:val="20"/>
          <w:szCs w:val="20"/>
        </w:rPr>
        <w:t xml:space="preserve"> </w:t>
      </w:r>
      <w:r w:rsidR="00447357" w:rsidRPr="00207748">
        <w:rPr>
          <w:rFonts w:ascii="Cambria" w:eastAsia="Arial" w:hAnsi="Cambria" w:cs="Arial"/>
          <w:spacing w:val="1"/>
          <w:sz w:val="20"/>
          <w:szCs w:val="20"/>
          <w:vertAlign w:val="superscript"/>
        </w:rPr>
        <w:endnoteReference w:id="254"/>
      </w:r>
      <w:r w:rsidR="00447357" w:rsidRPr="00207748">
        <w:rPr>
          <w:rFonts w:ascii="Cambria" w:hAnsi="Cambria" w:cs="Arial"/>
          <w:spacing w:val="1"/>
          <w:sz w:val="20"/>
          <w:szCs w:val="20"/>
        </w:rPr>
        <w:t xml:space="preserve"> </w:t>
      </w:r>
      <w:r w:rsidR="00447357" w:rsidRPr="00207748">
        <w:rPr>
          <w:rFonts w:ascii="Cambria" w:eastAsia="Arial" w:hAnsi="Cambria" w:cs="Arial"/>
          <w:spacing w:val="1"/>
          <w:sz w:val="20"/>
          <w:szCs w:val="20"/>
          <w:vertAlign w:val="superscript"/>
        </w:rPr>
        <w:endnoteReference w:id="255"/>
      </w:r>
      <w:r w:rsidR="00447357" w:rsidRPr="00207748">
        <w:rPr>
          <w:rFonts w:ascii="Cambria" w:hAnsi="Cambria" w:cs="Arial"/>
          <w:spacing w:val="1"/>
          <w:sz w:val="20"/>
          <w:szCs w:val="20"/>
        </w:rPr>
        <w:t xml:space="preserve"> </w:t>
      </w:r>
      <w:r w:rsidR="00447357" w:rsidRPr="00207748">
        <w:rPr>
          <w:rFonts w:ascii="Cambria" w:eastAsia="Arial" w:hAnsi="Cambria" w:cs="Arial"/>
          <w:spacing w:val="1"/>
          <w:sz w:val="20"/>
          <w:szCs w:val="20"/>
          <w:vertAlign w:val="superscript"/>
        </w:rPr>
        <w:endnoteReference w:id="256"/>
      </w:r>
      <w:r w:rsidR="00447357" w:rsidRPr="00207748">
        <w:rPr>
          <w:rFonts w:ascii="Cambria" w:hAnsi="Cambria" w:cs="Arial"/>
          <w:spacing w:val="1"/>
          <w:sz w:val="20"/>
          <w:szCs w:val="20"/>
        </w:rPr>
        <w:t xml:space="preserve"> </w:t>
      </w:r>
      <w:r w:rsidR="00447357" w:rsidRPr="00207748">
        <w:rPr>
          <w:rFonts w:ascii="Cambria" w:eastAsia="Arial" w:hAnsi="Cambria" w:cs="Arial"/>
          <w:spacing w:val="1"/>
          <w:sz w:val="20"/>
          <w:szCs w:val="20"/>
          <w:vertAlign w:val="superscript"/>
        </w:rPr>
        <w:endnoteReference w:id="257"/>
      </w:r>
      <w:r w:rsidR="007A4486">
        <w:rPr>
          <w:rFonts w:ascii="Cambria" w:hAnsi="Cambria" w:cs="Arial"/>
          <w:spacing w:val="1"/>
          <w:sz w:val="20"/>
          <w:szCs w:val="20"/>
        </w:rPr>
        <w:t>. Daher sollte</w:t>
      </w:r>
      <w:r w:rsidR="002B1061">
        <w:rPr>
          <w:rFonts w:ascii="Cambria" w:hAnsi="Cambria" w:cs="Arial"/>
          <w:spacing w:val="1"/>
          <w:sz w:val="20"/>
          <w:szCs w:val="20"/>
        </w:rPr>
        <w:t xml:space="preserve"> </w:t>
      </w:r>
      <w:r w:rsidR="00447357" w:rsidRPr="00207748">
        <w:rPr>
          <w:rFonts w:ascii="Cambria" w:hAnsi="Cambria" w:cs="Arial"/>
          <w:spacing w:val="1"/>
          <w:sz w:val="20"/>
          <w:szCs w:val="20"/>
        </w:rPr>
        <w:t xml:space="preserve">über die initiale </w:t>
      </w:r>
      <w:r w:rsidR="007A4486">
        <w:rPr>
          <w:rFonts w:ascii="Cambria" w:hAnsi="Cambria" w:cs="Arial"/>
          <w:spacing w:val="1"/>
          <w:sz w:val="20"/>
          <w:szCs w:val="20"/>
        </w:rPr>
        <w:t>Volumen</w:t>
      </w:r>
      <w:r w:rsidR="007A4486" w:rsidRPr="00207748">
        <w:rPr>
          <w:rFonts w:ascii="Cambria" w:hAnsi="Cambria" w:cs="Arial"/>
          <w:spacing w:val="1"/>
          <w:sz w:val="20"/>
          <w:szCs w:val="20"/>
        </w:rPr>
        <w:t xml:space="preserve">therapie </w:t>
      </w:r>
      <w:r w:rsidR="007A4486">
        <w:rPr>
          <w:rFonts w:ascii="Cambria" w:hAnsi="Cambria" w:cs="Arial"/>
          <w:spacing w:val="1"/>
          <w:sz w:val="20"/>
          <w:szCs w:val="20"/>
        </w:rPr>
        <w:t>nur weiter Volumen</w:t>
      </w:r>
      <w:r w:rsidR="00447357" w:rsidRPr="00207748">
        <w:rPr>
          <w:rFonts w:ascii="Cambria" w:hAnsi="Cambria" w:cs="Arial"/>
          <w:spacing w:val="1"/>
          <w:sz w:val="20"/>
          <w:szCs w:val="20"/>
        </w:rPr>
        <w:t xml:space="preserve"> verabreicht </w:t>
      </w:r>
      <w:r w:rsidR="007A4486">
        <w:rPr>
          <w:rFonts w:ascii="Cambria" w:hAnsi="Cambria" w:cs="Arial"/>
          <w:spacing w:val="1"/>
          <w:sz w:val="20"/>
          <w:szCs w:val="20"/>
        </w:rPr>
        <w:t>werden</w:t>
      </w:r>
      <w:r w:rsidR="001A410D">
        <w:rPr>
          <w:rFonts w:ascii="Cambria" w:hAnsi="Cambria" w:cs="Arial"/>
          <w:spacing w:val="1"/>
          <w:sz w:val="20"/>
          <w:szCs w:val="20"/>
        </w:rPr>
        <w:t>, wenn davon auszugehen ist</w:t>
      </w:r>
      <w:r w:rsidR="00447357" w:rsidRPr="00207748">
        <w:rPr>
          <w:rFonts w:ascii="Cambria" w:hAnsi="Cambria" w:cs="Arial"/>
          <w:spacing w:val="1"/>
          <w:sz w:val="20"/>
          <w:szCs w:val="20"/>
        </w:rPr>
        <w:t xml:space="preserve">, dass der Patient </w:t>
      </w:r>
      <w:r w:rsidR="001A410D">
        <w:rPr>
          <w:rFonts w:ascii="Cambria" w:hAnsi="Cambria" w:cs="Arial"/>
          <w:spacing w:val="1"/>
          <w:sz w:val="20"/>
          <w:szCs w:val="20"/>
        </w:rPr>
        <w:t xml:space="preserve">davon profitieren wird. </w:t>
      </w:r>
    </w:p>
    <w:p w14:paraId="0A142C42" w14:textId="225C3135" w:rsidR="00E11869" w:rsidRPr="00207748" w:rsidRDefault="00447357" w:rsidP="004454B6">
      <w:pPr>
        <w:spacing w:before="240"/>
        <w:rPr>
          <w:rFonts w:ascii="Cambria" w:hAnsi="Cambria" w:cs="Arial"/>
          <w:spacing w:val="1"/>
          <w:sz w:val="20"/>
          <w:szCs w:val="20"/>
        </w:rPr>
      </w:pPr>
      <w:r w:rsidRPr="00207748">
        <w:rPr>
          <w:rFonts w:ascii="Cambria" w:hAnsi="Cambria" w:cs="Arial"/>
          <w:spacing w:val="1"/>
          <w:sz w:val="20"/>
          <w:szCs w:val="20"/>
        </w:rPr>
        <w:t xml:space="preserve">Abweichend von der SSC-Leitlinie wird als Ziel der weiterführenden </w:t>
      </w:r>
      <w:r w:rsidR="001A410D">
        <w:rPr>
          <w:rFonts w:ascii="Cambria" w:hAnsi="Cambria" w:cs="Arial"/>
          <w:spacing w:val="1"/>
          <w:sz w:val="20"/>
          <w:szCs w:val="20"/>
        </w:rPr>
        <w:t>Volumen</w:t>
      </w:r>
      <w:r w:rsidR="001A410D" w:rsidRPr="00207748">
        <w:rPr>
          <w:rFonts w:ascii="Cambria" w:hAnsi="Cambria" w:cs="Arial"/>
          <w:spacing w:val="1"/>
          <w:sz w:val="20"/>
          <w:szCs w:val="20"/>
        </w:rPr>
        <w:t>therapie</w:t>
      </w:r>
      <w:r w:rsidRPr="00207748">
        <w:rPr>
          <w:rFonts w:ascii="Cambria" w:hAnsi="Cambria" w:cs="Arial"/>
          <w:spacing w:val="1"/>
          <w:sz w:val="20"/>
          <w:szCs w:val="20"/>
        </w:rPr>
        <w:t xml:space="preserve"> nicht die </w:t>
      </w:r>
      <w:r w:rsidRPr="00207748">
        <w:rPr>
          <w:rFonts w:ascii="Cambria" w:hAnsi="Cambria" w:cs="Arial"/>
          <w:spacing w:val="1"/>
          <w:sz w:val="20"/>
          <w:szCs w:val="20"/>
        </w:rPr>
        <w:lastRenderedPageBreak/>
        <w:t xml:space="preserve">fortgesetzte Optimierung der hämodynamischen Faktoren, sondern die Vermeidung einer Hypoperfusion </w:t>
      </w:r>
      <w:r w:rsidR="001A410D">
        <w:rPr>
          <w:rFonts w:ascii="Cambria" w:hAnsi="Cambria" w:cs="Arial"/>
          <w:spacing w:val="1"/>
          <w:sz w:val="20"/>
          <w:szCs w:val="20"/>
        </w:rPr>
        <w:t>in den Vordergrund gestellt</w:t>
      </w:r>
      <w:r w:rsidRPr="00207748">
        <w:rPr>
          <w:rFonts w:ascii="Cambria" w:hAnsi="Cambria" w:cs="Arial"/>
          <w:spacing w:val="1"/>
          <w:sz w:val="20"/>
          <w:szCs w:val="20"/>
        </w:rPr>
        <w:t>.</w:t>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02"/>
        <w:gridCol w:w="850"/>
      </w:tblGrid>
      <w:tr w:rsidR="00E11869" w:rsidRPr="00207748" w14:paraId="06563B53"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42F292DA"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F.2</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EF89BD8"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27FA7D3"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2018</w:t>
            </w:r>
          </w:p>
        </w:tc>
      </w:tr>
      <w:tr w:rsidR="00E11869" w:rsidRPr="00207748" w14:paraId="1DB6BDA2" w14:textId="77777777" w:rsidTr="00342FB3">
        <w:trPr>
          <w:trHeight w:val="252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E8152"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t>Empfehlungsgrad</w:t>
            </w:r>
          </w:p>
          <w:p w14:paraId="5423FA09" w14:textId="77777777" w:rsidR="00E11869" w:rsidRPr="00207748" w:rsidRDefault="00E11869" w:rsidP="004454B6">
            <w:pPr>
              <w:spacing w:after="0"/>
              <w:rPr>
                <w:rFonts w:ascii="Cambria" w:eastAsia="Arial" w:hAnsi="Cambria" w:cs="Arial"/>
                <w:sz w:val="20"/>
                <w:szCs w:val="20"/>
              </w:rPr>
            </w:pPr>
          </w:p>
          <w:p w14:paraId="033BFD8B" w14:textId="77777777" w:rsidR="00E11869" w:rsidRPr="00207748" w:rsidRDefault="00447357" w:rsidP="004454B6">
            <w:pPr>
              <w:spacing w:after="0"/>
              <w:rPr>
                <w:rFonts w:ascii="Cambria" w:eastAsia="Arial" w:hAnsi="Cambria" w:cs="Arial"/>
                <w:b/>
                <w:bCs/>
                <w:sz w:val="20"/>
                <w:szCs w:val="20"/>
              </w:rPr>
            </w:pPr>
            <w:r w:rsidRPr="00207748">
              <w:rPr>
                <w:rFonts w:ascii="Cambria" w:hAnsi="Cambria" w:cs="Arial"/>
                <w:b/>
                <w:bCs/>
                <w:sz w:val="20"/>
                <w:szCs w:val="20"/>
              </w:rPr>
              <w:t>stark</w:t>
            </w:r>
          </w:p>
          <w:p w14:paraId="2F7A81E8" w14:textId="77777777" w:rsidR="00E11869" w:rsidRPr="00207748" w:rsidRDefault="00E11869" w:rsidP="004454B6">
            <w:pPr>
              <w:spacing w:after="0"/>
              <w:rPr>
                <w:rFonts w:ascii="Cambria" w:eastAsia="Arial" w:hAnsi="Cambria" w:cs="Arial"/>
                <w:b/>
                <w:bCs/>
                <w:sz w:val="20"/>
                <w:szCs w:val="20"/>
              </w:rPr>
            </w:pPr>
          </w:p>
          <w:p w14:paraId="09D674E8"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t>Evidenzqualität</w:t>
            </w:r>
          </w:p>
          <w:p w14:paraId="034FA7AD" w14:textId="77777777" w:rsidR="00E11869" w:rsidRPr="00207748" w:rsidRDefault="00E11869" w:rsidP="004454B6">
            <w:pPr>
              <w:spacing w:after="0"/>
              <w:rPr>
                <w:rFonts w:ascii="Cambria" w:eastAsia="Arial" w:hAnsi="Cambria" w:cs="Arial"/>
                <w:sz w:val="20"/>
                <w:szCs w:val="20"/>
              </w:rPr>
            </w:pPr>
          </w:p>
          <w:p w14:paraId="21E03E96"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moderat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DD6D0" w14:textId="77777777" w:rsidR="00E11869" w:rsidRPr="00207748" w:rsidRDefault="00447357" w:rsidP="004454B6">
            <w:pPr>
              <w:spacing w:after="0"/>
              <w:rPr>
                <w:rFonts w:ascii="Cambria" w:hAnsi="Cambria" w:cs="Arial"/>
                <w:sz w:val="20"/>
                <w:szCs w:val="20"/>
              </w:rPr>
            </w:pPr>
            <w:r w:rsidRPr="00207748">
              <w:rPr>
                <w:rFonts w:ascii="Cambria" w:hAnsi="Cambria" w:cs="Arial"/>
                <w:b/>
                <w:bCs/>
                <w:spacing w:val="-4"/>
                <w:sz w:val="20"/>
                <w:szCs w:val="20"/>
              </w:rPr>
              <w:t>Wir empfehlen Kristalloide als initiale Flüssigkeitstherapie erster Wahl und eine anschließende intravaskuläre Volumenersatztherapie bei Patienten mit Sepsis und septischem Schock</w:t>
            </w:r>
            <w:r w:rsidR="00B20D2B" w:rsidRPr="00207748">
              <w:rPr>
                <w:rFonts w:ascii="Cambria" w:hAnsi="Cambria" w:cs="Arial"/>
                <w:b/>
                <w:bCs/>
                <w:spacing w:val="-4"/>
                <w:sz w:val="20"/>
                <w:szCs w:val="20"/>
              </w:rPr>
              <w:t>.</w:t>
            </w:r>
          </w:p>
        </w:tc>
      </w:tr>
      <w:tr w:rsidR="00E11869" w:rsidRPr="00207748" w14:paraId="17586500" w14:textId="77777777" w:rsidTr="00342FB3">
        <w:trPr>
          <w:trHeight w:val="56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0695C20D"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22A2A"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SSC</w:t>
            </w:r>
            <w:r w:rsidR="00420A45" w:rsidRPr="00207748">
              <w:rPr>
                <w:rFonts w:ascii="Cambria" w:hAnsi="Cambria" w:cs="Arial"/>
                <w:b/>
                <w:bCs/>
                <w:sz w:val="20"/>
                <w:szCs w:val="20"/>
              </w:rPr>
              <w:t>-</w:t>
            </w:r>
            <w:r w:rsidRPr="00207748">
              <w:rPr>
                <w:rFonts w:ascii="Cambria" w:hAnsi="Cambria" w:cs="Arial"/>
                <w:b/>
                <w:bCs/>
                <w:sz w:val="20"/>
                <w:szCs w:val="20"/>
              </w:rPr>
              <w:t xml:space="preserve">Leitlinienadaptation </w:t>
            </w:r>
          </w:p>
        </w:tc>
      </w:tr>
      <w:tr w:rsidR="00E11869" w:rsidRPr="00207748" w14:paraId="24B5016A"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77F60"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E5F90" w14:textId="77777777" w:rsidR="00E11869" w:rsidRPr="00207748" w:rsidRDefault="00447357" w:rsidP="004454B6">
            <w:pPr>
              <w:spacing w:after="0"/>
              <w:rPr>
                <w:rFonts w:ascii="Cambria" w:hAnsi="Cambria" w:cs="Arial"/>
                <w:sz w:val="20"/>
                <w:szCs w:val="20"/>
              </w:rPr>
            </w:pPr>
            <w:r w:rsidRPr="00207748">
              <w:rPr>
                <w:rFonts w:ascii="Cambria" w:hAnsi="Cambria" w:cs="Arial"/>
                <w:sz w:val="20"/>
                <w:szCs w:val="20"/>
              </w:rPr>
              <w:t xml:space="preserve">Konsensstärke: 100 % </w:t>
            </w:r>
          </w:p>
        </w:tc>
      </w:tr>
    </w:tbl>
    <w:p w14:paraId="4F03FAC7" w14:textId="56EFE379" w:rsidR="00E11869" w:rsidRDefault="00420A45" w:rsidP="004454B6">
      <w:pPr>
        <w:spacing w:before="240"/>
        <w:rPr>
          <w:rFonts w:ascii="Cambria" w:hAnsi="Cambria" w:cs="Arial"/>
          <w:sz w:val="20"/>
          <w:szCs w:val="20"/>
        </w:rPr>
      </w:pPr>
      <w:r w:rsidRPr="00207748">
        <w:rPr>
          <w:rFonts w:ascii="Cambria" w:hAnsi="Cambria" w:cs="Arial"/>
          <w:b/>
          <w:bCs/>
          <w:sz w:val="20"/>
          <w:szCs w:val="20"/>
        </w:rPr>
        <w:t>Begründung:</w:t>
      </w:r>
      <w:r w:rsidR="00447357" w:rsidRPr="00207748">
        <w:rPr>
          <w:rFonts w:ascii="Cambria" w:hAnsi="Cambria" w:cs="Arial"/>
          <w:b/>
          <w:bCs/>
          <w:sz w:val="20"/>
          <w:szCs w:val="20"/>
        </w:rPr>
        <w:t xml:space="preserve"> </w:t>
      </w:r>
      <w:r w:rsidR="00AF07E3" w:rsidRPr="00DC4B69">
        <w:rPr>
          <w:rFonts w:ascii="Cambria" w:hAnsi="Cambria" w:cs="Arial"/>
          <w:bCs/>
          <w:sz w:val="20"/>
          <w:szCs w:val="20"/>
        </w:rPr>
        <w:t>Bei Fehlen</w:t>
      </w:r>
      <w:r w:rsidR="00447357" w:rsidRPr="00207748">
        <w:rPr>
          <w:rFonts w:ascii="Cambria" w:hAnsi="Cambria" w:cs="Arial"/>
          <w:sz w:val="20"/>
          <w:szCs w:val="20"/>
        </w:rPr>
        <w:t xml:space="preserve"> von </w:t>
      </w:r>
      <w:r w:rsidR="00AF07E3" w:rsidRPr="00DC4B69">
        <w:rPr>
          <w:rFonts w:ascii="Cambria" w:hAnsi="Cambria" w:cs="Arial"/>
          <w:bCs/>
          <w:sz w:val="20"/>
          <w:szCs w:val="20"/>
        </w:rPr>
        <w:t>eindeutigen</w:t>
      </w:r>
      <w:r w:rsidR="00447357" w:rsidRPr="00207748">
        <w:rPr>
          <w:rFonts w:ascii="Cambria" w:hAnsi="Cambria" w:cs="Arial"/>
          <w:sz w:val="20"/>
          <w:szCs w:val="20"/>
        </w:rPr>
        <w:t xml:space="preserve"> Vorteilen </w:t>
      </w:r>
      <w:r w:rsidR="00AF07E3">
        <w:rPr>
          <w:rFonts w:ascii="Cambria" w:hAnsi="Cambria" w:cs="Arial"/>
          <w:bCs/>
          <w:sz w:val="20"/>
          <w:szCs w:val="20"/>
        </w:rPr>
        <w:t>einer</w:t>
      </w:r>
      <w:r w:rsidR="00447357" w:rsidRPr="00207748">
        <w:rPr>
          <w:rFonts w:ascii="Cambria" w:hAnsi="Cambria" w:cs="Arial"/>
          <w:sz w:val="20"/>
          <w:szCs w:val="20"/>
        </w:rPr>
        <w:t xml:space="preserve"> Verabreichung von </w:t>
      </w:r>
      <w:r w:rsidR="00AF07E3">
        <w:rPr>
          <w:rFonts w:ascii="Cambria" w:hAnsi="Cambria" w:cs="Arial"/>
          <w:bCs/>
          <w:sz w:val="20"/>
          <w:szCs w:val="20"/>
        </w:rPr>
        <w:t>kolloidalen Volumenersatzlösungen</w:t>
      </w:r>
      <w:r w:rsidR="00447357" w:rsidRPr="00207748">
        <w:rPr>
          <w:rFonts w:ascii="Cambria" w:hAnsi="Cambria" w:cs="Arial"/>
          <w:sz w:val="20"/>
          <w:szCs w:val="20"/>
        </w:rPr>
        <w:t xml:space="preserve"> im Vergleich zu </w:t>
      </w:r>
      <w:r w:rsidR="00AF07E3">
        <w:rPr>
          <w:rFonts w:ascii="Cambria" w:hAnsi="Cambria" w:cs="Arial"/>
          <w:bCs/>
          <w:sz w:val="20"/>
          <w:szCs w:val="20"/>
        </w:rPr>
        <w:t>kristalloiden Lösungen und</w:t>
      </w:r>
      <w:r w:rsidR="00447357" w:rsidRPr="00207748">
        <w:rPr>
          <w:rFonts w:ascii="Cambria" w:hAnsi="Cambria" w:cs="Arial"/>
          <w:sz w:val="20"/>
          <w:szCs w:val="20"/>
        </w:rPr>
        <w:t xml:space="preserve"> in </w:t>
      </w:r>
      <w:r w:rsidR="00AF07E3">
        <w:rPr>
          <w:rFonts w:ascii="Cambria" w:hAnsi="Cambria" w:cs="Arial"/>
          <w:bCs/>
          <w:sz w:val="20"/>
          <w:szCs w:val="20"/>
        </w:rPr>
        <w:t>Anbetracht hoher Kosten für Albuminlösungen, wird</w:t>
      </w:r>
      <w:r w:rsidR="00447357" w:rsidRPr="00207748">
        <w:rPr>
          <w:rFonts w:ascii="Cambria" w:hAnsi="Cambria" w:cs="Arial"/>
          <w:sz w:val="20"/>
          <w:szCs w:val="20"/>
        </w:rPr>
        <w:t xml:space="preserve"> eine starke Empfehlung für </w:t>
      </w:r>
      <w:r w:rsidR="00AF07E3">
        <w:rPr>
          <w:rFonts w:ascii="Cambria" w:hAnsi="Cambria" w:cs="Arial"/>
          <w:bCs/>
          <w:sz w:val="20"/>
          <w:szCs w:val="20"/>
        </w:rPr>
        <w:t>eine</w:t>
      </w:r>
      <w:r w:rsidR="00447357" w:rsidRPr="00207748">
        <w:rPr>
          <w:rFonts w:ascii="Cambria" w:hAnsi="Cambria" w:cs="Arial"/>
          <w:sz w:val="20"/>
          <w:szCs w:val="20"/>
        </w:rPr>
        <w:t xml:space="preserve"> Verwendung von </w:t>
      </w:r>
      <w:r w:rsidR="00AF07E3">
        <w:rPr>
          <w:rFonts w:ascii="Cambria" w:hAnsi="Cambria" w:cs="Arial"/>
          <w:bCs/>
          <w:sz w:val="20"/>
          <w:szCs w:val="20"/>
        </w:rPr>
        <w:t>kristalloiden Volumenersatzlösungen in</w:t>
      </w:r>
      <w:r w:rsidR="00447357" w:rsidRPr="00207748">
        <w:rPr>
          <w:rFonts w:ascii="Cambria" w:hAnsi="Cambria" w:cs="Arial"/>
          <w:sz w:val="20"/>
          <w:szCs w:val="20"/>
        </w:rPr>
        <w:t xml:space="preserve"> der initialen Flüssigkeitstherapie von Patienten mit Sepsis und septischem Schock</w:t>
      </w:r>
      <w:r w:rsidR="00AF07E3">
        <w:rPr>
          <w:rFonts w:ascii="Cambria" w:hAnsi="Cambria" w:cs="Arial"/>
          <w:sz w:val="20"/>
          <w:szCs w:val="20"/>
        </w:rPr>
        <w:t xml:space="preserve"> ausgesprochen.</w:t>
      </w:r>
    </w:p>
    <w:p w14:paraId="4BF677AA" w14:textId="3C1C5C86" w:rsidR="002B1061" w:rsidRDefault="002B1061" w:rsidP="004454B6">
      <w:pPr>
        <w:spacing w:before="240"/>
        <w:rPr>
          <w:rFonts w:ascii="Cambria" w:hAnsi="Cambria" w:cs="Arial"/>
          <w:sz w:val="20"/>
          <w:szCs w:val="20"/>
        </w:rPr>
      </w:pPr>
    </w:p>
    <w:p w14:paraId="2716634A" w14:textId="60AB3591" w:rsidR="002B1061" w:rsidRDefault="002B1061" w:rsidP="004454B6">
      <w:pPr>
        <w:spacing w:before="240"/>
        <w:rPr>
          <w:rFonts w:ascii="Cambria" w:hAnsi="Cambria" w:cs="Arial"/>
          <w:sz w:val="20"/>
          <w:szCs w:val="20"/>
        </w:rPr>
      </w:pPr>
    </w:p>
    <w:p w14:paraId="2332EC25" w14:textId="3DCD07DE" w:rsidR="002B1061" w:rsidRDefault="002B1061" w:rsidP="004454B6">
      <w:pPr>
        <w:spacing w:before="240"/>
        <w:rPr>
          <w:rFonts w:ascii="Cambria" w:hAnsi="Cambria" w:cs="Arial"/>
          <w:sz w:val="20"/>
          <w:szCs w:val="20"/>
        </w:rPr>
      </w:pPr>
    </w:p>
    <w:p w14:paraId="44B943A6" w14:textId="74C35863" w:rsidR="00EF1A9E" w:rsidRDefault="00EF1A9E" w:rsidP="004454B6">
      <w:pPr>
        <w:spacing w:before="240"/>
        <w:rPr>
          <w:rFonts w:ascii="Cambria" w:hAnsi="Cambria" w:cs="Arial"/>
          <w:sz w:val="20"/>
          <w:szCs w:val="20"/>
        </w:rPr>
      </w:pPr>
    </w:p>
    <w:p w14:paraId="0522B6CB" w14:textId="77777777" w:rsidR="00EF1A9E" w:rsidRDefault="00EF1A9E" w:rsidP="004454B6">
      <w:pPr>
        <w:spacing w:before="240"/>
        <w:rPr>
          <w:rFonts w:ascii="Cambria" w:hAnsi="Cambria" w:cs="Arial"/>
          <w:sz w:val="20"/>
          <w:szCs w:val="20"/>
        </w:rPr>
      </w:pPr>
    </w:p>
    <w:p w14:paraId="596EFC40" w14:textId="77777777" w:rsidR="002B1061" w:rsidRPr="00207748" w:rsidRDefault="002B1061" w:rsidP="004454B6">
      <w:pPr>
        <w:spacing w:before="240"/>
        <w:rPr>
          <w:rFonts w:ascii="Cambria" w:eastAsia="Arial" w:hAnsi="Cambria" w:cs="Arial"/>
          <w:sz w:val="20"/>
          <w:szCs w:val="20"/>
        </w:rPr>
      </w:pP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39"/>
        <w:gridCol w:w="813"/>
      </w:tblGrid>
      <w:tr w:rsidR="00E11869" w:rsidRPr="00207748" w14:paraId="682890CE"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6B871C4"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F.3</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4CF1655D"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3CA6F9C"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2018</w:t>
            </w:r>
          </w:p>
        </w:tc>
      </w:tr>
      <w:tr w:rsidR="00E11869" w:rsidRPr="00207748" w14:paraId="24AE1AB7" w14:textId="77777777" w:rsidTr="00334AF5">
        <w:trPr>
          <w:trHeight w:val="2686"/>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82691"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lastRenderedPageBreak/>
              <w:t>Empfehlungsgrad</w:t>
            </w:r>
          </w:p>
          <w:p w14:paraId="25FC92EC" w14:textId="77777777" w:rsidR="00E11869" w:rsidRPr="00207748" w:rsidRDefault="00E11869" w:rsidP="004454B6">
            <w:pPr>
              <w:spacing w:after="0"/>
              <w:rPr>
                <w:rFonts w:ascii="Cambria" w:eastAsia="Arial" w:hAnsi="Cambria" w:cs="Arial"/>
                <w:sz w:val="20"/>
                <w:szCs w:val="20"/>
              </w:rPr>
            </w:pPr>
          </w:p>
          <w:p w14:paraId="659D2027" w14:textId="77777777" w:rsidR="00E11869" w:rsidRPr="00207748" w:rsidRDefault="00447357" w:rsidP="004454B6">
            <w:pPr>
              <w:spacing w:after="0"/>
              <w:rPr>
                <w:rFonts w:ascii="Cambria" w:eastAsia="Arial" w:hAnsi="Cambria" w:cs="Arial"/>
                <w:b/>
                <w:bCs/>
                <w:sz w:val="20"/>
                <w:szCs w:val="20"/>
              </w:rPr>
            </w:pPr>
            <w:r w:rsidRPr="00207748">
              <w:rPr>
                <w:rFonts w:ascii="Cambria" w:hAnsi="Cambria" w:cs="Arial"/>
                <w:b/>
                <w:bCs/>
                <w:sz w:val="20"/>
                <w:szCs w:val="20"/>
              </w:rPr>
              <w:t>stark</w:t>
            </w:r>
          </w:p>
          <w:p w14:paraId="57E76FC1" w14:textId="77777777" w:rsidR="00E11869" w:rsidRPr="00207748" w:rsidRDefault="00E11869" w:rsidP="004454B6">
            <w:pPr>
              <w:spacing w:after="0"/>
              <w:rPr>
                <w:rFonts w:ascii="Cambria" w:eastAsia="Arial" w:hAnsi="Cambria" w:cs="Arial"/>
                <w:b/>
                <w:bCs/>
                <w:sz w:val="20"/>
                <w:szCs w:val="20"/>
              </w:rPr>
            </w:pPr>
          </w:p>
          <w:p w14:paraId="64B7150E"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t>Evidenzqualität</w:t>
            </w:r>
          </w:p>
          <w:p w14:paraId="5EAFA109" w14:textId="77777777" w:rsidR="00E11869" w:rsidRPr="00207748" w:rsidRDefault="00E11869" w:rsidP="004454B6">
            <w:pPr>
              <w:spacing w:after="0"/>
              <w:rPr>
                <w:rFonts w:ascii="Cambria" w:eastAsia="Arial" w:hAnsi="Cambria" w:cs="Arial"/>
                <w:sz w:val="20"/>
                <w:szCs w:val="20"/>
              </w:rPr>
            </w:pPr>
          </w:p>
          <w:p w14:paraId="12C1C624"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moderat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B0DD3" w14:textId="52E3045C" w:rsidR="00E11869" w:rsidRPr="00207748" w:rsidRDefault="00447357" w:rsidP="00B26F79">
            <w:pPr>
              <w:spacing w:after="0"/>
              <w:rPr>
                <w:rFonts w:ascii="Cambria" w:hAnsi="Cambria" w:cs="Arial"/>
                <w:sz w:val="20"/>
                <w:szCs w:val="20"/>
              </w:rPr>
            </w:pPr>
            <w:r w:rsidRPr="00207748">
              <w:rPr>
                <w:rFonts w:ascii="Cambria" w:hAnsi="Cambria" w:cs="Arial"/>
                <w:b/>
                <w:bCs/>
                <w:spacing w:val="-4"/>
                <w:sz w:val="20"/>
                <w:szCs w:val="20"/>
              </w:rPr>
              <w:t>Wir empfehlen die Verwendung von balancierten Kristalloiden für die Flüssigkeitstherapie von Patienten mit Sepsis oder septisch</w:t>
            </w:r>
            <w:r w:rsidR="00B20D2B" w:rsidRPr="00207748">
              <w:rPr>
                <w:rFonts w:ascii="Cambria" w:hAnsi="Cambria" w:cs="Arial"/>
                <w:b/>
                <w:bCs/>
                <w:spacing w:val="-4"/>
                <w:sz w:val="20"/>
                <w:szCs w:val="20"/>
              </w:rPr>
              <w:t>em Schock</w:t>
            </w:r>
            <w:r w:rsidR="007460CA" w:rsidRPr="00207748">
              <w:rPr>
                <w:rFonts w:ascii="Cambria" w:hAnsi="Cambria" w:cs="Arial"/>
                <w:b/>
                <w:bCs/>
                <w:spacing w:val="-4"/>
                <w:sz w:val="20"/>
                <w:szCs w:val="20"/>
              </w:rPr>
              <w:t xml:space="preserve"> vor</w:t>
            </w:r>
            <w:r w:rsidR="00B20D2B" w:rsidRPr="00207748">
              <w:rPr>
                <w:rFonts w:ascii="Cambria" w:hAnsi="Cambria" w:cs="Arial"/>
                <w:b/>
                <w:bCs/>
                <w:spacing w:val="-4"/>
                <w:sz w:val="20"/>
                <w:szCs w:val="20"/>
              </w:rPr>
              <w:t>.</w:t>
            </w:r>
            <w:r w:rsidR="002B1061">
              <w:rPr>
                <w:rFonts w:ascii="Cambria" w:hAnsi="Cambria" w:cs="Arial"/>
                <w:b/>
                <w:bCs/>
                <w:spacing w:val="-4"/>
                <w:sz w:val="20"/>
                <w:szCs w:val="20"/>
              </w:rPr>
              <w:t xml:space="preserve"> </w:t>
            </w:r>
            <w:r w:rsidR="007460CA" w:rsidRPr="00207748">
              <w:rPr>
                <w:rFonts w:ascii="Cambria" w:hAnsi="Cambria" w:cs="Arial"/>
                <w:b/>
                <w:bCs/>
                <w:spacing w:val="-4"/>
                <w:sz w:val="20"/>
                <w:szCs w:val="20"/>
              </w:rPr>
              <w:t>0,9%ige Kochsalz</w:t>
            </w:r>
            <w:r w:rsidR="00B26F79">
              <w:rPr>
                <w:rFonts w:ascii="Cambria" w:hAnsi="Cambria" w:cs="Arial"/>
                <w:b/>
                <w:bCs/>
                <w:spacing w:val="-4"/>
                <w:sz w:val="20"/>
                <w:szCs w:val="20"/>
              </w:rPr>
              <w:t>-</w:t>
            </w:r>
            <w:r w:rsidR="007460CA" w:rsidRPr="00207748">
              <w:rPr>
                <w:rFonts w:ascii="Cambria" w:hAnsi="Cambria" w:cs="Arial"/>
                <w:b/>
                <w:bCs/>
                <w:spacing w:val="-4"/>
                <w:sz w:val="20"/>
                <w:szCs w:val="20"/>
              </w:rPr>
              <w:t xml:space="preserve">lösung </w:t>
            </w:r>
            <w:r w:rsidRPr="00207748">
              <w:rPr>
                <w:rFonts w:ascii="Cambria" w:hAnsi="Cambria" w:cs="Arial"/>
                <w:b/>
                <w:bCs/>
                <w:spacing w:val="-4"/>
                <w:sz w:val="20"/>
                <w:szCs w:val="20"/>
              </w:rPr>
              <w:t xml:space="preserve">sollte </w:t>
            </w:r>
            <w:r w:rsidR="00B26F79">
              <w:rPr>
                <w:rFonts w:ascii="Cambria" w:hAnsi="Cambria" w:cs="Arial"/>
                <w:b/>
                <w:bCs/>
                <w:spacing w:val="-4"/>
                <w:sz w:val="20"/>
                <w:szCs w:val="20"/>
              </w:rPr>
              <w:t>NICHT</w:t>
            </w:r>
            <w:r w:rsidRPr="00207748">
              <w:rPr>
                <w:rFonts w:ascii="Cambria" w:hAnsi="Cambria" w:cs="Arial"/>
                <w:b/>
                <w:bCs/>
                <w:spacing w:val="-4"/>
                <w:sz w:val="20"/>
                <w:szCs w:val="20"/>
              </w:rPr>
              <w:t xml:space="preserve"> verwendet werden.</w:t>
            </w:r>
          </w:p>
        </w:tc>
      </w:tr>
      <w:tr w:rsidR="00E11869" w:rsidRPr="00207748" w14:paraId="6C79656B" w14:textId="77777777" w:rsidTr="00342FB3">
        <w:trPr>
          <w:trHeight w:val="140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4643A7C3"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7B00B"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SSC</w:t>
            </w:r>
            <w:r w:rsidR="00420A45" w:rsidRPr="00207748">
              <w:rPr>
                <w:rFonts w:ascii="Cambria" w:hAnsi="Cambria" w:cs="Arial"/>
                <w:b/>
                <w:bCs/>
                <w:sz w:val="20"/>
                <w:szCs w:val="20"/>
              </w:rPr>
              <w:t>-</w:t>
            </w:r>
            <w:r w:rsidRPr="00207748">
              <w:rPr>
                <w:rFonts w:ascii="Cambria" w:hAnsi="Cambria" w:cs="Arial"/>
                <w:b/>
                <w:bCs/>
                <w:sz w:val="20"/>
                <w:szCs w:val="20"/>
              </w:rPr>
              <w:t>Leitlinienmodifikation; Abweichung des Em</w:t>
            </w:r>
            <w:r w:rsidR="002F45C9" w:rsidRPr="00207748">
              <w:rPr>
                <w:rFonts w:ascii="Cambria" w:hAnsi="Cambria" w:cs="Arial"/>
                <w:b/>
                <w:bCs/>
                <w:sz w:val="20"/>
                <w:szCs w:val="20"/>
              </w:rPr>
              <w:t>pfehlungsgrades</w:t>
            </w:r>
          </w:p>
        </w:tc>
      </w:tr>
      <w:tr w:rsidR="00E11869" w:rsidRPr="00207748" w14:paraId="56293002" w14:textId="77777777" w:rsidTr="00342FB3">
        <w:trPr>
          <w:trHeight w:val="84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4A865"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77110" w14:textId="77777777" w:rsidR="00B26F79" w:rsidRDefault="00447357" w:rsidP="004454B6">
            <w:pPr>
              <w:spacing w:after="0"/>
              <w:rPr>
                <w:rFonts w:ascii="Cambria" w:hAnsi="Cambria" w:cs="Arial"/>
                <w:sz w:val="20"/>
                <w:szCs w:val="20"/>
              </w:rPr>
            </w:pPr>
            <w:r w:rsidRPr="00207748">
              <w:rPr>
                <w:rFonts w:ascii="Cambria" w:hAnsi="Cambria" w:cs="Arial"/>
                <w:sz w:val="20"/>
                <w:szCs w:val="20"/>
              </w:rPr>
              <w:t xml:space="preserve">Konsensstärke bei Doppelabstimmung: </w:t>
            </w:r>
          </w:p>
          <w:p w14:paraId="3EE0EE77" w14:textId="180E28FF" w:rsidR="007460CA" w:rsidRPr="00207748" w:rsidRDefault="00447357" w:rsidP="004454B6">
            <w:pPr>
              <w:spacing w:after="0"/>
              <w:rPr>
                <w:rFonts w:ascii="Cambria" w:hAnsi="Cambria" w:cs="Arial"/>
                <w:sz w:val="20"/>
                <w:szCs w:val="20"/>
              </w:rPr>
            </w:pPr>
            <w:r w:rsidRPr="00207748">
              <w:rPr>
                <w:rFonts w:ascii="Cambria" w:hAnsi="Cambria" w:cs="Arial"/>
                <w:sz w:val="20"/>
                <w:szCs w:val="20"/>
              </w:rPr>
              <w:t>100 %</w:t>
            </w:r>
          </w:p>
        </w:tc>
      </w:tr>
    </w:tbl>
    <w:p w14:paraId="0523A255" w14:textId="7A760618" w:rsidR="00E11869" w:rsidRPr="00207748" w:rsidRDefault="00420A45" w:rsidP="004454B6">
      <w:pPr>
        <w:spacing w:before="240"/>
        <w:rPr>
          <w:rFonts w:ascii="Cambria" w:hAnsi="Cambria" w:cs="Arial"/>
          <w:spacing w:val="1"/>
          <w:sz w:val="20"/>
          <w:szCs w:val="20"/>
        </w:rPr>
      </w:pPr>
      <w:r w:rsidRPr="00207748">
        <w:rPr>
          <w:rFonts w:ascii="Cambria" w:hAnsi="Cambria" w:cs="Arial"/>
          <w:b/>
          <w:bCs/>
          <w:sz w:val="20"/>
          <w:szCs w:val="20"/>
        </w:rPr>
        <w:t>Begründung:</w:t>
      </w:r>
      <w:r w:rsidR="00447357" w:rsidRPr="00207748">
        <w:rPr>
          <w:rFonts w:ascii="Cambria" w:hAnsi="Cambria" w:cs="Arial"/>
          <w:b/>
          <w:bCs/>
          <w:sz w:val="20"/>
          <w:szCs w:val="20"/>
        </w:rPr>
        <w:t xml:space="preserve"> </w:t>
      </w:r>
      <w:r w:rsidR="00447357" w:rsidRPr="00207748">
        <w:rPr>
          <w:rFonts w:ascii="Cambria" w:hAnsi="Cambria" w:cs="Arial"/>
          <w:spacing w:val="1"/>
          <w:sz w:val="20"/>
          <w:szCs w:val="20"/>
        </w:rPr>
        <w:t>Zur Fragestellung welche kristalloide Lösung zur Flüssigkeitstherapie bei Patienten mit Sepsis oder septischen Schock besser geeignet ist, sind bislang nur wenig Daten aus klinischen Studien vorhanden. Yunos et al. untersuchten in zwei prospektiven Observationsstudien in einem Prä</w:t>
      </w:r>
      <w:r w:rsidR="00701487" w:rsidRPr="00207748">
        <w:rPr>
          <w:rFonts w:ascii="Cambria" w:hAnsi="Cambria" w:cs="Arial"/>
          <w:spacing w:val="1"/>
          <w:sz w:val="20"/>
          <w:szCs w:val="20"/>
        </w:rPr>
        <w:t>-/</w:t>
      </w:r>
      <w:r w:rsidR="00447357" w:rsidRPr="00207748">
        <w:rPr>
          <w:rFonts w:ascii="Cambria" w:hAnsi="Cambria" w:cs="Arial"/>
          <w:spacing w:val="1"/>
          <w:sz w:val="20"/>
          <w:szCs w:val="20"/>
        </w:rPr>
        <w:t xml:space="preserve">Post-Design die Auswirkungen eines </w:t>
      </w:r>
      <w:r w:rsidR="00701487" w:rsidRPr="00207748">
        <w:rPr>
          <w:rFonts w:ascii="Cambria" w:hAnsi="Cambria" w:cs="Arial"/>
          <w:spacing w:val="1"/>
          <w:sz w:val="20"/>
          <w:szCs w:val="20"/>
        </w:rPr>
        <w:t>C</w:t>
      </w:r>
      <w:r w:rsidR="00447357" w:rsidRPr="00207748">
        <w:rPr>
          <w:rFonts w:ascii="Cambria" w:hAnsi="Cambria" w:cs="Arial"/>
          <w:spacing w:val="1"/>
          <w:sz w:val="20"/>
          <w:szCs w:val="20"/>
        </w:rPr>
        <w:t xml:space="preserve">hlorid-basierten Infusionsregimes mit einem </w:t>
      </w:r>
      <w:r w:rsidR="00701487" w:rsidRPr="00207748">
        <w:rPr>
          <w:rFonts w:ascii="Cambria" w:hAnsi="Cambria" w:cs="Arial"/>
          <w:spacing w:val="1"/>
          <w:sz w:val="20"/>
          <w:szCs w:val="20"/>
        </w:rPr>
        <w:t>C</w:t>
      </w:r>
      <w:r w:rsidR="00447357" w:rsidRPr="00207748">
        <w:rPr>
          <w:rFonts w:ascii="Cambria" w:hAnsi="Cambria" w:cs="Arial"/>
          <w:spacing w:val="1"/>
          <w:sz w:val="20"/>
          <w:szCs w:val="20"/>
        </w:rPr>
        <w:t>hlorid-restriktiven Infusionsregime bei kritisch kranken Intensivpatienten</w:t>
      </w:r>
      <w:r w:rsidR="00EF1A9E">
        <w:rPr>
          <w:rFonts w:ascii="Cambria" w:hAnsi="Cambria" w:cs="Arial"/>
          <w:spacing w:val="1"/>
          <w:sz w:val="20"/>
          <w:szCs w:val="20"/>
        </w:rPr>
        <w:t>.</w:t>
      </w:r>
      <w:r w:rsidR="00447357" w:rsidRPr="006B2B71">
        <w:rPr>
          <w:rStyle w:val="EndnoteRealZchn"/>
        </w:rPr>
        <w:t>.</w:t>
      </w:r>
      <w:r w:rsidR="00447357" w:rsidRPr="006B2B71">
        <w:rPr>
          <w:rStyle w:val="EndnoteRealZchn"/>
        </w:rPr>
        <w:endnoteReference w:id="258"/>
      </w:r>
      <w:r w:rsidR="00447357" w:rsidRPr="006B2B71">
        <w:rPr>
          <w:rStyle w:val="EndnoteRealZchn"/>
        </w:rPr>
        <w:t xml:space="preserve"> </w:t>
      </w:r>
      <w:r w:rsidR="00447357" w:rsidRPr="006B2B71">
        <w:rPr>
          <w:rStyle w:val="EndnoteRealZchn"/>
        </w:rPr>
        <w:endnoteReference w:id="259"/>
      </w:r>
      <w:r w:rsidR="00447357" w:rsidRPr="00207748">
        <w:rPr>
          <w:rFonts w:ascii="Cambria" w:hAnsi="Cambria" w:cs="Arial"/>
          <w:spacing w:val="1"/>
          <w:sz w:val="20"/>
          <w:szCs w:val="20"/>
        </w:rPr>
        <w:t xml:space="preserve"> In diesen Studien wurden 1.567 bzw. 2.994 Intensivpatienten eingeschlossen. Die Verwendung eines </w:t>
      </w:r>
      <w:r w:rsidR="00701487" w:rsidRPr="00207748">
        <w:rPr>
          <w:rFonts w:ascii="Cambria" w:hAnsi="Cambria" w:cs="Arial"/>
          <w:spacing w:val="1"/>
          <w:sz w:val="20"/>
          <w:szCs w:val="20"/>
        </w:rPr>
        <w:t>C</w:t>
      </w:r>
      <w:r w:rsidR="00447357" w:rsidRPr="00207748">
        <w:rPr>
          <w:rFonts w:ascii="Cambria" w:hAnsi="Cambria" w:cs="Arial"/>
          <w:spacing w:val="1"/>
          <w:sz w:val="20"/>
          <w:szCs w:val="20"/>
        </w:rPr>
        <w:t>hlorid-restriktiven Regimes konnte in beiden Studien das Auftreten eine</w:t>
      </w:r>
      <w:r w:rsidRPr="00207748">
        <w:rPr>
          <w:rFonts w:ascii="Cambria" w:hAnsi="Cambria" w:cs="Arial"/>
          <w:spacing w:val="1"/>
          <w:sz w:val="20"/>
          <w:szCs w:val="20"/>
        </w:rPr>
        <w:t>r</w:t>
      </w:r>
      <w:r w:rsidR="00447357" w:rsidRPr="00207748">
        <w:rPr>
          <w:rFonts w:ascii="Cambria" w:hAnsi="Cambria" w:cs="Arial"/>
          <w:spacing w:val="1"/>
          <w:sz w:val="20"/>
          <w:szCs w:val="20"/>
        </w:rPr>
        <w:t xml:space="preserve"> </w:t>
      </w:r>
      <w:r w:rsidRPr="00207748">
        <w:rPr>
          <w:rFonts w:ascii="Cambria" w:hAnsi="Cambria" w:cs="Arial"/>
          <w:spacing w:val="1"/>
          <w:sz w:val="20"/>
          <w:szCs w:val="20"/>
        </w:rPr>
        <w:t>Acute Kidney Injury (AKI)</w:t>
      </w:r>
      <w:r w:rsidRPr="00207748" w:rsidDel="00420A45">
        <w:rPr>
          <w:rFonts w:ascii="Cambria" w:hAnsi="Cambria" w:cs="Arial"/>
          <w:spacing w:val="1"/>
          <w:sz w:val="20"/>
          <w:szCs w:val="20"/>
        </w:rPr>
        <w:t xml:space="preserve"> </w:t>
      </w:r>
      <w:r w:rsidR="00AF07E3">
        <w:rPr>
          <w:rFonts w:ascii="Cambria" w:hAnsi="Cambria" w:cs="Arial"/>
          <w:spacing w:val="1"/>
          <w:sz w:val="20"/>
          <w:szCs w:val="20"/>
        </w:rPr>
        <w:t xml:space="preserve">des </w:t>
      </w:r>
      <w:r w:rsidR="00447357" w:rsidRPr="00207748">
        <w:rPr>
          <w:rFonts w:ascii="Cambria" w:hAnsi="Cambria" w:cs="Arial"/>
          <w:spacing w:val="1"/>
          <w:sz w:val="20"/>
          <w:szCs w:val="20"/>
        </w:rPr>
        <w:t>Stadiums 2 und 3, sowie die Notwendigkeit einer Nierenersatztherapie signifikant vermindern, während sich bezüglich der Krankenhaussterblichkeit oder der Liegedauer auf der ITS keine Unterschiede zeigten. Ein</w:t>
      </w:r>
      <w:r w:rsidR="00537477">
        <w:rPr>
          <w:rFonts w:ascii="Cambria" w:hAnsi="Cambria" w:cs="Arial"/>
          <w:spacing w:val="1"/>
          <w:sz w:val="20"/>
          <w:szCs w:val="20"/>
        </w:rPr>
        <w:t>e</w:t>
      </w:r>
      <w:r w:rsidR="00447357" w:rsidRPr="00207748">
        <w:rPr>
          <w:rFonts w:ascii="Cambria" w:hAnsi="Cambria" w:cs="Arial"/>
          <w:spacing w:val="1"/>
          <w:sz w:val="20"/>
          <w:szCs w:val="20"/>
        </w:rPr>
        <w:t xml:space="preserve"> aktuelle RCT zum Vergleich von balancierten Lösungen (Ringer Lösung oder Plasma-Lyte A L</w:t>
      </w:r>
      <w:r w:rsidR="00701487" w:rsidRPr="00207748">
        <w:rPr>
          <w:rFonts w:ascii="Cambria" w:hAnsi="Cambria" w:cs="Arial"/>
          <w:spacing w:val="1"/>
          <w:sz w:val="20"/>
          <w:szCs w:val="20"/>
        </w:rPr>
        <w:t>ösung</w:t>
      </w:r>
      <w:r w:rsidR="00447357" w:rsidRPr="00207748">
        <w:rPr>
          <w:rFonts w:ascii="Cambria" w:hAnsi="Cambria" w:cs="Arial"/>
          <w:spacing w:val="1"/>
          <w:sz w:val="20"/>
          <w:szCs w:val="20"/>
        </w:rPr>
        <w:t xml:space="preserve">) und 0,9 % NaCl an insgesamt 15.802 kritisch kranken Patienten zeigte bezüglich einem kombinierten Endpunkt (Sterblichkeit, neue Nierenersatztherapie und anhaltende Nierenfunktionsstörung) signifikante Vorteile. Insbesondere in der Subgruppe mit Sepsis oder </w:t>
      </w:r>
      <w:r w:rsidR="00447357" w:rsidRPr="00207748">
        <w:rPr>
          <w:rFonts w:ascii="Cambria" w:hAnsi="Cambria" w:cs="Arial"/>
          <w:spacing w:val="1"/>
          <w:sz w:val="20"/>
          <w:szCs w:val="20"/>
        </w:rPr>
        <w:lastRenderedPageBreak/>
        <w:t>septischem Schock (ca.15 % aller Patienten) zeigte sich ein signifikant besseres Ergebnis für die balancierten Lösungen (OR 0.8 ; CI</w:t>
      </w:r>
      <w:r w:rsidR="002B1061">
        <w:rPr>
          <w:rFonts w:ascii="Cambria" w:hAnsi="Cambria" w:cs="Arial"/>
          <w:spacing w:val="1"/>
          <w:sz w:val="20"/>
          <w:szCs w:val="20"/>
        </w:rPr>
        <w:t xml:space="preserve"> </w:t>
      </w:r>
      <w:r w:rsidR="00447357" w:rsidRPr="00207748">
        <w:rPr>
          <w:rFonts w:ascii="Cambria" w:hAnsi="Cambria" w:cs="Arial"/>
          <w:spacing w:val="1"/>
          <w:sz w:val="20"/>
          <w:szCs w:val="20"/>
        </w:rPr>
        <w:t>0.67-0.94, p= 0.01)</w:t>
      </w:r>
      <w:r w:rsidR="008962B5" w:rsidRPr="00207748">
        <w:rPr>
          <w:rFonts w:ascii="Cambria" w:hAnsi="Cambria" w:cs="Arial"/>
          <w:spacing w:val="1"/>
          <w:sz w:val="20"/>
          <w:szCs w:val="20"/>
        </w:rPr>
        <w:t>.</w:t>
      </w:r>
      <w:r w:rsidR="00447357" w:rsidRPr="006B2B71">
        <w:rPr>
          <w:rStyle w:val="EndnoteRealZchn"/>
        </w:rPr>
        <w:endnoteReference w:id="260"/>
      </w:r>
      <w:r w:rsidR="00447357" w:rsidRPr="006B2B71">
        <w:rPr>
          <w:rStyle w:val="EndnoteRealZchn"/>
        </w:rPr>
        <w:t xml:space="preserve"> </w:t>
      </w:r>
      <w:r w:rsidR="00447357" w:rsidRPr="00207748">
        <w:rPr>
          <w:rFonts w:ascii="Cambria" w:hAnsi="Cambria" w:cs="Arial"/>
          <w:spacing w:val="1"/>
          <w:sz w:val="20"/>
          <w:szCs w:val="20"/>
        </w:rPr>
        <w:t>Dem gegenüber steht eine Meta-Analyse von allerdings minderer Qualität von Rochwerg et al., die keinen Unterschied zwischen balancierten kristalloiden Lösungen und 0,9 % NaCl-Lösung bezüglich Sterblichkeit und Indikation zur Nierenersatztherapie aufzeigt.</w:t>
      </w:r>
      <w:bookmarkStart w:id="388" w:name="_Ref30586453"/>
      <w:r w:rsidR="00447357" w:rsidRPr="006B2B71">
        <w:rPr>
          <w:rStyle w:val="EndnoteRealZchn"/>
        </w:rPr>
        <w:endnoteReference w:id="261"/>
      </w:r>
      <w:bookmarkEnd w:id="388"/>
      <w:r w:rsidR="00447357" w:rsidRPr="00207748">
        <w:rPr>
          <w:rFonts w:ascii="Cambria" w:hAnsi="Cambria" w:cs="Arial"/>
          <w:spacing w:val="1"/>
          <w:sz w:val="20"/>
          <w:szCs w:val="20"/>
        </w:rPr>
        <w:t xml:space="preserve"> In einer weiteren Studie (SP</w:t>
      </w:r>
      <w:r w:rsidR="00AF07E3">
        <w:rPr>
          <w:rFonts w:ascii="Cambria" w:hAnsi="Cambria" w:cs="Arial"/>
          <w:spacing w:val="1"/>
          <w:sz w:val="20"/>
          <w:szCs w:val="20"/>
        </w:rPr>
        <w:t>LIT</w:t>
      </w:r>
      <w:r w:rsidR="00447357" w:rsidRPr="00207748">
        <w:rPr>
          <w:rFonts w:ascii="Cambria" w:hAnsi="Cambria" w:cs="Arial"/>
          <w:spacing w:val="1"/>
          <w:sz w:val="20"/>
          <w:szCs w:val="20"/>
        </w:rPr>
        <w:t>-Trial) mit 2.278 Intensivpatienten konnten keine positiven Effekte einer balancierten Lösung im Vergleich zu einer 0,9 % NaCl-Lösung gefunden werden Diese Studie ist bezüglich der Aussagefähigkeit bei Sepsis jedoch stark eingeschränkt, da lediglich 3,7 % (n=84) Patienten eine Sepsis aufwiesen</w:t>
      </w:r>
      <w:r w:rsidR="008962B5" w:rsidRPr="00207748">
        <w:rPr>
          <w:rFonts w:ascii="Cambria" w:hAnsi="Cambria" w:cs="Arial"/>
          <w:spacing w:val="1"/>
          <w:sz w:val="20"/>
          <w:szCs w:val="20"/>
        </w:rPr>
        <w:t>.</w:t>
      </w:r>
      <w:r w:rsidR="00447357" w:rsidRPr="006B2B71">
        <w:rPr>
          <w:rStyle w:val="EndnoteRealZchn"/>
        </w:rPr>
        <w:endnoteReference w:id="262"/>
      </w:r>
      <w:r w:rsidR="00447357" w:rsidRPr="006B2B71">
        <w:rPr>
          <w:rStyle w:val="EndnoteRealZchn"/>
        </w:rPr>
        <w:t xml:space="preserve"> </w:t>
      </w:r>
      <w:r w:rsidR="00447357" w:rsidRPr="00207748">
        <w:rPr>
          <w:rFonts w:ascii="Cambria" w:hAnsi="Cambria" w:cs="Arial"/>
          <w:spacing w:val="1"/>
          <w:sz w:val="20"/>
          <w:szCs w:val="20"/>
        </w:rPr>
        <w:t>Inkludiert man die aktuelle Studie von Semler et al. in die Evidenztabelle so ergibt sich bezüglich der Sterblichkeit kein Unterschied zwischen den beiden Lösungen (OR 0.89; CI 0.74-1.04)</w:t>
      </w:r>
      <w:r w:rsidR="002B1061">
        <w:rPr>
          <w:rFonts w:ascii="Cambria" w:hAnsi="Cambria" w:cs="Arial"/>
          <w:spacing w:val="1"/>
          <w:sz w:val="20"/>
          <w:szCs w:val="20"/>
        </w:rPr>
        <w:t xml:space="preserve"> </w:t>
      </w:r>
      <w:r w:rsidR="00447357" w:rsidRPr="00207748">
        <w:rPr>
          <w:rFonts w:ascii="Cambria" w:hAnsi="Cambria" w:cs="Arial"/>
          <w:spacing w:val="1"/>
          <w:sz w:val="20"/>
          <w:szCs w:val="20"/>
        </w:rPr>
        <w:t>bezüglich des Auftretens einer schweren Nierenschädigung</w:t>
      </w:r>
      <w:r w:rsidRPr="00207748">
        <w:rPr>
          <w:rFonts w:ascii="Cambria" w:hAnsi="Cambria" w:cs="Arial"/>
          <w:spacing w:val="1"/>
          <w:sz w:val="20"/>
          <w:szCs w:val="20"/>
        </w:rPr>
        <w:t>. Insgesamt besteht</w:t>
      </w:r>
      <w:r w:rsidR="00447357" w:rsidRPr="00207748">
        <w:rPr>
          <w:rFonts w:ascii="Cambria" w:hAnsi="Cambria" w:cs="Arial"/>
          <w:spacing w:val="1"/>
          <w:sz w:val="20"/>
          <w:szCs w:val="20"/>
        </w:rPr>
        <w:t xml:space="preserve"> ein Vorteil für die balancierten Lösungen (OR 0.85; CI 0.74-0.98) auf moderatem Evidenzniveau</w:t>
      </w:r>
      <w:r w:rsidR="008962B5" w:rsidRPr="00207748">
        <w:rPr>
          <w:rFonts w:ascii="Cambria" w:hAnsi="Cambria" w:cs="Arial"/>
          <w:spacing w:val="1"/>
          <w:sz w:val="20"/>
          <w:szCs w:val="20"/>
        </w:rPr>
        <w:t xml:space="preserve"> </w:t>
      </w:r>
      <w:r w:rsidR="00447357" w:rsidRPr="006B2B71">
        <w:rPr>
          <w:rStyle w:val="EndnoteRealZchn"/>
        </w:rPr>
        <w:t>.</w:t>
      </w:r>
      <w:r w:rsidR="008962B5" w:rsidRPr="006B2B71">
        <w:rPr>
          <w:rStyle w:val="EndnoteRealZchn"/>
        </w:rPr>
        <w:endnoteReference w:id="263"/>
      </w:r>
    </w:p>
    <w:p w14:paraId="714CC28E" w14:textId="333737CC" w:rsidR="00E11869" w:rsidRDefault="00447357" w:rsidP="00665775">
      <w:pPr>
        <w:spacing w:before="240"/>
        <w:rPr>
          <w:rFonts w:ascii="Cambria" w:hAnsi="Cambria" w:cs="Arial"/>
          <w:spacing w:val="1"/>
          <w:sz w:val="20"/>
          <w:szCs w:val="20"/>
        </w:rPr>
      </w:pPr>
      <w:r w:rsidRPr="00207748">
        <w:rPr>
          <w:rFonts w:ascii="Cambria" w:hAnsi="Cambria" w:cs="Arial"/>
          <w:spacing w:val="1"/>
          <w:sz w:val="20"/>
          <w:szCs w:val="20"/>
        </w:rPr>
        <w:t>Der Empfehlungsgrad „starke Empfehlung“ für balancierte Lösungen, trägt dem Umstand Rechnung, dass zwar im Hinblick auf den isolierten Endpunkt Sterblichkeit für Patienten mit Sepsis und septischem Schock kein positiver Effekt gezeigt werden konnte, aber bei kombinierten Studienendpunkten und bezüglich der Vermeidung oder Verminderung von Organdysfunktion (Niere) die erwiesenen positiven Effekte</w:t>
      </w:r>
      <w:r w:rsidR="000D1CC1" w:rsidRPr="00207748">
        <w:rPr>
          <w:rFonts w:ascii="Cambria" w:hAnsi="Cambria" w:cs="Arial"/>
          <w:spacing w:val="1"/>
          <w:sz w:val="20"/>
          <w:szCs w:val="20"/>
        </w:rPr>
        <w:t xml:space="preserve"> der balancierten kristalloiden Lösungen </w:t>
      </w:r>
      <w:r w:rsidRPr="00207748">
        <w:rPr>
          <w:rFonts w:ascii="Cambria" w:hAnsi="Cambria" w:cs="Arial"/>
          <w:spacing w:val="1"/>
          <w:sz w:val="20"/>
          <w:szCs w:val="20"/>
        </w:rPr>
        <w:t>überzeugen.</w:t>
      </w:r>
    </w:p>
    <w:p w14:paraId="686448E6" w14:textId="36E69E0D" w:rsidR="002B1061" w:rsidRDefault="002B1061" w:rsidP="00665775">
      <w:pPr>
        <w:spacing w:before="240"/>
        <w:rPr>
          <w:rFonts w:ascii="Cambria" w:hAnsi="Cambria" w:cs="Arial"/>
          <w:spacing w:val="1"/>
          <w:sz w:val="20"/>
          <w:szCs w:val="20"/>
        </w:rPr>
      </w:pPr>
    </w:p>
    <w:p w14:paraId="484A1736" w14:textId="5CD40A37" w:rsidR="002B1061" w:rsidRDefault="002B1061" w:rsidP="00665775">
      <w:pPr>
        <w:spacing w:before="240"/>
        <w:rPr>
          <w:rFonts w:ascii="Cambria" w:hAnsi="Cambria" w:cs="Arial"/>
          <w:spacing w:val="1"/>
          <w:sz w:val="20"/>
          <w:szCs w:val="20"/>
        </w:rPr>
      </w:pPr>
    </w:p>
    <w:p w14:paraId="4D98CCED" w14:textId="04F94CCF" w:rsidR="002B1061" w:rsidRDefault="002B1061" w:rsidP="00665775">
      <w:pPr>
        <w:spacing w:before="240"/>
        <w:rPr>
          <w:rFonts w:ascii="Cambria" w:hAnsi="Cambria" w:cs="Arial"/>
          <w:spacing w:val="1"/>
          <w:sz w:val="20"/>
          <w:szCs w:val="20"/>
        </w:rPr>
      </w:pPr>
    </w:p>
    <w:p w14:paraId="6B045858" w14:textId="2952DED0" w:rsidR="002B1061" w:rsidRDefault="002B1061" w:rsidP="00665775">
      <w:pPr>
        <w:spacing w:before="240"/>
        <w:rPr>
          <w:rFonts w:ascii="Cambria" w:hAnsi="Cambria" w:cs="Arial"/>
          <w:spacing w:val="1"/>
          <w:sz w:val="20"/>
          <w:szCs w:val="20"/>
        </w:rPr>
      </w:pPr>
    </w:p>
    <w:p w14:paraId="6B3A9957" w14:textId="77777777" w:rsidR="002B1061" w:rsidRPr="00207748" w:rsidRDefault="002B1061" w:rsidP="00665775">
      <w:pPr>
        <w:spacing w:before="240"/>
        <w:rPr>
          <w:rFonts w:ascii="Cambria" w:hAnsi="Cambria" w:cs="Arial"/>
          <w:spacing w:val="1"/>
          <w:sz w:val="20"/>
          <w:szCs w:val="20"/>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788"/>
        <w:gridCol w:w="1727"/>
        <w:gridCol w:w="818"/>
      </w:tblGrid>
      <w:tr w:rsidR="00E11869" w:rsidRPr="00207748" w14:paraId="45F7CE8C" w14:textId="77777777" w:rsidTr="00B26F79">
        <w:trPr>
          <w:trHeight w:val="282"/>
        </w:trPr>
        <w:tc>
          <w:tcPr>
            <w:tcW w:w="2063"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28D0A445"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F.4</w:t>
            </w:r>
          </w:p>
        </w:tc>
        <w:tc>
          <w:tcPr>
            <w:tcW w:w="1993"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73AA715"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Empfehlung</w:t>
            </w:r>
          </w:p>
        </w:tc>
        <w:tc>
          <w:tcPr>
            <w:tcW w:w="945"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028BD6D"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2018</w:t>
            </w:r>
          </w:p>
        </w:tc>
      </w:tr>
      <w:tr w:rsidR="00E11869" w:rsidRPr="00207748" w14:paraId="2DC37BF7" w14:textId="77777777" w:rsidTr="00B26F79">
        <w:trPr>
          <w:trHeight w:val="4455"/>
        </w:trPr>
        <w:tc>
          <w:tcPr>
            <w:tcW w:w="2063"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BA36E"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lastRenderedPageBreak/>
              <w:t>Empfehlungsgrad</w:t>
            </w:r>
          </w:p>
          <w:p w14:paraId="0F79933F" w14:textId="77777777" w:rsidR="00E11869" w:rsidRPr="00207748" w:rsidRDefault="00E11869" w:rsidP="004454B6">
            <w:pPr>
              <w:spacing w:after="0"/>
              <w:rPr>
                <w:rFonts w:ascii="Cambria" w:eastAsia="Arial" w:hAnsi="Cambria" w:cs="Arial"/>
                <w:b/>
                <w:bCs/>
                <w:sz w:val="20"/>
                <w:szCs w:val="20"/>
              </w:rPr>
            </w:pPr>
          </w:p>
          <w:p w14:paraId="46129B06" w14:textId="77777777" w:rsidR="00E11869" w:rsidRPr="00207748" w:rsidRDefault="00447357" w:rsidP="004454B6">
            <w:pPr>
              <w:spacing w:after="0"/>
              <w:rPr>
                <w:rFonts w:ascii="Cambria" w:eastAsia="Arial" w:hAnsi="Cambria" w:cs="Arial"/>
                <w:b/>
                <w:bCs/>
                <w:sz w:val="20"/>
                <w:szCs w:val="20"/>
              </w:rPr>
            </w:pPr>
            <w:r w:rsidRPr="00207748">
              <w:rPr>
                <w:rFonts w:ascii="Cambria" w:hAnsi="Cambria" w:cs="Arial"/>
                <w:b/>
                <w:bCs/>
                <w:sz w:val="20"/>
                <w:szCs w:val="20"/>
              </w:rPr>
              <w:t>schwach</w:t>
            </w:r>
          </w:p>
          <w:p w14:paraId="52D2056D" w14:textId="77777777" w:rsidR="00E11869" w:rsidRPr="00207748" w:rsidRDefault="00E11869" w:rsidP="004454B6">
            <w:pPr>
              <w:spacing w:after="0"/>
              <w:rPr>
                <w:rFonts w:ascii="Cambria" w:eastAsia="Arial" w:hAnsi="Cambria" w:cs="Arial"/>
                <w:sz w:val="20"/>
                <w:szCs w:val="20"/>
              </w:rPr>
            </w:pPr>
          </w:p>
          <w:p w14:paraId="5E27150A"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t>Evidenzqualität</w:t>
            </w:r>
          </w:p>
          <w:p w14:paraId="1C5F16CC" w14:textId="77777777" w:rsidR="00E11869" w:rsidRPr="00207748" w:rsidRDefault="00E11869" w:rsidP="004454B6">
            <w:pPr>
              <w:spacing w:after="0"/>
              <w:rPr>
                <w:rFonts w:ascii="Cambria" w:eastAsia="Arial" w:hAnsi="Cambria" w:cs="Arial"/>
                <w:sz w:val="20"/>
                <w:szCs w:val="20"/>
              </w:rPr>
            </w:pPr>
          </w:p>
          <w:p w14:paraId="06FA54BF"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niedrig</w:t>
            </w:r>
          </w:p>
        </w:tc>
        <w:tc>
          <w:tcPr>
            <w:tcW w:w="293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1E58C" w14:textId="77777777" w:rsidR="008962B5" w:rsidRPr="00207748" w:rsidRDefault="008962B5" w:rsidP="004454B6">
            <w:pPr>
              <w:spacing w:after="0"/>
              <w:rPr>
                <w:rFonts w:ascii="Cambria" w:hAnsi="Cambria" w:cs="Arial"/>
                <w:b/>
                <w:bCs/>
                <w:spacing w:val="-2"/>
                <w:sz w:val="20"/>
                <w:szCs w:val="20"/>
              </w:rPr>
            </w:pPr>
            <w:r w:rsidRPr="00207748">
              <w:rPr>
                <w:rFonts w:ascii="Cambria" w:hAnsi="Cambria" w:cs="Arial"/>
                <w:b/>
                <w:bCs/>
                <w:spacing w:val="-2"/>
                <w:sz w:val="20"/>
                <w:szCs w:val="20"/>
              </w:rPr>
              <w:t>Wir schlagen vor, dass von einer Verwendung von Albumin oder Gelatine bei der Behandlung von Patienten mit septischem Schock abgesehen wird, sofern eine adäquate Flüssigkeitstherapie mit Kristalloiden in der Lage ist, die hämodynamische Stabilität zu erreichen. Für den Fall, dass dies nicht möglich sein sollte, schlagen wir den ergänzenden Einsatz von Albumin oder Gelatine vor.</w:t>
            </w:r>
          </w:p>
          <w:p w14:paraId="1420149D" w14:textId="77777777" w:rsidR="00E11869" w:rsidRPr="00207748" w:rsidRDefault="00E11869" w:rsidP="004454B6">
            <w:pPr>
              <w:spacing w:after="0"/>
              <w:rPr>
                <w:rFonts w:ascii="Cambria" w:hAnsi="Cambria" w:cs="Arial"/>
                <w:sz w:val="20"/>
                <w:szCs w:val="20"/>
              </w:rPr>
            </w:pPr>
          </w:p>
        </w:tc>
      </w:tr>
      <w:tr w:rsidR="00E11869" w:rsidRPr="00207748" w14:paraId="6FAB6543" w14:textId="77777777" w:rsidTr="00B26F79">
        <w:trPr>
          <w:trHeight w:val="562"/>
        </w:trPr>
        <w:tc>
          <w:tcPr>
            <w:tcW w:w="2063" w:type="pct"/>
            <w:vMerge/>
            <w:tcBorders>
              <w:top w:val="single" w:sz="4" w:space="0" w:color="000000"/>
              <w:left w:val="single" w:sz="4" w:space="0" w:color="000000"/>
              <w:bottom w:val="single" w:sz="4" w:space="0" w:color="000000"/>
              <w:right w:val="single" w:sz="4" w:space="0" w:color="000000"/>
            </w:tcBorders>
            <w:shd w:val="clear" w:color="auto" w:fill="auto"/>
          </w:tcPr>
          <w:p w14:paraId="3F777DA9" w14:textId="77777777" w:rsidR="00E11869" w:rsidRPr="00207748" w:rsidRDefault="00E11869" w:rsidP="004454B6">
            <w:pPr>
              <w:rPr>
                <w:rFonts w:ascii="Cambria" w:hAnsi="Cambria" w:cs="Arial"/>
                <w:sz w:val="20"/>
                <w:szCs w:val="20"/>
              </w:rPr>
            </w:pPr>
          </w:p>
        </w:tc>
        <w:tc>
          <w:tcPr>
            <w:tcW w:w="293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C8872"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SSC</w:t>
            </w:r>
            <w:r w:rsidR="00420A45" w:rsidRPr="00207748">
              <w:rPr>
                <w:rFonts w:ascii="Cambria" w:hAnsi="Cambria" w:cs="Arial"/>
                <w:b/>
                <w:bCs/>
                <w:sz w:val="20"/>
                <w:szCs w:val="20"/>
              </w:rPr>
              <w:t>-</w:t>
            </w:r>
            <w:r w:rsidRPr="00207748">
              <w:rPr>
                <w:rFonts w:ascii="Cambria" w:hAnsi="Cambria" w:cs="Arial"/>
                <w:b/>
                <w:bCs/>
                <w:sz w:val="20"/>
                <w:szCs w:val="20"/>
              </w:rPr>
              <w:t>Leitlinienmodifikation</w:t>
            </w:r>
          </w:p>
        </w:tc>
      </w:tr>
      <w:tr w:rsidR="00E11869" w:rsidRPr="00207748" w14:paraId="21B56DA9" w14:textId="77777777" w:rsidTr="00B26F79">
        <w:trPr>
          <w:trHeight w:val="842"/>
        </w:trPr>
        <w:tc>
          <w:tcPr>
            <w:tcW w:w="20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8B21B" w14:textId="77777777" w:rsidR="00E11869" w:rsidRPr="00207748" w:rsidRDefault="00E11869" w:rsidP="004454B6">
            <w:pPr>
              <w:rPr>
                <w:rFonts w:ascii="Cambria" w:hAnsi="Cambria" w:cs="Arial"/>
                <w:sz w:val="20"/>
                <w:szCs w:val="20"/>
              </w:rPr>
            </w:pPr>
          </w:p>
        </w:tc>
        <w:tc>
          <w:tcPr>
            <w:tcW w:w="293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6D9AB" w14:textId="77777777" w:rsidR="00B26F79" w:rsidRDefault="00447357" w:rsidP="004454B6">
            <w:pPr>
              <w:spacing w:after="0"/>
              <w:rPr>
                <w:rFonts w:ascii="Cambria" w:hAnsi="Cambria" w:cs="Arial"/>
                <w:sz w:val="20"/>
                <w:szCs w:val="20"/>
              </w:rPr>
            </w:pPr>
            <w:r w:rsidRPr="00207748">
              <w:rPr>
                <w:rFonts w:ascii="Cambria" w:hAnsi="Cambria" w:cs="Arial"/>
                <w:sz w:val="20"/>
                <w:szCs w:val="20"/>
              </w:rPr>
              <w:t xml:space="preserve">Konsensstärke bei Doppelabstimmung: </w:t>
            </w:r>
          </w:p>
          <w:p w14:paraId="6EB56589" w14:textId="6D4D9CD7" w:rsidR="00E11869" w:rsidRPr="00207748" w:rsidRDefault="00447357" w:rsidP="004454B6">
            <w:pPr>
              <w:spacing w:after="0"/>
              <w:rPr>
                <w:rFonts w:ascii="Cambria" w:hAnsi="Cambria" w:cs="Arial"/>
                <w:sz w:val="20"/>
                <w:szCs w:val="20"/>
              </w:rPr>
            </w:pPr>
            <w:r w:rsidRPr="00207748">
              <w:rPr>
                <w:rFonts w:ascii="Cambria" w:hAnsi="Cambria" w:cs="Arial"/>
                <w:sz w:val="20"/>
                <w:szCs w:val="20"/>
              </w:rPr>
              <w:t>100 %</w:t>
            </w:r>
          </w:p>
          <w:p w14:paraId="40052DA8" w14:textId="5D9B029A" w:rsidR="00CA4E36" w:rsidRPr="00207748" w:rsidRDefault="00CA4E36" w:rsidP="004454B6">
            <w:pPr>
              <w:spacing w:after="0"/>
              <w:rPr>
                <w:rFonts w:ascii="Cambria" w:hAnsi="Cambria" w:cs="Arial"/>
                <w:sz w:val="20"/>
                <w:szCs w:val="20"/>
              </w:rPr>
            </w:pPr>
          </w:p>
        </w:tc>
      </w:tr>
    </w:tbl>
    <w:p w14:paraId="483CA7E3" w14:textId="0B66A9D3" w:rsidR="00E11869" w:rsidRPr="00207748" w:rsidRDefault="00420A45" w:rsidP="004454B6">
      <w:pPr>
        <w:spacing w:before="240"/>
        <w:rPr>
          <w:rFonts w:ascii="Cambria" w:hAnsi="Cambria" w:cs="Arial"/>
          <w:spacing w:val="1"/>
          <w:sz w:val="20"/>
          <w:szCs w:val="20"/>
        </w:rPr>
      </w:pPr>
      <w:r w:rsidRPr="00207748">
        <w:rPr>
          <w:rFonts w:ascii="Cambria" w:hAnsi="Cambria" w:cs="Arial"/>
          <w:b/>
          <w:bCs/>
          <w:sz w:val="20"/>
          <w:szCs w:val="20"/>
        </w:rPr>
        <w:t>Begründung:</w:t>
      </w:r>
      <w:r w:rsidR="00447357" w:rsidRPr="00207748">
        <w:rPr>
          <w:rFonts w:ascii="Cambria" w:hAnsi="Cambria" w:cs="Arial"/>
          <w:b/>
          <w:bCs/>
          <w:sz w:val="20"/>
          <w:szCs w:val="20"/>
        </w:rPr>
        <w:t xml:space="preserve"> </w:t>
      </w:r>
      <w:r w:rsidR="00447357" w:rsidRPr="00207748">
        <w:rPr>
          <w:rFonts w:ascii="Cambria" w:hAnsi="Cambria" w:cs="Arial"/>
          <w:spacing w:val="1"/>
          <w:sz w:val="20"/>
          <w:szCs w:val="20"/>
        </w:rPr>
        <w:t>Zu der Fragestellung, ob kolloidale Lösungen in Kombination mit einer kristallinen Lösung als Flüssigkeitstherapie bei Patienten mit Sepsis oder septischem Schock vorteilhaft sind, liegen nur wenige Daten aus klinischen Studien vor. Die Ergebnisse eine</w:t>
      </w:r>
      <w:r w:rsidR="00537477">
        <w:rPr>
          <w:rFonts w:ascii="Cambria" w:hAnsi="Cambria" w:cs="Arial"/>
          <w:spacing w:val="1"/>
          <w:sz w:val="20"/>
          <w:szCs w:val="20"/>
        </w:rPr>
        <w:t>r</w:t>
      </w:r>
      <w:r w:rsidR="00447357" w:rsidRPr="00207748">
        <w:rPr>
          <w:rFonts w:ascii="Cambria" w:hAnsi="Cambria" w:cs="Arial"/>
          <w:spacing w:val="1"/>
          <w:sz w:val="20"/>
          <w:szCs w:val="20"/>
        </w:rPr>
        <w:t xml:space="preserve"> RCT </w:t>
      </w:r>
      <w:bookmarkStart w:id="389" w:name="_Ref30586349"/>
      <w:r w:rsidR="00447357" w:rsidRPr="006B2B71">
        <w:rPr>
          <w:rStyle w:val="EndnoteRealZchn"/>
        </w:rPr>
        <w:endnoteReference w:id="264"/>
      </w:r>
      <w:bookmarkEnd w:id="389"/>
      <w:r w:rsidR="00447357" w:rsidRPr="006B2B71">
        <w:rPr>
          <w:rStyle w:val="EndnoteRealZchn"/>
        </w:rPr>
        <w:t xml:space="preserve"> </w:t>
      </w:r>
      <w:r w:rsidR="00537477">
        <w:rPr>
          <w:rFonts w:ascii="Cambria" w:hAnsi="Cambria" w:cs="Arial"/>
          <w:spacing w:val="1"/>
          <w:sz w:val="20"/>
          <w:szCs w:val="20"/>
        </w:rPr>
        <w:t>zeigen</w:t>
      </w:r>
      <w:r w:rsidR="00447357" w:rsidRPr="00207748">
        <w:rPr>
          <w:rFonts w:ascii="Cambria" w:hAnsi="Cambria" w:cs="Arial"/>
          <w:spacing w:val="1"/>
          <w:sz w:val="20"/>
          <w:szCs w:val="20"/>
        </w:rPr>
        <w:t xml:space="preserve"> einen Vorteil von Kolloiden inklusive von HES in der 90-Tage</w:t>
      </w:r>
      <w:r w:rsidR="006F0117" w:rsidRPr="00207748">
        <w:rPr>
          <w:rFonts w:ascii="Cambria" w:hAnsi="Cambria" w:cs="Arial"/>
          <w:spacing w:val="1"/>
          <w:sz w:val="20"/>
          <w:szCs w:val="20"/>
        </w:rPr>
        <w:t>-</w:t>
      </w:r>
      <w:r w:rsidR="00447357" w:rsidRPr="00207748">
        <w:rPr>
          <w:rFonts w:ascii="Cambria" w:hAnsi="Cambria" w:cs="Arial"/>
          <w:spacing w:val="1"/>
          <w:sz w:val="20"/>
          <w:szCs w:val="20"/>
        </w:rPr>
        <w:t>Sterblichkeit</w:t>
      </w:r>
      <w:r w:rsidR="00BE49F6">
        <w:rPr>
          <w:rFonts w:ascii="Cambria" w:hAnsi="Cambria" w:cs="Arial"/>
          <w:spacing w:val="1"/>
          <w:sz w:val="20"/>
          <w:szCs w:val="20"/>
        </w:rPr>
        <w:t xml:space="preserve"> auf</w:t>
      </w:r>
      <w:r w:rsidR="00447357" w:rsidRPr="00207748">
        <w:rPr>
          <w:rFonts w:ascii="Cambria" w:hAnsi="Cambria" w:cs="Arial"/>
          <w:spacing w:val="1"/>
          <w:sz w:val="20"/>
          <w:szCs w:val="20"/>
        </w:rPr>
        <w:t xml:space="preserve">. Da </w:t>
      </w:r>
      <w:r w:rsidR="00BE49F6">
        <w:rPr>
          <w:rFonts w:ascii="Cambria" w:hAnsi="Cambria" w:cs="Arial"/>
          <w:spacing w:val="1"/>
          <w:sz w:val="20"/>
          <w:szCs w:val="20"/>
        </w:rPr>
        <w:t>jedoch</w:t>
      </w:r>
      <w:r w:rsidR="00447357" w:rsidRPr="00207748">
        <w:rPr>
          <w:rFonts w:ascii="Cambria" w:hAnsi="Cambria" w:cs="Arial"/>
          <w:spacing w:val="1"/>
          <w:sz w:val="20"/>
          <w:szCs w:val="20"/>
        </w:rPr>
        <w:t xml:space="preserve"> als primäres Studienziel der CRISTAL-Studie ein Unterschied in der 28-Tage</w:t>
      </w:r>
      <w:r w:rsidR="006F0117" w:rsidRPr="00207748">
        <w:rPr>
          <w:rFonts w:ascii="Cambria" w:hAnsi="Cambria" w:cs="Arial"/>
          <w:spacing w:val="1"/>
          <w:sz w:val="20"/>
          <w:szCs w:val="20"/>
        </w:rPr>
        <w:t>-</w:t>
      </w:r>
      <w:r w:rsidR="00447357" w:rsidRPr="00207748">
        <w:rPr>
          <w:rFonts w:ascii="Cambria" w:hAnsi="Cambria" w:cs="Arial"/>
          <w:spacing w:val="1"/>
          <w:sz w:val="20"/>
          <w:szCs w:val="20"/>
        </w:rPr>
        <w:t>Sterblichkeit definiert worden war, handelt es sich um ein methodisch negatives Ergebnis. Meta-Analyse</w:t>
      </w:r>
      <w:r w:rsidRPr="00207748">
        <w:rPr>
          <w:rFonts w:ascii="Cambria" w:hAnsi="Cambria" w:cs="Arial"/>
          <w:spacing w:val="1"/>
          <w:sz w:val="20"/>
          <w:szCs w:val="20"/>
        </w:rPr>
        <w:t>n konnten zeigen,</w:t>
      </w:r>
      <w:r w:rsidR="00447357" w:rsidRPr="00207748">
        <w:rPr>
          <w:rFonts w:ascii="Cambria" w:hAnsi="Cambria" w:cs="Arial"/>
          <w:spacing w:val="1"/>
          <w:sz w:val="20"/>
          <w:szCs w:val="20"/>
        </w:rPr>
        <w:t xml:space="preserve"> dass auch der Einsatz von Gelatine im Vergleich zu Kristalloiden/HES/Albumin nicht mit </w:t>
      </w:r>
      <w:r w:rsidR="00342FB3" w:rsidRPr="00207748">
        <w:rPr>
          <w:rFonts w:ascii="Cambria" w:hAnsi="Cambria" w:cs="Arial"/>
          <w:spacing w:val="1"/>
          <w:sz w:val="20"/>
          <w:szCs w:val="20"/>
        </w:rPr>
        <w:t xml:space="preserve">einem erhöhten </w:t>
      </w:r>
      <w:r w:rsidR="00BE49F6">
        <w:rPr>
          <w:rFonts w:ascii="Cambria" w:hAnsi="Cambria" w:cs="Arial"/>
          <w:spacing w:val="1"/>
          <w:sz w:val="20"/>
          <w:szCs w:val="20"/>
        </w:rPr>
        <w:t>Mortalitäts</w:t>
      </w:r>
      <w:r w:rsidR="00342FB3" w:rsidRPr="00207748">
        <w:rPr>
          <w:rFonts w:ascii="Cambria" w:hAnsi="Cambria" w:cs="Arial"/>
          <w:spacing w:val="1"/>
          <w:sz w:val="20"/>
          <w:szCs w:val="20"/>
        </w:rPr>
        <w:t>risiko</w:t>
      </w:r>
      <w:r w:rsidR="00447357" w:rsidRPr="00207748">
        <w:rPr>
          <w:rFonts w:ascii="Cambria" w:hAnsi="Cambria" w:cs="Arial"/>
          <w:spacing w:val="1"/>
          <w:sz w:val="20"/>
          <w:szCs w:val="20"/>
        </w:rPr>
        <w:t xml:space="preserve"> oder </w:t>
      </w:r>
      <w:r w:rsidR="00342FB3" w:rsidRPr="00207748">
        <w:rPr>
          <w:rFonts w:ascii="Cambria" w:hAnsi="Cambria" w:cs="Arial"/>
          <w:spacing w:val="1"/>
          <w:sz w:val="20"/>
          <w:szCs w:val="20"/>
        </w:rPr>
        <w:t>einem erhöhten Risiko</w:t>
      </w:r>
      <w:r w:rsidR="00447357" w:rsidRPr="00207748">
        <w:rPr>
          <w:rFonts w:ascii="Cambria" w:hAnsi="Cambria" w:cs="Arial"/>
          <w:spacing w:val="1"/>
          <w:sz w:val="20"/>
          <w:szCs w:val="20"/>
        </w:rPr>
        <w:t xml:space="preserve"> für eine Nierendysfunkt</w:t>
      </w:r>
      <w:r w:rsidR="00BF7786" w:rsidRPr="00207748">
        <w:rPr>
          <w:rFonts w:ascii="Cambria" w:hAnsi="Cambria" w:cs="Arial"/>
          <w:spacing w:val="1"/>
          <w:sz w:val="20"/>
          <w:szCs w:val="20"/>
        </w:rPr>
        <w:t>ion assoziiert ist. In eine</w:t>
      </w:r>
      <w:r w:rsidR="00537477">
        <w:rPr>
          <w:rFonts w:ascii="Cambria" w:hAnsi="Cambria" w:cs="Arial"/>
          <w:spacing w:val="1"/>
          <w:sz w:val="20"/>
          <w:szCs w:val="20"/>
        </w:rPr>
        <w:t>r</w:t>
      </w:r>
      <w:r w:rsidR="00BF7786" w:rsidRPr="00207748">
        <w:rPr>
          <w:rFonts w:ascii="Cambria" w:hAnsi="Cambria" w:cs="Arial"/>
          <w:spacing w:val="1"/>
          <w:sz w:val="20"/>
          <w:szCs w:val="20"/>
        </w:rPr>
        <w:t xml:space="preserve"> RCT</w:t>
      </w:r>
      <w:r w:rsidR="00447357" w:rsidRPr="00207748">
        <w:rPr>
          <w:rFonts w:ascii="Cambria" w:hAnsi="Cambria" w:cs="Arial"/>
          <w:spacing w:val="1"/>
          <w:sz w:val="20"/>
          <w:szCs w:val="20"/>
        </w:rPr>
        <w:t xml:space="preserve"> war die Gabe von Gelatine im Vergleich zu 6 % HES 200/0,62 bei septischen Patienten mit weniger renaler Dysfunktion assoziiert. 4 % Albumin war bei septischen </w:t>
      </w:r>
      <w:r w:rsidR="00447357" w:rsidRPr="00207748">
        <w:rPr>
          <w:rFonts w:ascii="Cambria" w:hAnsi="Cambria" w:cs="Arial"/>
          <w:spacing w:val="1"/>
          <w:sz w:val="20"/>
          <w:szCs w:val="20"/>
        </w:rPr>
        <w:lastRenderedPageBreak/>
        <w:t>Patienten in einer australischen Studie nicht-signifikant (p=0,09) besser als 0,9 % NaCl.</w:t>
      </w:r>
    </w:p>
    <w:p w14:paraId="5A0191D8" w14:textId="77777777" w:rsidR="00E11869" w:rsidRPr="00207748" w:rsidRDefault="00447357" w:rsidP="004454B6">
      <w:pPr>
        <w:rPr>
          <w:rFonts w:ascii="Cambria" w:hAnsi="Cambria" w:cs="Arial"/>
          <w:spacing w:val="1"/>
          <w:sz w:val="20"/>
          <w:szCs w:val="20"/>
        </w:rPr>
      </w:pPr>
      <w:r w:rsidRPr="00207748">
        <w:rPr>
          <w:rFonts w:ascii="Cambria" w:hAnsi="Cambria" w:cs="Arial"/>
          <w:spacing w:val="1"/>
          <w:sz w:val="20"/>
          <w:szCs w:val="20"/>
        </w:rPr>
        <w:t xml:space="preserve">Es ist also kaum Evidenz für den Einsatz von Albumin oder Gelatine vorhanden. Hierzu sind die Ergebnisse von laufenden großen RCTs mit Albumin und Gelatine bei septischen Patienten abzuwarten (z.B. GENIUS-Studie, NCT02715466). </w:t>
      </w:r>
    </w:p>
    <w:p w14:paraId="0944F845" w14:textId="0A82BBAB" w:rsidR="00E11869" w:rsidRPr="00207748" w:rsidRDefault="00447357" w:rsidP="004454B6">
      <w:pPr>
        <w:ind w:right="288"/>
        <w:rPr>
          <w:rFonts w:ascii="Cambria" w:hAnsi="Cambria" w:cs="Arial"/>
          <w:spacing w:val="1"/>
          <w:sz w:val="20"/>
          <w:szCs w:val="20"/>
        </w:rPr>
      </w:pPr>
      <w:r w:rsidRPr="00207748">
        <w:rPr>
          <w:rFonts w:ascii="Cambria" w:hAnsi="Cambria" w:cs="Arial"/>
          <w:spacing w:val="1"/>
          <w:sz w:val="20"/>
          <w:szCs w:val="20"/>
        </w:rPr>
        <w:t>Angesichts der schwachen Beweislage oder gegen den Einsatz von Albumin und/oder Gelatine er</w:t>
      </w:r>
      <w:r w:rsidR="00921CA2">
        <w:rPr>
          <w:rFonts w:ascii="Cambria" w:hAnsi="Cambria" w:cs="Arial"/>
          <w:spacing w:val="1"/>
          <w:sz w:val="20"/>
          <w:szCs w:val="20"/>
        </w:rPr>
        <w:t>möglicht</w:t>
      </w:r>
      <w:r w:rsidRPr="00207748">
        <w:rPr>
          <w:rFonts w:ascii="Cambria" w:hAnsi="Cambria" w:cs="Arial"/>
          <w:spacing w:val="1"/>
          <w:sz w:val="20"/>
          <w:szCs w:val="20"/>
        </w:rPr>
        <w:t xml:space="preserve"> die Änderung der Empfehlung F.4 </w:t>
      </w:r>
      <w:r w:rsidR="00921CA2">
        <w:rPr>
          <w:rFonts w:ascii="Cambria" w:hAnsi="Cambria" w:cs="Arial"/>
          <w:spacing w:val="1"/>
          <w:sz w:val="20"/>
          <w:szCs w:val="20"/>
        </w:rPr>
        <w:t>Intensivmedizinern</w:t>
      </w:r>
      <w:r w:rsidRPr="00207748">
        <w:rPr>
          <w:rFonts w:ascii="Cambria" w:hAnsi="Cambria" w:cs="Arial"/>
          <w:spacing w:val="1"/>
          <w:sz w:val="20"/>
          <w:szCs w:val="20"/>
        </w:rPr>
        <w:t xml:space="preserve"> die Entscheidung für den zusätzlichen kolloidalen Volumenersatz mit Gelatine oder Albumin bei kritisch kranken und septischen Patienten. Diese Empfehlung mit dem Empfehlungsgrad „schwache Empfehlung“ für Albumin und/oder Gelatine trägt dem Umstand Rechnung, dass zwar </w:t>
      </w:r>
      <w:r w:rsidR="000D1CC1" w:rsidRPr="00207748">
        <w:rPr>
          <w:rFonts w:ascii="Cambria" w:hAnsi="Cambria" w:cs="Arial"/>
          <w:spacing w:val="1"/>
          <w:sz w:val="20"/>
          <w:szCs w:val="20"/>
        </w:rPr>
        <w:t xml:space="preserve">im </w:t>
      </w:r>
      <w:r w:rsidRPr="00207748">
        <w:rPr>
          <w:rFonts w:ascii="Cambria" w:hAnsi="Cambria" w:cs="Arial"/>
          <w:spacing w:val="1"/>
          <w:sz w:val="20"/>
          <w:szCs w:val="20"/>
        </w:rPr>
        <w:t xml:space="preserve">Hinblick auf den isolierten Endpunkt Sterblichkeit für die Gruppe der Patienten mit Sepsis und septischem Schock keine positiven Effekte gezeigt werden konnten, aber in der CRISTAL-Studie bei der Verwendung von Kolloiden in dieser Phase ein signifikanter Outcome-Vorteil nach 90 Tagen </w:t>
      </w:r>
      <w:r w:rsidR="00921CA2">
        <w:rPr>
          <w:rFonts w:ascii="Cambria" w:hAnsi="Cambria" w:cs="Arial"/>
          <w:spacing w:val="1"/>
          <w:sz w:val="20"/>
          <w:szCs w:val="20"/>
        </w:rPr>
        <w:t>auf</w:t>
      </w:r>
      <w:r w:rsidRPr="00207748">
        <w:rPr>
          <w:rFonts w:ascii="Cambria" w:hAnsi="Cambria" w:cs="Arial"/>
          <w:spacing w:val="1"/>
          <w:sz w:val="20"/>
          <w:szCs w:val="20"/>
        </w:rPr>
        <w:t>gezeigt werden konnte</w:t>
      </w:r>
      <w:r w:rsidR="00921CA2">
        <w:rPr>
          <w:rFonts w:ascii="Cambria" w:hAnsi="Cambria" w:cs="Arial"/>
          <w:spacing w:val="1"/>
          <w:sz w:val="20"/>
          <w:szCs w:val="20"/>
        </w:rPr>
        <w:t>. Dieses vor</w:t>
      </w:r>
      <w:r w:rsidRPr="00207748">
        <w:rPr>
          <w:rFonts w:ascii="Cambria" w:hAnsi="Cambria" w:cs="Arial"/>
          <w:spacing w:val="1"/>
          <w:sz w:val="20"/>
          <w:szCs w:val="20"/>
        </w:rPr>
        <w:t xml:space="preserve"> dem </w:t>
      </w:r>
      <w:r w:rsidR="00921CA2">
        <w:rPr>
          <w:rFonts w:ascii="Cambria" w:hAnsi="Cambria" w:cs="Arial"/>
          <w:spacing w:val="1"/>
          <w:sz w:val="20"/>
          <w:szCs w:val="20"/>
        </w:rPr>
        <w:t>Hintergrund</w:t>
      </w:r>
      <w:r w:rsidRPr="00207748">
        <w:rPr>
          <w:rFonts w:ascii="Cambria" w:hAnsi="Cambria" w:cs="Arial"/>
          <w:spacing w:val="1"/>
          <w:sz w:val="20"/>
          <w:szCs w:val="20"/>
        </w:rPr>
        <w:t>, dass in der Intensivmedizin die schnelle Stabilisierung der Hämodynamik kritisch kranker Patienten mit Schock innerhalb der ersten 6</w:t>
      </w:r>
      <w:r w:rsidR="006F0117" w:rsidRPr="00207748">
        <w:rPr>
          <w:rFonts w:ascii="Cambria" w:hAnsi="Cambria" w:cs="Arial"/>
          <w:spacing w:val="1"/>
          <w:sz w:val="20"/>
          <w:szCs w:val="20"/>
        </w:rPr>
        <w:t xml:space="preserve"> Stunden</w:t>
      </w:r>
      <w:r w:rsidRPr="00207748">
        <w:rPr>
          <w:rFonts w:ascii="Cambria" w:hAnsi="Cambria" w:cs="Arial"/>
          <w:spacing w:val="1"/>
          <w:sz w:val="20"/>
          <w:szCs w:val="20"/>
        </w:rPr>
        <w:t xml:space="preserve"> Outcome-relevant ist.</w:t>
      </w:r>
      <w:r w:rsidR="006B2B71" w:rsidRPr="006B2B71">
        <w:rPr>
          <w:rStyle w:val="EndnoteRealZchn"/>
        </w:rPr>
        <w:fldChar w:fldCharType="begin"/>
      </w:r>
      <w:r w:rsidR="006B2B71" w:rsidRPr="006B2B71">
        <w:rPr>
          <w:rStyle w:val="EndnoteRealZchn"/>
        </w:rPr>
        <w:instrText xml:space="preserve"> NOTEREF _Ref30586349 \h </w:instrText>
      </w:r>
      <w:r w:rsidR="006B2B71">
        <w:rPr>
          <w:rStyle w:val="EndnoteRealZchn"/>
        </w:rPr>
        <w:instrText xml:space="preserve"> \* MERGEFORMAT </w:instrText>
      </w:r>
      <w:r w:rsidR="006B2B71" w:rsidRPr="006B2B71">
        <w:rPr>
          <w:rStyle w:val="EndnoteRealZchn"/>
        </w:rPr>
      </w:r>
      <w:r w:rsidR="006B2B71" w:rsidRPr="006B2B71">
        <w:rPr>
          <w:rStyle w:val="EndnoteRealZchn"/>
        </w:rPr>
        <w:fldChar w:fldCharType="separate"/>
      </w:r>
      <w:r w:rsidR="001A283B">
        <w:rPr>
          <w:rStyle w:val="EndnoteRealZchn"/>
        </w:rPr>
        <w:t>303</w:t>
      </w:r>
      <w:r w:rsidR="006B2B71" w:rsidRPr="006B2B71">
        <w:rPr>
          <w:rStyle w:val="EndnoteRealZchn"/>
        </w:rPr>
        <w:fldChar w:fldCharType="end"/>
      </w: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744"/>
        <w:gridCol w:w="1725"/>
        <w:gridCol w:w="864"/>
      </w:tblGrid>
      <w:tr w:rsidR="00E11869" w:rsidRPr="00207748" w14:paraId="302B258D" w14:textId="77777777" w:rsidTr="002B1061">
        <w:trPr>
          <w:trHeight w:val="282"/>
        </w:trPr>
        <w:tc>
          <w:tcPr>
            <w:tcW w:w="2012"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35F518A7"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F.5</w:t>
            </w:r>
          </w:p>
        </w:tc>
        <w:tc>
          <w:tcPr>
            <w:tcW w:w="1991"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16BF913E"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 xml:space="preserve">Empfehlung </w:t>
            </w:r>
          </w:p>
        </w:tc>
        <w:tc>
          <w:tcPr>
            <w:tcW w:w="996"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4E33B171"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2018</w:t>
            </w:r>
          </w:p>
        </w:tc>
      </w:tr>
      <w:tr w:rsidR="00E11869" w:rsidRPr="00207748" w14:paraId="6F4DFA88" w14:textId="77777777" w:rsidTr="002B1061">
        <w:trPr>
          <w:trHeight w:val="2282"/>
        </w:trPr>
        <w:tc>
          <w:tcPr>
            <w:tcW w:w="201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C627A"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t>Empfehlungsgrad</w:t>
            </w:r>
          </w:p>
          <w:p w14:paraId="476A840A" w14:textId="77777777" w:rsidR="00E11869" w:rsidRPr="00207748" w:rsidRDefault="00E11869" w:rsidP="004454B6">
            <w:pPr>
              <w:spacing w:after="0"/>
              <w:rPr>
                <w:rFonts w:ascii="Cambria" w:eastAsia="Arial" w:hAnsi="Cambria" w:cs="Arial"/>
                <w:sz w:val="20"/>
                <w:szCs w:val="20"/>
              </w:rPr>
            </w:pPr>
          </w:p>
          <w:p w14:paraId="5C58436F" w14:textId="77777777" w:rsidR="00E11869" w:rsidRPr="00207748" w:rsidRDefault="00447357" w:rsidP="004454B6">
            <w:pPr>
              <w:spacing w:after="0"/>
              <w:rPr>
                <w:rFonts w:ascii="Cambria" w:eastAsia="Arial" w:hAnsi="Cambria" w:cs="Arial"/>
                <w:b/>
                <w:bCs/>
                <w:sz w:val="20"/>
                <w:szCs w:val="20"/>
              </w:rPr>
            </w:pPr>
            <w:r w:rsidRPr="00207748">
              <w:rPr>
                <w:rFonts w:ascii="Cambria" w:hAnsi="Cambria" w:cs="Arial"/>
                <w:b/>
                <w:bCs/>
                <w:sz w:val="20"/>
                <w:szCs w:val="20"/>
              </w:rPr>
              <w:t>stark</w:t>
            </w:r>
          </w:p>
          <w:p w14:paraId="411FD4F6" w14:textId="77777777" w:rsidR="00E11869" w:rsidRPr="00207748" w:rsidRDefault="00E11869" w:rsidP="004454B6">
            <w:pPr>
              <w:spacing w:after="0"/>
              <w:rPr>
                <w:rFonts w:ascii="Cambria" w:eastAsia="Arial" w:hAnsi="Cambria" w:cs="Arial"/>
                <w:b/>
                <w:bCs/>
                <w:sz w:val="20"/>
                <w:szCs w:val="20"/>
              </w:rPr>
            </w:pPr>
          </w:p>
          <w:p w14:paraId="7D39C0D3"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t>Evidenzqualität</w:t>
            </w:r>
          </w:p>
          <w:p w14:paraId="2BA7483A" w14:textId="77777777" w:rsidR="00E11869" w:rsidRPr="00207748" w:rsidRDefault="00E11869" w:rsidP="004454B6">
            <w:pPr>
              <w:spacing w:after="0"/>
              <w:rPr>
                <w:rFonts w:ascii="Cambria" w:eastAsia="Arial" w:hAnsi="Cambria" w:cs="Arial"/>
                <w:sz w:val="20"/>
                <w:szCs w:val="20"/>
              </w:rPr>
            </w:pPr>
          </w:p>
          <w:p w14:paraId="4B8AB05D"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hoch</w:t>
            </w:r>
          </w:p>
        </w:tc>
        <w:tc>
          <w:tcPr>
            <w:tcW w:w="2988"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0" w:type="dxa"/>
            </w:tcMar>
          </w:tcPr>
          <w:p w14:paraId="229CAAB7" w14:textId="77777777" w:rsidR="00E11869" w:rsidRPr="00207748" w:rsidRDefault="00447357" w:rsidP="004454B6">
            <w:pPr>
              <w:spacing w:after="0"/>
              <w:ind w:right="70"/>
              <w:rPr>
                <w:rFonts w:ascii="Cambria" w:hAnsi="Cambria" w:cs="Arial"/>
                <w:sz w:val="20"/>
                <w:szCs w:val="20"/>
              </w:rPr>
            </w:pPr>
            <w:r w:rsidRPr="00207748">
              <w:rPr>
                <w:rFonts w:ascii="Cambria" w:hAnsi="Cambria" w:cs="Arial"/>
                <w:b/>
                <w:bCs/>
                <w:sz w:val="20"/>
                <w:szCs w:val="20"/>
              </w:rPr>
              <w:t>Wir empfehlen, dass von der Verwendung von Hydroxyethylstärke zur intravaskulären Volumenersatztherapie bei Patienten mit Sepsis oder septischem Schock abgesehen wird.</w:t>
            </w:r>
          </w:p>
        </w:tc>
      </w:tr>
      <w:tr w:rsidR="00E11869" w:rsidRPr="00207748" w14:paraId="4DF58FA2" w14:textId="77777777" w:rsidTr="002B1061">
        <w:trPr>
          <w:trHeight w:val="562"/>
        </w:trPr>
        <w:tc>
          <w:tcPr>
            <w:tcW w:w="2012" w:type="pct"/>
            <w:vMerge/>
            <w:tcBorders>
              <w:top w:val="single" w:sz="4" w:space="0" w:color="000000"/>
              <w:left w:val="single" w:sz="4" w:space="0" w:color="000000"/>
              <w:bottom w:val="single" w:sz="4" w:space="0" w:color="000000"/>
              <w:right w:val="single" w:sz="4" w:space="0" w:color="000000"/>
            </w:tcBorders>
            <w:shd w:val="clear" w:color="auto" w:fill="auto"/>
          </w:tcPr>
          <w:p w14:paraId="1D911B42" w14:textId="77777777" w:rsidR="00E11869" w:rsidRPr="00207748" w:rsidRDefault="00E11869" w:rsidP="004454B6">
            <w:pPr>
              <w:rPr>
                <w:rFonts w:ascii="Cambria" w:hAnsi="Cambria" w:cs="Arial"/>
                <w:sz w:val="20"/>
                <w:szCs w:val="20"/>
              </w:rPr>
            </w:pPr>
          </w:p>
        </w:tc>
        <w:tc>
          <w:tcPr>
            <w:tcW w:w="2988"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F8386"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SSC</w:t>
            </w:r>
            <w:r w:rsidR="00420A45" w:rsidRPr="00207748">
              <w:rPr>
                <w:rFonts w:ascii="Cambria" w:hAnsi="Cambria" w:cs="Arial"/>
                <w:b/>
                <w:bCs/>
                <w:sz w:val="20"/>
                <w:szCs w:val="20"/>
              </w:rPr>
              <w:t>-</w:t>
            </w:r>
            <w:r w:rsidRPr="00207748">
              <w:rPr>
                <w:rFonts w:ascii="Cambria" w:hAnsi="Cambria" w:cs="Arial"/>
                <w:b/>
                <w:bCs/>
                <w:sz w:val="20"/>
                <w:szCs w:val="20"/>
              </w:rPr>
              <w:t xml:space="preserve">Leitlinienadaptation </w:t>
            </w:r>
          </w:p>
        </w:tc>
      </w:tr>
      <w:tr w:rsidR="00E11869" w:rsidRPr="00207748" w14:paraId="78706617" w14:textId="77777777" w:rsidTr="002B1061">
        <w:trPr>
          <w:trHeight w:val="842"/>
        </w:trPr>
        <w:tc>
          <w:tcPr>
            <w:tcW w:w="20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41F87" w14:textId="77777777" w:rsidR="00E11869" w:rsidRPr="00207748" w:rsidRDefault="00E11869" w:rsidP="004454B6">
            <w:pPr>
              <w:rPr>
                <w:rFonts w:ascii="Cambria" w:hAnsi="Cambria" w:cs="Arial"/>
                <w:sz w:val="20"/>
                <w:szCs w:val="20"/>
              </w:rPr>
            </w:pPr>
          </w:p>
        </w:tc>
        <w:tc>
          <w:tcPr>
            <w:tcW w:w="2988"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8B4E4" w14:textId="77777777" w:rsidR="00B26F79" w:rsidRDefault="00447357" w:rsidP="004454B6">
            <w:pPr>
              <w:spacing w:after="0"/>
              <w:rPr>
                <w:rFonts w:ascii="Cambria" w:hAnsi="Cambria" w:cs="Arial"/>
                <w:sz w:val="20"/>
                <w:szCs w:val="20"/>
              </w:rPr>
            </w:pPr>
            <w:r w:rsidRPr="00207748">
              <w:rPr>
                <w:rFonts w:ascii="Cambria" w:hAnsi="Cambria" w:cs="Arial"/>
                <w:sz w:val="20"/>
                <w:szCs w:val="20"/>
              </w:rPr>
              <w:t xml:space="preserve">Konsensstärke bei Doppelabstimmung: </w:t>
            </w:r>
          </w:p>
          <w:p w14:paraId="2D8A6A8A" w14:textId="50F1F7B5" w:rsidR="00E11869" w:rsidRPr="00207748" w:rsidRDefault="00447357" w:rsidP="004454B6">
            <w:pPr>
              <w:spacing w:after="0"/>
              <w:rPr>
                <w:rFonts w:ascii="Cambria" w:hAnsi="Cambria" w:cs="Arial"/>
                <w:sz w:val="20"/>
                <w:szCs w:val="20"/>
              </w:rPr>
            </w:pPr>
            <w:r w:rsidRPr="00207748">
              <w:rPr>
                <w:rFonts w:ascii="Cambria" w:hAnsi="Cambria" w:cs="Arial"/>
                <w:sz w:val="20"/>
                <w:szCs w:val="20"/>
              </w:rPr>
              <w:t>100 %</w:t>
            </w:r>
          </w:p>
          <w:p w14:paraId="32260A93" w14:textId="1EBFB533" w:rsidR="00CA4E36" w:rsidRPr="00207748" w:rsidRDefault="00CA4E36" w:rsidP="004454B6">
            <w:pPr>
              <w:spacing w:after="0"/>
              <w:rPr>
                <w:rFonts w:ascii="Cambria" w:hAnsi="Cambria" w:cs="Arial"/>
                <w:sz w:val="20"/>
                <w:szCs w:val="20"/>
              </w:rPr>
            </w:pPr>
          </w:p>
        </w:tc>
      </w:tr>
    </w:tbl>
    <w:p w14:paraId="4FBC8003" w14:textId="00ACA666" w:rsidR="006B2B71" w:rsidRDefault="00342FB3" w:rsidP="00FB33A2">
      <w:pPr>
        <w:spacing w:before="240"/>
        <w:rPr>
          <w:rFonts w:ascii="Cambria" w:hAnsi="Cambria" w:cs="Arial"/>
          <w:spacing w:val="-4"/>
          <w:sz w:val="20"/>
          <w:szCs w:val="20"/>
        </w:rPr>
      </w:pPr>
      <w:r w:rsidRPr="00207748">
        <w:rPr>
          <w:rFonts w:ascii="Cambria" w:hAnsi="Cambria" w:cs="Arial"/>
          <w:b/>
          <w:bCs/>
          <w:sz w:val="20"/>
          <w:szCs w:val="20"/>
        </w:rPr>
        <w:t>Begründung</w:t>
      </w:r>
      <w:r w:rsidR="00447357" w:rsidRPr="00207748">
        <w:rPr>
          <w:rFonts w:ascii="Cambria" w:hAnsi="Cambria" w:cs="Arial"/>
          <w:b/>
          <w:bCs/>
          <w:sz w:val="20"/>
          <w:szCs w:val="20"/>
        </w:rPr>
        <w:t xml:space="preserve">: </w:t>
      </w:r>
      <w:r w:rsidR="00447357" w:rsidRPr="00207748">
        <w:rPr>
          <w:rFonts w:ascii="Cambria" w:hAnsi="Cambria" w:cs="Arial"/>
          <w:spacing w:val="-4"/>
          <w:sz w:val="20"/>
          <w:szCs w:val="20"/>
        </w:rPr>
        <w:t>HES</w:t>
      </w:r>
      <w:r w:rsidR="00921CA2">
        <w:rPr>
          <w:rFonts w:ascii="Cambria" w:hAnsi="Cambria" w:cs="Arial"/>
          <w:spacing w:val="-4"/>
          <w:sz w:val="20"/>
          <w:szCs w:val="20"/>
        </w:rPr>
        <w:t>-Lösungen</w:t>
      </w:r>
      <w:r w:rsidR="00447357" w:rsidRPr="00207748">
        <w:rPr>
          <w:rFonts w:ascii="Cambria" w:hAnsi="Cambria" w:cs="Arial"/>
          <w:spacing w:val="-4"/>
          <w:sz w:val="20"/>
          <w:szCs w:val="20"/>
        </w:rPr>
        <w:t xml:space="preserve"> sind Kolloide, bei denen Sicherheitsbedenken bei Patienten mit Sepsis bestehen. Eine Meta-Analyse von neun Studien (3.456 Patienten), in denen 6-prozentige</w:t>
      </w:r>
      <w:r w:rsidR="00921CA2">
        <w:rPr>
          <w:rFonts w:ascii="Cambria" w:hAnsi="Cambria" w:cs="Arial"/>
          <w:spacing w:val="-4"/>
          <w:sz w:val="20"/>
          <w:szCs w:val="20"/>
        </w:rPr>
        <w:t>s</w:t>
      </w:r>
      <w:r w:rsidR="00447357" w:rsidRPr="00207748">
        <w:rPr>
          <w:rFonts w:ascii="Cambria" w:hAnsi="Cambria" w:cs="Arial"/>
          <w:spacing w:val="-4"/>
          <w:sz w:val="20"/>
          <w:szCs w:val="20"/>
        </w:rPr>
        <w:t xml:space="preserve"> HES 130/0,38–0,45-Lösungen mit Kristalloiden oder Albumin bei Patienten mit Sepsis verglichen wurden, ergab keinen Unterschied in Bezug auf die Mortalität aller Ursachen (RR, 1,04; 95 % CI, 0,89–1,22)</w:t>
      </w:r>
      <w:r w:rsidR="006F0117" w:rsidRPr="00207748">
        <w:rPr>
          <w:rFonts w:ascii="Cambria" w:hAnsi="Cambria" w:cs="Arial"/>
          <w:spacing w:val="-4"/>
          <w:sz w:val="20"/>
          <w:szCs w:val="20"/>
        </w:rPr>
        <w:t>.</w:t>
      </w:r>
      <w:r w:rsidR="00447357" w:rsidRPr="00207748">
        <w:rPr>
          <w:rFonts w:ascii="Cambria" w:eastAsia="Arial" w:hAnsi="Cambria" w:cs="Arial"/>
          <w:spacing w:val="-4"/>
          <w:sz w:val="20"/>
          <w:szCs w:val="20"/>
          <w:vertAlign w:val="superscript"/>
        </w:rPr>
        <w:endnoteReference w:id="265"/>
      </w:r>
      <w:r w:rsidR="00447357" w:rsidRPr="00207748">
        <w:rPr>
          <w:rFonts w:ascii="Cambria" w:hAnsi="Cambria" w:cs="Arial"/>
          <w:spacing w:val="-4"/>
          <w:sz w:val="20"/>
          <w:szCs w:val="20"/>
        </w:rPr>
        <w:t xml:space="preserve"> Wurden jedoch die</w:t>
      </w:r>
      <w:r w:rsidR="006B2B71">
        <w:rPr>
          <w:rFonts w:ascii="Cambria" w:hAnsi="Cambria" w:cs="Arial"/>
          <w:spacing w:val="-4"/>
          <w:sz w:val="20"/>
          <w:szCs w:val="20"/>
        </w:rPr>
        <w:t>se</w:t>
      </w:r>
      <w:r w:rsidR="00447357" w:rsidRPr="00207748">
        <w:rPr>
          <w:rFonts w:ascii="Cambria" w:hAnsi="Cambria" w:cs="Arial"/>
          <w:spacing w:val="-4"/>
          <w:sz w:val="20"/>
          <w:szCs w:val="20"/>
        </w:rPr>
        <w:t xml:space="preserve"> Studien mit geringem Verzerrungspotenzial separat analysiert, führte die Nutzung von HES zu einem höheren Sterberisiko im Vergleich zu anderen Flüssigkeiten (RR, 1,11; 95 % CI, 1,01–1,22; hohe Evidenzqualität). Dies entspricht 34 zusätzlichen Todesfällen pro 1.000 Patienten. Des Weiteren führte die HES-Nutzung zu einem höheren Risiko </w:t>
      </w:r>
      <w:r w:rsidR="00921CA2">
        <w:rPr>
          <w:rFonts w:ascii="Cambria" w:hAnsi="Cambria" w:cs="Arial"/>
          <w:spacing w:val="-4"/>
          <w:sz w:val="20"/>
          <w:szCs w:val="20"/>
        </w:rPr>
        <w:t>für eine Behandlung mit</w:t>
      </w:r>
      <w:r w:rsidR="002B1061">
        <w:rPr>
          <w:rFonts w:ascii="Cambria" w:hAnsi="Cambria" w:cs="Arial"/>
          <w:spacing w:val="-4"/>
          <w:sz w:val="20"/>
          <w:szCs w:val="20"/>
        </w:rPr>
        <w:t xml:space="preserve"> </w:t>
      </w:r>
      <w:r w:rsidR="00921CA2">
        <w:rPr>
          <w:rFonts w:ascii="Cambria" w:hAnsi="Cambria" w:cs="Arial"/>
          <w:spacing w:val="-4"/>
          <w:sz w:val="20"/>
          <w:szCs w:val="20"/>
        </w:rPr>
        <w:t xml:space="preserve">Nierenersatztherapien </w:t>
      </w:r>
      <w:r w:rsidR="00447357" w:rsidRPr="00207748">
        <w:rPr>
          <w:rFonts w:ascii="Cambria" w:hAnsi="Cambria" w:cs="Arial"/>
          <w:spacing w:val="-4"/>
          <w:sz w:val="20"/>
          <w:szCs w:val="20"/>
        </w:rPr>
        <w:t>(RR, 1,36; 95 % CI, 1,08– 1,72; hohe Evidenzqualität)</w:t>
      </w:r>
      <w:r w:rsidR="006F0117" w:rsidRPr="00207748">
        <w:rPr>
          <w:rFonts w:ascii="Cambria" w:hAnsi="Cambria" w:cs="Arial"/>
          <w:spacing w:val="-4"/>
          <w:sz w:val="20"/>
          <w:szCs w:val="20"/>
        </w:rPr>
        <w:t>.</w:t>
      </w:r>
    </w:p>
    <w:p w14:paraId="649F4FE2" w14:textId="7537B52B" w:rsidR="00665775" w:rsidRPr="00207748" w:rsidRDefault="00447357" w:rsidP="00FB33A2">
      <w:pPr>
        <w:spacing w:before="240"/>
        <w:rPr>
          <w:rFonts w:ascii="Cambria" w:eastAsia="Arial" w:hAnsi="Cambria" w:cs="Arial"/>
          <w:b/>
          <w:bCs/>
          <w:iCs/>
          <w:spacing w:val="1"/>
          <w:sz w:val="20"/>
          <w:szCs w:val="20"/>
        </w:rPr>
      </w:pPr>
      <w:r w:rsidRPr="00207748">
        <w:rPr>
          <w:rFonts w:ascii="Cambria" w:hAnsi="Cambria" w:cs="Arial"/>
          <w:spacing w:val="-4"/>
          <w:sz w:val="20"/>
          <w:szCs w:val="20"/>
        </w:rPr>
        <w:t>Eine anschließende Meta-Analyse konzentrierte sich auf die akute Flüssigkeitstherapie bei Patienten mit Sepsis oder septischem Schock und ergab, dass HES zu einem höheren Sterberisiko (10 RCTs; OR, 1,13; CrI, 0,99–1,30; hohe Evidenzqualität) und Bedarf</w:t>
      </w:r>
      <w:r w:rsidR="00921CA2">
        <w:rPr>
          <w:rFonts w:ascii="Cambria" w:hAnsi="Cambria" w:cs="Arial"/>
          <w:spacing w:val="-4"/>
          <w:sz w:val="20"/>
          <w:szCs w:val="20"/>
        </w:rPr>
        <w:t xml:space="preserve"> einer Nierenersatztherapie</w:t>
      </w:r>
      <w:r w:rsidRPr="00207748">
        <w:rPr>
          <w:rFonts w:ascii="Cambria" w:hAnsi="Cambria" w:cs="Arial"/>
          <w:spacing w:val="-4"/>
          <w:sz w:val="20"/>
          <w:szCs w:val="20"/>
        </w:rPr>
        <w:t xml:space="preserve"> (7 RCTs; OR, 1,39; CrI, 1,17–1,66; hohe Evidenzqualität) im Vergleich zu Kristalloiden führte. Beim Vergleich von Albumin mit HES führte Albumin zu einem geringeren Sterberisiko (OR, 0,73; CrI, 0,56–0,93; mittlere Evidenzqualität) und zu einer Tendenz in Richtung eines geringeren Bedarfs</w:t>
      </w:r>
      <w:r w:rsidRPr="00207748">
        <w:rPr>
          <w:rFonts w:ascii="Cambria" w:hAnsi="Cambria" w:cs="Arial"/>
          <w:spacing w:val="-2"/>
          <w:sz w:val="20"/>
          <w:szCs w:val="20"/>
        </w:rPr>
        <w:t xml:space="preserve"> </w:t>
      </w:r>
      <w:r w:rsidR="00921CA2">
        <w:rPr>
          <w:rFonts w:ascii="Cambria" w:hAnsi="Cambria" w:cs="Arial"/>
          <w:spacing w:val="-2"/>
          <w:sz w:val="20"/>
          <w:szCs w:val="20"/>
        </w:rPr>
        <w:t xml:space="preserve">an Nierenersatztherapien </w:t>
      </w:r>
      <w:r w:rsidRPr="00207748">
        <w:rPr>
          <w:rFonts w:ascii="Cambria" w:hAnsi="Cambria" w:cs="Arial"/>
          <w:spacing w:val="-2"/>
          <w:sz w:val="20"/>
          <w:szCs w:val="20"/>
        </w:rPr>
        <w:t>(OR, 0,74; CrI, 0,53–1,04; geringe Evidenzqualität)</w:t>
      </w:r>
      <w:r w:rsidR="006B2B71">
        <w:rPr>
          <w:rFonts w:ascii="Cambria" w:hAnsi="Cambria" w:cs="Arial"/>
          <w:spacing w:val="-2"/>
          <w:sz w:val="20"/>
          <w:szCs w:val="20"/>
        </w:rPr>
        <w:t xml:space="preserve"> </w:t>
      </w:r>
      <w:r w:rsidR="006B2B71" w:rsidRPr="006B2B71">
        <w:rPr>
          <w:rStyle w:val="EndnoteRealZchn"/>
        </w:rPr>
        <w:fldChar w:fldCharType="begin"/>
      </w:r>
      <w:r w:rsidR="006B2B71" w:rsidRPr="006B2B71">
        <w:rPr>
          <w:rStyle w:val="EndnoteRealZchn"/>
        </w:rPr>
        <w:instrText xml:space="preserve"> NOTEREF _Ref30586453 \h </w:instrText>
      </w:r>
      <w:r w:rsidR="006B2B71">
        <w:rPr>
          <w:rStyle w:val="EndnoteRealZchn"/>
        </w:rPr>
        <w:instrText xml:space="preserve"> \* MERGEFORMAT </w:instrText>
      </w:r>
      <w:r w:rsidR="006B2B71" w:rsidRPr="006B2B71">
        <w:rPr>
          <w:rStyle w:val="EndnoteRealZchn"/>
        </w:rPr>
      </w:r>
      <w:r w:rsidR="006B2B71" w:rsidRPr="006B2B71">
        <w:rPr>
          <w:rStyle w:val="EndnoteRealZchn"/>
        </w:rPr>
        <w:fldChar w:fldCharType="separate"/>
      </w:r>
      <w:r w:rsidR="001A283B">
        <w:rPr>
          <w:rStyle w:val="EndnoteRealZchn"/>
        </w:rPr>
        <w:t>300</w:t>
      </w:r>
      <w:r w:rsidR="006B2B71" w:rsidRPr="006B2B71">
        <w:rPr>
          <w:rStyle w:val="EndnoteRealZchn"/>
        </w:rPr>
        <w:fldChar w:fldCharType="end"/>
      </w:r>
      <w:r w:rsidRPr="00207748">
        <w:rPr>
          <w:rFonts w:ascii="Cambria" w:hAnsi="Cambria" w:cs="Arial"/>
          <w:spacing w:val="-2"/>
          <w:sz w:val="20"/>
          <w:szCs w:val="20"/>
        </w:rPr>
        <w:t xml:space="preserve"> Die unerwünschten Folgen der Verwendung von HES (erhöhtes Sterberisiko und Bedarf</w:t>
      </w:r>
      <w:r w:rsidR="00921CA2">
        <w:rPr>
          <w:rFonts w:ascii="Cambria" w:hAnsi="Cambria" w:cs="Arial"/>
          <w:spacing w:val="-2"/>
          <w:sz w:val="20"/>
          <w:szCs w:val="20"/>
        </w:rPr>
        <w:t xml:space="preserve"> für eine Nierenersatztherapie</w:t>
      </w:r>
      <w:r w:rsidRPr="00207748">
        <w:rPr>
          <w:rFonts w:ascii="Cambria" w:hAnsi="Cambria" w:cs="Arial"/>
          <w:spacing w:val="-2"/>
          <w:sz w:val="20"/>
          <w:szCs w:val="20"/>
        </w:rPr>
        <w:t xml:space="preserve">) und die mittlere bis hohe Qualität der entsprechenden Evidenz begründen die starke Empfehlung gegen die Nutzung von HES </w:t>
      </w:r>
      <w:r w:rsidR="00921CA2">
        <w:rPr>
          <w:rFonts w:ascii="Cambria" w:hAnsi="Cambria" w:cs="Arial"/>
          <w:spacing w:val="-2"/>
          <w:sz w:val="20"/>
          <w:szCs w:val="20"/>
        </w:rPr>
        <w:t>in</w:t>
      </w:r>
      <w:r w:rsidRPr="00207748">
        <w:rPr>
          <w:rFonts w:ascii="Cambria" w:hAnsi="Cambria" w:cs="Arial"/>
          <w:spacing w:val="-2"/>
          <w:sz w:val="20"/>
          <w:szCs w:val="20"/>
        </w:rPr>
        <w:t xml:space="preserve"> der Flüssigkeitstherapie von Patienten mit Sepsis oder septischem Schock.</w:t>
      </w:r>
      <w:bookmarkStart w:id="390" w:name="_Toc25845114"/>
    </w:p>
    <w:p w14:paraId="0753772A" w14:textId="77777777" w:rsidR="00E11869" w:rsidRPr="00182D07" w:rsidRDefault="00447357" w:rsidP="004454B6">
      <w:pPr>
        <w:pStyle w:val="berschrift2"/>
        <w:rPr>
          <w:b w:val="0"/>
        </w:rPr>
      </w:pPr>
      <w:bookmarkStart w:id="391" w:name="_Toc437861462"/>
      <w:bookmarkStart w:id="392" w:name="_Toc31278500"/>
      <w:r w:rsidRPr="00182D07">
        <w:t>G. Vasoaktive Medikation</w:t>
      </w:r>
      <w:bookmarkEnd w:id="390"/>
      <w:bookmarkEnd w:id="391"/>
      <w:bookmarkEnd w:id="392"/>
    </w:p>
    <w:p w14:paraId="68FBDC32" w14:textId="77777777" w:rsidR="004454B6" w:rsidRPr="00207748" w:rsidRDefault="004454B6" w:rsidP="00FB33A2">
      <w:pPr>
        <w:pStyle w:val="KeinLeerraum"/>
      </w:pPr>
    </w:p>
    <w:p w14:paraId="280F3CCF" w14:textId="21CD6EFF" w:rsidR="00E11869" w:rsidRPr="00207748" w:rsidRDefault="00420A45" w:rsidP="004454B6">
      <w:pPr>
        <w:rPr>
          <w:rFonts w:ascii="Cambria" w:hAnsi="Cambria" w:cs="Arial"/>
          <w:spacing w:val="-4"/>
          <w:sz w:val="20"/>
          <w:szCs w:val="20"/>
        </w:rPr>
      </w:pPr>
      <w:r w:rsidRPr="00207748">
        <w:rPr>
          <w:rFonts w:ascii="Cambria" w:hAnsi="Cambria" w:cs="Arial"/>
          <w:spacing w:val="-4"/>
          <w:sz w:val="20"/>
          <w:szCs w:val="20"/>
        </w:rPr>
        <w:lastRenderedPageBreak/>
        <w:t xml:space="preserve">Neben der Flüssigkeitstherapie stellt die Anwendung von vasoaktiven Substanzen eine wichtige Strategie </w:t>
      </w:r>
      <w:r w:rsidR="00921CA2">
        <w:rPr>
          <w:rFonts w:ascii="Cambria" w:hAnsi="Cambria" w:cs="Arial"/>
          <w:spacing w:val="-4"/>
          <w:sz w:val="20"/>
          <w:szCs w:val="20"/>
        </w:rPr>
        <w:t>in der</w:t>
      </w:r>
      <w:r w:rsidR="002B1061">
        <w:rPr>
          <w:rFonts w:ascii="Cambria" w:hAnsi="Cambria" w:cs="Arial"/>
          <w:spacing w:val="-4"/>
          <w:sz w:val="20"/>
          <w:szCs w:val="20"/>
        </w:rPr>
        <w:t xml:space="preserve"> </w:t>
      </w:r>
      <w:r w:rsidRPr="00207748">
        <w:rPr>
          <w:rFonts w:ascii="Cambria" w:hAnsi="Cambria" w:cs="Arial"/>
          <w:spacing w:val="-4"/>
          <w:sz w:val="20"/>
          <w:szCs w:val="20"/>
        </w:rPr>
        <w:t>raschen hämodynamischen Stabilisierung bei Sepsis und septischen Schock dar. Die physiologischen Effekte von Vasopressoren und einer kombinierten Auswahl von inotropen Medikamenten und Vasopressoren bei septischem Schock wurden in einer großen Anzahl von Literatur-Reviews beschrieben.</w:t>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16"/>
        <w:gridCol w:w="836"/>
      </w:tblGrid>
      <w:tr w:rsidR="00E11869" w:rsidRPr="00207748" w14:paraId="3A455321"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B9C8DAA"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t>G. 1</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FF3A2FF"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70C114BC"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2018</w:t>
            </w:r>
          </w:p>
        </w:tc>
      </w:tr>
      <w:tr w:rsidR="00E11869" w:rsidRPr="00207748" w14:paraId="78CD9B47" w14:textId="77777777" w:rsidTr="00342FB3">
        <w:trPr>
          <w:trHeight w:val="112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2E2F2"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t>Empfehlungsgrad</w:t>
            </w:r>
          </w:p>
          <w:p w14:paraId="6E191C1A" w14:textId="77777777" w:rsidR="00E11869" w:rsidRPr="00207748" w:rsidRDefault="00E11869" w:rsidP="004454B6">
            <w:pPr>
              <w:spacing w:after="0"/>
              <w:rPr>
                <w:rFonts w:ascii="Cambria" w:eastAsia="Arial" w:hAnsi="Cambria" w:cs="Arial"/>
                <w:sz w:val="20"/>
                <w:szCs w:val="20"/>
              </w:rPr>
            </w:pPr>
          </w:p>
          <w:p w14:paraId="54580881" w14:textId="77777777" w:rsidR="00E11869" w:rsidRPr="00207748" w:rsidRDefault="00447357" w:rsidP="004454B6">
            <w:pPr>
              <w:spacing w:after="0"/>
              <w:rPr>
                <w:rFonts w:ascii="Cambria" w:eastAsia="Arial" w:hAnsi="Cambria" w:cs="Arial"/>
                <w:b/>
                <w:bCs/>
                <w:sz w:val="20"/>
                <w:szCs w:val="20"/>
              </w:rPr>
            </w:pPr>
            <w:r w:rsidRPr="00207748">
              <w:rPr>
                <w:rFonts w:ascii="Cambria" w:hAnsi="Cambria" w:cs="Arial"/>
                <w:b/>
                <w:bCs/>
                <w:sz w:val="20"/>
                <w:szCs w:val="20"/>
              </w:rPr>
              <w:t>stark</w:t>
            </w:r>
          </w:p>
          <w:p w14:paraId="504B2ED4" w14:textId="77777777" w:rsidR="00E11869" w:rsidRPr="00207748" w:rsidRDefault="00E11869" w:rsidP="004454B6">
            <w:pPr>
              <w:spacing w:after="0"/>
              <w:rPr>
                <w:rFonts w:ascii="Cambria" w:eastAsia="Arial" w:hAnsi="Cambria" w:cs="Arial"/>
                <w:sz w:val="20"/>
                <w:szCs w:val="20"/>
              </w:rPr>
            </w:pPr>
          </w:p>
          <w:p w14:paraId="6F505F6B"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t>Evidenzgrad</w:t>
            </w:r>
          </w:p>
          <w:p w14:paraId="796974FE" w14:textId="77777777" w:rsidR="00E11869" w:rsidRPr="00207748" w:rsidRDefault="00E11869" w:rsidP="004454B6">
            <w:pPr>
              <w:spacing w:after="0"/>
              <w:rPr>
                <w:rFonts w:ascii="Cambria" w:eastAsia="Arial" w:hAnsi="Cambria" w:cs="Arial"/>
                <w:sz w:val="20"/>
                <w:szCs w:val="20"/>
              </w:rPr>
            </w:pPr>
          </w:p>
          <w:p w14:paraId="5DBA2E7B"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moderat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96086A"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Wir empfehlen Noradrenalin als Vasopressor erster Wahl.</w:t>
            </w:r>
          </w:p>
        </w:tc>
      </w:tr>
      <w:tr w:rsidR="00E11869" w:rsidRPr="00207748" w14:paraId="6CE2F0AD" w14:textId="77777777" w:rsidTr="00342FB3">
        <w:trPr>
          <w:trHeight w:val="680"/>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02CAEBA8"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F3F0F"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SSC</w:t>
            </w:r>
            <w:r w:rsidR="001A58EF" w:rsidRPr="00207748">
              <w:rPr>
                <w:rFonts w:ascii="Cambria" w:hAnsi="Cambria" w:cs="Arial"/>
                <w:b/>
                <w:bCs/>
                <w:sz w:val="20"/>
                <w:szCs w:val="20"/>
              </w:rPr>
              <w:t>-</w:t>
            </w:r>
            <w:r w:rsidRPr="00207748">
              <w:rPr>
                <w:rFonts w:ascii="Cambria" w:hAnsi="Cambria" w:cs="Arial"/>
                <w:b/>
                <w:bCs/>
                <w:sz w:val="20"/>
                <w:szCs w:val="20"/>
              </w:rPr>
              <w:t xml:space="preserve">Leitlinienadaptation </w:t>
            </w:r>
          </w:p>
        </w:tc>
      </w:tr>
      <w:tr w:rsidR="00E11869" w:rsidRPr="00207748" w14:paraId="73F625CA"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7FF9A"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5A05E" w14:textId="77777777" w:rsidR="00E11869" w:rsidRPr="00207748" w:rsidRDefault="00447357" w:rsidP="004454B6">
            <w:pPr>
              <w:spacing w:after="0"/>
              <w:rPr>
                <w:rFonts w:ascii="Cambria" w:hAnsi="Cambria" w:cs="Arial"/>
                <w:sz w:val="20"/>
                <w:szCs w:val="20"/>
              </w:rPr>
            </w:pPr>
            <w:r w:rsidRPr="00207748">
              <w:rPr>
                <w:rFonts w:ascii="Cambria" w:hAnsi="Cambria" w:cs="Arial"/>
                <w:sz w:val="20"/>
                <w:szCs w:val="20"/>
              </w:rPr>
              <w:t>Konsensstärke: 100 %</w:t>
            </w:r>
          </w:p>
        </w:tc>
      </w:tr>
    </w:tbl>
    <w:p w14:paraId="4514A8F3" w14:textId="77777777" w:rsidR="00E11869" w:rsidRPr="00207748" w:rsidRDefault="00342FB3" w:rsidP="004454B6">
      <w:pPr>
        <w:spacing w:before="240"/>
        <w:rPr>
          <w:rFonts w:ascii="Cambria" w:eastAsia="Arial" w:hAnsi="Cambria" w:cs="Arial"/>
          <w:sz w:val="20"/>
          <w:szCs w:val="20"/>
        </w:rPr>
      </w:pPr>
      <w:r w:rsidRPr="00207748">
        <w:rPr>
          <w:rFonts w:ascii="Cambria" w:hAnsi="Cambria" w:cs="Arial"/>
          <w:b/>
          <w:bCs/>
          <w:sz w:val="20"/>
          <w:szCs w:val="20"/>
        </w:rPr>
        <w:t>Begründung</w:t>
      </w:r>
      <w:r w:rsidR="00420A45" w:rsidRPr="00207748">
        <w:rPr>
          <w:rFonts w:ascii="Cambria" w:hAnsi="Cambria" w:cs="Arial"/>
          <w:b/>
          <w:bCs/>
          <w:sz w:val="20"/>
          <w:szCs w:val="20"/>
        </w:rPr>
        <w:t>:</w:t>
      </w:r>
      <w:r w:rsidR="00447357" w:rsidRPr="00207748">
        <w:rPr>
          <w:rFonts w:ascii="Cambria" w:hAnsi="Cambria" w:cs="Arial"/>
          <w:b/>
          <w:bCs/>
          <w:sz w:val="20"/>
          <w:szCs w:val="20"/>
        </w:rPr>
        <w:t xml:space="preserve"> </w:t>
      </w:r>
      <w:r w:rsidR="00447357" w:rsidRPr="00207748">
        <w:rPr>
          <w:rFonts w:ascii="Cambria" w:hAnsi="Cambria" w:cs="Arial"/>
          <w:sz w:val="20"/>
          <w:szCs w:val="20"/>
        </w:rPr>
        <w:t>Die physiologischen Effekte von Vasopressoren und einer Kombination von inotropen Medikamenten und Vasopressoren bei septischem Schock wurden in mehreren Reviews beschrieben</w:t>
      </w:r>
      <w:r w:rsidR="00DC3984" w:rsidRPr="00207748">
        <w:rPr>
          <w:rFonts w:ascii="Cambria" w:hAnsi="Cambria" w:cs="Arial"/>
          <w:sz w:val="20"/>
          <w:szCs w:val="20"/>
        </w:rPr>
        <w:t>.</w:t>
      </w:r>
      <w:r w:rsidR="00447357" w:rsidRPr="00207748">
        <w:rPr>
          <w:rFonts w:ascii="Cambria" w:eastAsia="Arial" w:hAnsi="Cambria" w:cs="Arial"/>
          <w:sz w:val="20"/>
          <w:szCs w:val="20"/>
          <w:vertAlign w:val="superscript"/>
        </w:rPr>
        <w:endnoteReference w:id="266"/>
      </w:r>
      <w:r w:rsidR="00447357" w:rsidRPr="00207748">
        <w:rPr>
          <w:rFonts w:ascii="Cambria" w:hAnsi="Cambria" w:cs="Arial"/>
          <w:sz w:val="20"/>
          <w:szCs w:val="20"/>
        </w:rPr>
        <w:t xml:space="preserve"> </w:t>
      </w:r>
      <w:r w:rsidR="00447357" w:rsidRPr="00207748">
        <w:rPr>
          <w:rFonts w:ascii="Cambria" w:eastAsia="Arial" w:hAnsi="Cambria" w:cs="Arial"/>
          <w:sz w:val="20"/>
          <w:szCs w:val="20"/>
          <w:vertAlign w:val="superscript"/>
        </w:rPr>
        <w:endnoteReference w:id="267"/>
      </w:r>
      <w:r w:rsidR="00447357" w:rsidRPr="00207748">
        <w:rPr>
          <w:rFonts w:ascii="Cambria" w:hAnsi="Cambria" w:cs="Arial"/>
          <w:sz w:val="20"/>
          <w:szCs w:val="20"/>
        </w:rPr>
        <w:t xml:space="preserve"> </w:t>
      </w:r>
      <w:r w:rsidR="00447357" w:rsidRPr="00207748">
        <w:rPr>
          <w:rFonts w:ascii="Cambria" w:eastAsia="Arial" w:hAnsi="Cambria" w:cs="Arial"/>
          <w:sz w:val="20"/>
          <w:szCs w:val="20"/>
          <w:vertAlign w:val="superscript"/>
        </w:rPr>
        <w:endnoteReference w:id="268"/>
      </w:r>
      <w:r w:rsidR="00447357" w:rsidRPr="00207748">
        <w:rPr>
          <w:rFonts w:ascii="Cambria" w:hAnsi="Cambria" w:cs="Arial"/>
          <w:sz w:val="20"/>
          <w:szCs w:val="20"/>
        </w:rPr>
        <w:t xml:space="preserve"> </w:t>
      </w:r>
      <w:r w:rsidR="00447357" w:rsidRPr="00207748">
        <w:rPr>
          <w:rFonts w:ascii="Cambria" w:eastAsia="Arial" w:hAnsi="Cambria" w:cs="Arial"/>
          <w:sz w:val="20"/>
          <w:szCs w:val="20"/>
          <w:vertAlign w:val="superscript"/>
        </w:rPr>
        <w:endnoteReference w:id="269"/>
      </w:r>
      <w:r w:rsidR="00447357" w:rsidRPr="00207748">
        <w:rPr>
          <w:rFonts w:ascii="Cambria" w:hAnsi="Cambria" w:cs="Arial"/>
          <w:sz w:val="20"/>
          <w:szCs w:val="20"/>
        </w:rPr>
        <w:t xml:space="preserve"> </w:t>
      </w:r>
      <w:r w:rsidR="00447357" w:rsidRPr="00207748">
        <w:rPr>
          <w:rFonts w:ascii="Cambria" w:eastAsia="Arial" w:hAnsi="Cambria" w:cs="Arial"/>
          <w:sz w:val="20"/>
          <w:szCs w:val="20"/>
          <w:vertAlign w:val="superscript"/>
        </w:rPr>
        <w:endnoteReference w:id="270"/>
      </w:r>
      <w:r w:rsidR="00447357" w:rsidRPr="00207748">
        <w:rPr>
          <w:rFonts w:ascii="Cambria" w:hAnsi="Cambria" w:cs="Arial"/>
          <w:sz w:val="20"/>
          <w:szCs w:val="20"/>
        </w:rPr>
        <w:t xml:space="preserve"> </w:t>
      </w:r>
      <w:r w:rsidR="00447357" w:rsidRPr="00207748">
        <w:rPr>
          <w:rFonts w:ascii="Cambria" w:eastAsia="Arial" w:hAnsi="Cambria" w:cs="Arial"/>
          <w:sz w:val="20"/>
          <w:szCs w:val="20"/>
          <w:vertAlign w:val="superscript"/>
        </w:rPr>
        <w:endnoteReference w:id="271"/>
      </w:r>
      <w:r w:rsidR="00447357" w:rsidRPr="00207748">
        <w:rPr>
          <w:rFonts w:ascii="Cambria" w:hAnsi="Cambria" w:cs="Arial"/>
          <w:sz w:val="20"/>
          <w:szCs w:val="20"/>
        </w:rPr>
        <w:t xml:space="preserve"> </w:t>
      </w:r>
      <w:r w:rsidR="00447357" w:rsidRPr="00207748">
        <w:rPr>
          <w:rFonts w:ascii="Cambria" w:eastAsia="Arial" w:hAnsi="Cambria" w:cs="Arial"/>
          <w:sz w:val="20"/>
          <w:szCs w:val="20"/>
          <w:vertAlign w:val="superscript"/>
        </w:rPr>
        <w:endnoteReference w:id="272"/>
      </w:r>
      <w:r w:rsidR="00447357" w:rsidRPr="00207748">
        <w:rPr>
          <w:rFonts w:ascii="Cambria" w:hAnsi="Cambria" w:cs="Arial"/>
          <w:sz w:val="20"/>
          <w:szCs w:val="20"/>
        </w:rPr>
        <w:t xml:space="preserve"> </w:t>
      </w:r>
      <w:r w:rsidR="00447357" w:rsidRPr="00207748">
        <w:rPr>
          <w:rFonts w:ascii="Cambria" w:eastAsia="Arial" w:hAnsi="Cambria" w:cs="Arial"/>
          <w:sz w:val="20"/>
          <w:szCs w:val="20"/>
          <w:vertAlign w:val="superscript"/>
        </w:rPr>
        <w:endnoteReference w:id="273"/>
      </w:r>
      <w:r w:rsidR="00447357" w:rsidRPr="00207748">
        <w:rPr>
          <w:rFonts w:ascii="Cambria" w:hAnsi="Cambria" w:cs="Arial"/>
          <w:sz w:val="20"/>
          <w:szCs w:val="20"/>
        </w:rPr>
        <w:t xml:space="preserve"> </w:t>
      </w:r>
      <w:r w:rsidR="00447357" w:rsidRPr="00207748">
        <w:rPr>
          <w:rFonts w:ascii="Cambria" w:eastAsia="Arial" w:hAnsi="Cambria" w:cs="Arial"/>
          <w:sz w:val="20"/>
          <w:szCs w:val="20"/>
          <w:vertAlign w:val="superscript"/>
        </w:rPr>
        <w:endnoteReference w:id="274"/>
      </w:r>
      <w:r w:rsidR="00447357" w:rsidRPr="00207748">
        <w:rPr>
          <w:rFonts w:ascii="Cambria" w:hAnsi="Cambria" w:cs="Arial"/>
          <w:sz w:val="20"/>
          <w:szCs w:val="20"/>
        </w:rPr>
        <w:t xml:space="preserve"> </w:t>
      </w:r>
      <w:r w:rsidR="00447357" w:rsidRPr="00207748">
        <w:rPr>
          <w:rFonts w:ascii="Cambria" w:eastAsia="Arial" w:hAnsi="Cambria" w:cs="Arial"/>
          <w:sz w:val="20"/>
          <w:szCs w:val="20"/>
          <w:vertAlign w:val="superscript"/>
        </w:rPr>
        <w:endnoteReference w:id="275"/>
      </w:r>
    </w:p>
    <w:p w14:paraId="44A241C7" w14:textId="77777777" w:rsidR="00E11869" w:rsidRPr="00207748" w:rsidRDefault="00447357" w:rsidP="004454B6">
      <w:pPr>
        <w:rPr>
          <w:rFonts w:ascii="Cambria" w:eastAsia="Arial" w:hAnsi="Cambria" w:cs="Arial"/>
          <w:sz w:val="20"/>
          <w:szCs w:val="20"/>
        </w:rPr>
      </w:pPr>
      <w:r w:rsidRPr="00207748">
        <w:rPr>
          <w:rFonts w:ascii="Cambria" w:hAnsi="Cambria" w:cs="Arial"/>
          <w:sz w:val="20"/>
          <w:szCs w:val="20"/>
        </w:rPr>
        <w:t>Norepinephrin erhöht den MAP aufgrund seiner vasokonstriktiven Wirkungen, bei geringen Veränderungen der Herzfrequenz und einer geringeren Zunahme des Schlagvolumens im Vergleich zu Dopamin. Dopamin erhöht den MAP und das Herzzeitvolumen (HZV), was hauptsächlich auf eine Erhöhung des Schlagvolumens und der Herzfrequenz zurückzuführen ist. Norepinephrin ist potenter als Dopamin und kann bei der Behandlung von Hypotonie bei Patienten mit septischem Schock wirksam sein. Bei Patienten mit beeinträchtigter systolischer Funktion kann Dopamin besonders hilfreich sein, wobei es jedoch mehr Tachykardien verursacht und arrhythmogener zu sein scheint als Norepinephrin</w:t>
      </w:r>
      <w:r w:rsidR="00DC3984" w:rsidRPr="00207748">
        <w:rPr>
          <w:rFonts w:ascii="Cambria" w:hAnsi="Cambria" w:cs="Arial"/>
          <w:sz w:val="20"/>
          <w:szCs w:val="20"/>
        </w:rPr>
        <w:t>.</w:t>
      </w:r>
      <w:r w:rsidRPr="00207748">
        <w:rPr>
          <w:rFonts w:ascii="Cambria" w:eastAsia="Arial" w:hAnsi="Cambria" w:cs="Arial"/>
          <w:sz w:val="20"/>
          <w:szCs w:val="20"/>
          <w:vertAlign w:val="superscript"/>
        </w:rPr>
        <w:endnoteReference w:id="276"/>
      </w:r>
      <w:r w:rsidRPr="00207748">
        <w:rPr>
          <w:rFonts w:ascii="Cambria" w:hAnsi="Cambria" w:cs="Arial"/>
          <w:sz w:val="20"/>
          <w:szCs w:val="20"/>
        </w:rPr>
        <w:t xml:space="preserve"> Es kann zudem die endokrine Reaktion über die Hypothalamus-Hypophysen-Achse beeinflussen und immunsuppressive Effekte haben</w:t>
      </w:r>
      <w:r w:rsidR="00DC3984" w:rsidRPr="00207748">
        <w:rPr>
          <w:rFonts w:ascii="Cambria" w:hAnsi="Cambria" w:cs="Arial"/>
          <w:sz w:val="20"/>
          <w:szCs w:val="20"/>
        </w:rPr>
        <w:t>.</w:t>
      </w:r>
      <w:r w:rsidRPr="00207748">
        <w:rPr>
          <w:rFonts w:ascii="Cambria" w:eastAsia="Arial" w:hAnsi="Cambria" w:cs="Arial"/>
          <w:sz w:val="20"/>
          <w:szCs w:val="20"/>
          <w:vertAlign w:val="superscript"/>
        </w:rPr>
        <w:endnoteReference w:id="277"/>
      </w:r>
      <w:r w:rsidRPr="00207748">
        <w:rPr>
          <w:rFonts w:ascii="Cambria" w:hAnsi="Cambria" w:cs="Arial"/>
          <w:sz w:val="20"/>
          <w:szCs w:val="20"/>
        </w:rPr>
        <w:t xml:space="preserve"> Ein aktueller systematischer Review und eine Meta-</w:t>
      </w:r>
      <w:r w:rsidRPr="00207748">
        <w:rPr>
          <w:rFonts w:ascii="Cambria" w:hAnsi="Cambria" w:cs="Arial"/>
          <w:sz w:val="20"/>
          <w:szCs w:val="20"/>
        </w:rPr>
        <w:lastRenderedPageBreak/>
        <w:t>Analyse, die 11 randomisierte Studien umfassten (n =1.710) und einen Vergleich von Norepinephrin mit Dopamin beinhalteten, befürworteten die Verwendung von Dopamin bei der Behandlung von septischem Schock nicht</w:t>
      </w:r>
      <w:r w:rsidR="00DC3984" w:rsidRPr="00207748">
        <w:rPr>
          <w:rFonts w:ascii="Cambria" w:hAnsi="Cambria" w:cs="Arial"/>
          <w:sz w:val="20"/>
          <w:szCs w:val="20"/>
        </w:rPr>
        <w:t>.</w:t>
      </w:r>
      <w:bookmarkStart w:id="393" w:name="_Ref30586811"/>
      <w:r w:rsidRPr="00207748">
        <w:rPr>
          <w:rFonts w:ascii="Cambria" w:eastAsia="Arial" w:hAnsi="Cambria" w:cs="Arial"/>
          <w:sz w:val="20"/>
          <w:szCs w:val="20"/>
          <w:vertAlign w:val="superscript"/>
        </w:rPr>
        <w:endnoteReference w:id="278"/>
      </w:r>
      <w:bookmarkEnd w:id="393"/>
      <w:r w:rsidRPr="00207748">
        <w:rPr>
          <w:rFonts w:ascii="Cambria" w:hAnsi="Cambria" w:cs="Arial"/>
          <w:sz w:val="20"/>
          <w:szCs w:val="20"/>
        </w:rPr>
        <w:t xml:space="preserve"> Tatsächlich führte die Nutzung von Norepinephrin zu einer verringerten Mortalität (RR, 0,89; 95 % CI, 0,81–0,98, hohe Evidenzqualität) und einem geringeren Risiko für Arrhythmien (RR, 0,48; 95 % CI, 0,40–0,58; hohe Evidenzqualität) im Vergleich zu Dopamin</w:t>
      </w:r>
      <w:r w:rsidR="003B1537" w:rsidRPr="00207748">
        <w:rPr>
          <w:rFonts w:ascii="Cambria" w:hAnsi="Cambria" w:cs="Arial"/>
          <w:sz w:val="20"/>
          <w:szCs w:val="20"/>
        </w:rPr>
        <w:t>.</w:t>
      </w:r>
    </w:p>
    <w:p w14:paraId="1FC23E6B" w14:textId="087A792A" w:rsidR="00E11869" w:rsidRPr="00207748" w:rsidRDefault="00447357" w:rsidP="004454B6">
      <w:pPr>
        <w:rPr>
          <w:rFonts w:ascii="Cambria" w:eastAsia="Arial" w:hAnsi="Cambria" w:cs="Arial"/>
          <w:sz w:val="20"/>
          <w:szCs w:val="20"/>
        </w:rPr>
      </w:pPr>
      <w:r w:rsidRPr="00207748">
        <w:rPr>
          <w:rFonts w:ascii="Cambria" w:hAnsi="Cambria" w:cs="Arial"/>
          <w:sz w:val="20"/>
          <w:szCs w:val="20"/>
        </w:rPr>
        <w:t>Studien deuten darauf hin, dass eine Epinephrin-Infusion schädliche Auswirkungen auf die Durchblutung des Splanchnicus haben und eine Hyperlaktatämie verursachen könnte. Klinische Studien haben jedoch keine Verschlechterung der klinischen Ergebnisse nachgewiesen. Eine RCT, in der Norepinephrin mit Epinephrin verglichen wurde, ergab keinen Unterschied in der Mortalität, wies aber eine Zunahme der medikamentenbezogenen Nebenwirkungen bei der Nutzung von Epinephrin nach</w:t>
      </w:r>
      <w:r w:rsidR="00DC3984" w:rsidRPr="00207748">
        <w:rPr>
          <w:rFonts w:ascii="Cambria" w:hAnsi="Cambria" w:cs="Arial"/>
          <w:sz w:val="20"/>
          <w:szCs w:val="20"/>
        </w:rPr>
        <w:t>.</w:t>
      </w:r>
      <w:r w:rsidRPr="00207748">
        <w:rPr>
          <w:rFonts w:ascii="Cambria" w:eastAsia="Arial" w:hAnsi="Cambria" w:cs="Arial"/>
          <w:sz w:val="20"/>
          <w:szCs w:val="20"/>
          <w:vertAlign w:val="superscript"/>
        </w:rPr>
        <w:endnoteReference w:id="279"/>
      </w:r>
      <w:r w:rsidRPr="00207748">
        <w:rPr>
          <w:rFonts w:ascii="Cambria" w:hAnsi="Cambria" w:cs="Arial"/>
          <w:sz w:val="20"/>
          <w:szCs w:val="20"/>
        </w:rPr>
        <w:t xml:space="preserve"> Auch eine Meta-Analyse von vier randomisierten Studien (n = 540), in denen Norepinephrin mit Epinephrin verglichen wurde, wies keinen signifikanten Unterschied in Bezug auf die Mortalität nach (RR, 0,96; CI, 0,77−1,21; niedrige Evidenzqualität)</w:t>
      </w:r>
      <w:r w:rsidR="00DC3984" w:rsidRPr="00207748">
        <w:rPr>
          <w:rFonts w:ascii="Cambria" w:hAnsi="Cambria" w:cs="Arial"/>
          <w:sz w:val="20"/>
          <w:szCs w:val="20"/>
        </w:rPr>
        <w:t>.</w:t>
      </w:r>
      <w:r w:rsidR="006B2B71" w:rsidRPr="006B2B71">
        <w:rPr>
          <w:rStyle w:val="EndnoteRealZchn"/>
        </w:rPr>
        <w:fldChar w:fldCharType="begin"/>
      </w:r>
      <w:r w:rsidR="006B2B71" w:rsidRPr="006B2B71">
        <w:rPr>
          <w:rStyle w:val="EndnoteRealZchn"/>
        </w:rPr>
        <w:instrText xml:space="preserve"> NOTEREF _Ref30586811 \h </w:instrText>
      </w:r>
      <w:r w:rsidR="006B2B71">
        <w:rPr>
          <w:rStyle w:val="EndnoteRealZchn"/>
        </w:rPr>
        <w:instrText xml:space="preserve"> \* MERGEFORMAT </w:instrText>
      </w:r>
      <w:r w:rsidR="006B2B71" w:rsidRPr="006B2B71">
        <w:rPr>
          <w:rStyle w:val="EndnoteRealZchn"/>
        </w:rPr>
      </w:r>
      <w:r w:rsidR="006B2B71" w:rsidRPr="006B2B71">
        <w:rPr>
          <w:rStyle w:val="EndnoteRealZchn"/>
        </w:rPr>
        <w:fldChar w:fldCharType="separate"/>
      </w:r>
      <w:r w:rsidR="001A283B">
        <w:rPr>
          <w:rStyle w:val="EndnoteRealZchn"/>
        </w:rPr>
        <w:t>317</w:t>
      </w:r>
      <w:r w:rsidR="006B2B71" w:rsidRPr="006B2B71">
        <w:rPr>
          <w:rStyle w:val="EndnoteRealZchn"/>
        </w:rPr>
        <w:fldChar w:fldCharType="end"/>
      </w:r>
      <w:r w:rsidR="006B2B71">
        <w:rPr>
          <w:rFonts w:ascii="Cambria" w:eastAsia="Arial" w:hAnsi="Cambria" w:cs="Arial"/>
          <w:sz w:val="20"/>
          <w:szCs w:val="20"/>
          <w:vertAlign w:val="superscript"/>
        </w:rPr>
        <w:t xml:space="preserve"> </w:t>
      </w:r>
      <w:r w:rsidRPr="00207748">
        <w:rPr>
          <w:rFonts w:ascii="Cambria" w:hAnsi="Cambria" w:cs="Arial"/>
          <w:sz w:val="20"/>
          <w:szCs w:val="20"/>
        </w:rPr>
        <w:t>Epinephrin kann die aerobe Laktatproduktion erhöhen, indem es die adrenergen Skelettmuskel-Beta-2-Rezeptoren stimuliert, und könnte auf diese Weise die Nutzung der Laktat-Clearance ausschließen, was die Steuerung der Flüssigkeitstherapie betrifft.</w:t>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40"/>
        <w:gridCol w:w="812"/>
      </w:tblGrid>
      <w:tr w:rsidR="00E11869" w:rsidRPr="00207748" w14:paraId="6ACC236E"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79E16184"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t>G.2</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666EC34"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45806C6B"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t>2018</w:t>
            </w:r>
          </w:p>
        </w:tc>
      </w:tr>
      <w:tr w:rsidR="00E11869" w:rsidRPr="00207748" w14:paraId="047E626C" w14:textId="77777777" w:rsidTr="00334AF5">
        <w:trPr>
          <w:trHeight w:val="225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815A4" w14:textId="77777777" w:rsidR="00E11869" w:rsidRPr="00207748" w:rsidRDefault="00447357" w:rsidP="004454B6">
            <w:pPr>
              <w:keepLines/>
              <w:widowControl w:val="0"/>
              <w:spacing w:after="0"/>
              <w:rPr>
                <w:rFonts w:ascii="Cambria" w:eastAsia="Arial" w:hAnsi="Cambria" w:cs="Arial"/>
                <w:sz w:val="20"/>
                <w:szCs w:val="20"/>
              </w:rPr>
            </w:pPr>
            <w:r w:rsidRPr="00207748">
              <w:rPr>
                <w:rFonts w:ascii="Cambria" w:hAnsi="Cambria" w:cs="Arial"/>
                <w:sz w:val="20"/>
                <w:szCs w:val="20"/>
              </w:rPr>
              <w:t>Empfehlungsgrad</w:t>
            </w:r>
          </w:p>
          <w:p w14:paraId="7DE316F5" w14:textId="77777777" w:rsidR="00E11869" w:rsidRPr="00207748" w:rsidRDefault="00E11869" w:rsidP="004454B6">
            <w:pPr>
              <w:keepLines/>
              <w:widowControl w:val="0"/>
              <w:spacing w:after="0"/>
              <w:rPr>
                <w:rFonts w:ascii="Cambria" w:eastAsia="Arial" w:hAnsi="Cambria" w:cs="Arial"/>
                <w:sz w:val="20"/>
                <w:szCs w:val="20"/>
              </w:rPr>
            </w:pPr>
          </w:p>
          <w:p w14:paraId="0BF4A1CE" w14:textId="77777777" w:rsidR="00E11869" w:rsidRPr="00207748" w:rsidRDefault="00447357" w:rsidP="004454B6">
            <w:pPr>
              <w:keepLines/>
              <w:widowControl w:val="0"/>
              <w:spacing w:after="0"/>
              <w:rPr>
                <w:rFonts w:ascii="Cambria" w:eastAsia="Arial" w:hAnsi="Cambria" w:cs="Arial"/>
                <w:b/>
                <w:bCs/>
                <w:sz w:val="20"/>
                <w:szCs w:val="20"/>
              </w:rPr>
            </w:pPr>
            <w:r w:rsidRPr="00207748">
              <w:rPr>
                <w:rFonts w:ascii="Cambria" w:hAnsi="Cambria" w:cs="Arial"/>
                <w:b/>
                <w:bCs/>
                <w:sz w:val="20"/>
                <w:szCs w:val="20"/>
              </w:rPr>
              <w:t>schwach</w:t>
            </w:r>
          </w:p>
          <w:p w14:paraId="42F0056C" w14:textId="77777777" w:rsidR="00E11869" w:rsidRPr="00207748" w:rsidRDefault="00E11869" w:rsidP="004454B6">
            <w:pPr>
              <w:keepLines/>
              <w:widowControl w:val="0"/>
              <w:spacing w:after="0"/>
              <w:rPr>
                <w:rFonts w:ascii="Cambria" w:eastAsia="Arial" w:hAnsi="Cambria" w:cs="Arial"/>
                <w:sz w:val="20"/>
                <w:szCs w:val="20"/>
              </w:rPr>
            </w:pPr>
          </w:p>
          <w:p w14:paraId="0D0CD2CF" w14:textId="77777777" w:rsidR="00E11869" w:rsidRPr="00207748" w:rsidRDefault="00447357" w:rsidP="004454B6">
            <w:pPr>
              <w:keepLines/>
              <w:widowControl w:val="0"/>
              <w:spacing w:after="0"/>
              <w:rPr>
                <w:rFonts w:ascii="Cambria" w:eastAsia="Arial" w:hAnsi="Cambria" w:cs="Arial"/>
                <w:sz w:val="20"/>
                <w:szCs w:val="20"/>
              </w:rPr>
            </w:pPr>
            <w:r w:rsidRPr="00207748">
              <w:rPr>
                <w:rFonts w:ascii="Cambria" w:hAnsi="Cambria" w:cs="Arial"/>
                <w:sz w:val="20"/>
                <w:szCs w:val="20"/>
              </w:rPr>
              <w:t>Evidenzgrad</w:t>
            </w:r>
          </w:p>
          <w:p w14:paraId="4000091E" w14:textId="77777777" w:rsidR="00E11869" w:rsidRPr="00207748" w:rsidRDefault="00E11869" w:rsidP="004454B6">
            <w:pPr>
              <w:keepLines/>
              <w:widowControl w:val="0"/>
              <w:spacing w:after="0"/>
              <w:rPr>
                <w:rFonts w:ascii="Cambria" w:eastAsia="Arial" w:hAnsi="Cambria" w:cs="Arial"/>
                <w:sz w:val="20"/>
                <w:szCs w:val="20"/>
              </w:rPr>
            </w:pPr>
          </w:p>
          <w:p w14:paraId="5C6AAD65" w14:textId="77777777" w:rsidR="00E11869" w:rsidRPr="00207748" w:rsidRDefault="00447357" w:rsidP="004454B6">
            <w:pPr>
              <w:keepLines/>
              <w:widowControl w:val="0"/>
              <w:spacing w:after="0"/>
              <w:rPr>
                <w:rFonts w:ascii="Cambria" w:hAnsi="Cambria" w:cs="Arial"/>
                <w:sz w:val="20"/>
                <w:szCs w:val="20"/>
              </w:rPr>
            </w:pPr>
            <w:r w:rsidRPr="00207748">
              <w:rPr>
                <w:rFonts w:ascii="Cambria" w:hAnsi="Cambria" w:cs="Arial"/>
                <w:b/>
                <w:bCs/>
                <w:sz w:val="20"/>
                <w:szCs w:val="20"/>
              </w:rPr>
              <w:t>niedrig</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AF24F" w14:textId="77777777" w:rsidR="00E11869" w:rsidRPr="00207748" w:rsidRDefault="00447357" w:rsidP="004454B6">
            <w:pPr>
              <w:keepLines/>
              <w:widowControl w:val="0"/>
              <w:spacing w:after="0"/>
              <w:rPr>
                <w:rFonts w:ascii="Cambria" w:hAnsi="Cambria" w:cs="Arial"/>
                <w:sz w:val="20"/>
                <w:szCs w:val="20"/>
              </w:rPr>
            </w:pPr>
            <w:r w:rsidRPr="00207748">
              <w:rPr>
                <w:rFonts w:ascii="Cambria" w:hAnsi="Cambria" w:cs="Arial"/>
                <w:b/>
                <w:bCs/>
                <w:sz w:val="20"/>
                <w:szCs w:val="20"/>
              </w:rPr>
              <w:t>Wir schlagen vor, dass entweder Vasopressin oder Epinephrin zu Norepinephrin ergänzt wird, wenn mit Noradrenalin alleine kein ausreichender Blutdruck erzielt werden kann.</w:t>
            </w:r>
          </w:p>
        </w:tc>
      </w:tr>
      <w:tr w:rsidR="00E11869" w:rsidRPr="00207748" w14:paraId="06D9686D" w14:textId="77777777" w:rsidTr="00342FB3">
        <w:trPr>
          <w:trHeight w:val="56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7F9272AB" w14:textId="77777777" w:rsidR="00E11869" w:rsidRPr="00207748" w:rsidRDefault="00E11869" w:rsidP="004454B6">
            <w:pPr>
              <w:keepLines/>
              <w:widowControl w:val="0"/>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5F51F" w14:textId="77777777" w:rsidR="00E11869" w:rsidRPr="00207748" w:rsidRDefault="00447357" w:rsidP="004454B6">
            <w:pPr>
              <w:keepLines/>
              <w:widowControl w:val="0"/>
              <w:spacing w:after="0"/>
              <w:rPr>
                <w:rFonts w:ascii="Cambria" w:hAnsi="Cambria" w:cs="Arial"/>
                <w:sz w:val="20"/>
                <w:szCs w:val="20"/>
              </w:rPr>
            </w:pPr>
            <w:r w:rsidRPr="00207748">
              <w:rPr>
                <w:rFonts w:ascii="Cambria" w:hAnsi="Cambria" w:cs="Arial"/>
                <w:b/>
                <w:bCs/>
                <w:sz w:val="20"/>
                <w:szCs w:val="20"/>
              </w:rPr>
              <w:t>SSC</w:t>
            </w:r>
            <w:r w:rsidR="00420A45" w:rsidRPr="00207748">
              <w:rPr>
                <w:rFonts w:ascii="Cambria" w:hAnsi="Cambria" w:cs="Arial"/>
                <w:b/>
                <w:bCs/>
                <w:sz w:val="20"/>
                <w:szCs w:val="20"/>
              </w:rPr>
              <w:t>-</w:t>
            </w:r>
            <w:r w:rsidRPr="00207748">
              <w:rPr>
                <w:rFonts w:ascii="Cambria" w:hAnsi="Cambria" w:cs="Arial"/>
                <w:b/>
                <w:bCs/>
                <w:sz w:val="20"/>
                <w:szCs w:val="20"/>
              </w:rPr>
              <w:t xml:space="preserve">Leitlinienmodifikation </w:t>
            </w:r>
          </w:p>
        </w:tc>
      </w:tr>
      <w:tr w:rsidR="00E11869" w:rsidRPr="00207748" w14:paraId="1FBC0C09"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7DFFC"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89DD7" w14:textId="77777777" w:rsidR="00E11869" w:rsidRPr="00207748" w:rsidRDefault="00447357" w:rsidP="004454B6">
            <w:pPr>
              <w:spacing w:after="0"/>
              <w:rPr>
                <w:rFonts w:ascii="Cambria" w:hAnsi="Cambria" w:cs="Arial"/>
                <w:sz w:val="20"/>
                <w:szCs w:val="20"/>
              </w:rPr>
            </w:pPr>
            <w:r w:rsidRPr="00207748">
              <w:rPr>
                <w:rFonts w:ascii="Cambria" w:hAnsi="Cambria" w:cs="Arial"/>
                <w:sz w:val="20"/>
                <w:szCs w:val="20"/>
              </w:rPr>
              <w:t>Konsensstärke: 100 %</w:t>
            </w:r>
          </w:p>
        </w:tc>
      </w:tr>
    </w:tbl>
    <w:p w14:paraId="0C268153" w14:textId="70C79322" w:rsidR="00DC3984" w:rsidRPr="00207748" w:rsidRDefault="00665775" w:rsidP="004454B6">
      <w:pPr>
        <w:spacing w:before="240"/>
        <w:rPr>
          <w:rFonts w:ascii="Cambria" w:hAnsi="Cambria" w:cs="Arial"/>
          <w:sz w:val="20"/>
          <w:szCs w:val="20"/>
        </w:rPr>
      </w:pPr>
      <w:r w:rsidRPr="00207748">
        <w:rPr>
          <w:rFonts w:ascii="Cambria" w:hAnsi="Cambria" w:cs="Arial"/>
          <w:b/>
          <w:bCs/>
          <w:sz w:val="20"/>
          <w:szCs w:val="20"/>
        </w:rPr>
        <w:lastRenderedPageBreak/>
        <w:t xml:space="preserve">Begründung: </w:t>
      </w:r>
      <w:r w:rsidR="00921CA2">
        <w:rPr>
          <w:rFonts w:ascii="Cambria" w:hAnsi="Cambria" w:cs="Arial"/>
          <w:b/>
          <w:bCs/>
          <w:sz w:val="20"/>
          <w:szCs w:val="20"/>
        </w:rPr>
        <w:t xml:space="preserve">Die </w:t>
      </w:r>
      <w:r w:rsidR="00447357" w:rsidRPr="00207748">
        <w:rPr>
          <w:rFonts w:ascii="Cambria" w:hAnsi="Cambria" w:cs="Arial"/>
          <w:sz w:val="20"/>
          <w:szCs w:val="20"/>
        </w:rPr>
        <w:t>Vasopressin-</w:t>
      </w:r>
      <w:r w:rsidR="00921CA2">
        <w:rPr>
          <w:rFonts w:ascii="Cambria" w:hAnsi="Cambria" w:cs="Arial"/>
          <w:sz w:val="20"/>
          <w:szCs w:val="20"/>
        </w:rPr>
        <w:t>Serumk</w:t>
      </w:r>
      <w:r w:rsidR="00447357" w:rsidRPr="00207748">
        <w:rPr>
          <w:rFonts w:ascii="Cambria" w:hAnsi="Cambria" w:cs="Arial"/>
          <w:sz w:val="20"/>
          <w:szCs w:val="20"/>
        </w:rPr>
        <w:t xml:space="preserve">onzentrationen bei </w:t>
      </w:r>
      <w:r w:rsidR="00921CA2">
        <w:rPr>
          <w:rFonts w:ascii="Cambria" w:hAnsi="Cambria" w:cs="Arial"/>
          <w:sz w:val="20"/>
          <w:szCs w:val="20"/>
        </w:rPr>
        <w:t xml:space="preserve">Patienten mit </w:t>
      </w:r>
      <w:r w:rsidR="00447357" w:rsidRPr="00207748">
        <w:rPr>
          <w:rFonts w:ascii="Cambria" w:hAnsi="Cambria" w:cs="Arial"/>
          <w:sz w:val="20"/>
          <w:szCs w:val="20"/>
        </w:rPr>
        <w:t xml:space="preserve">septischem Schock </w:t>
      </w:r>
      <w:r w:rsidR="00921CA2">
        <w:rPr>
          <w:rFonts w:ascii="Cambria" w:hAnsi="Cambria" w:cs="Arial"/>
          <w:sz w:val="20"/>
          <w:szCs w:val="20"/>
        </w:rPr>
        <w:t>sind unangemessen erniedrigt.</w:t>
      </w:r>
    </w:p>
    <w:p w14:paraId="3C3C0EA4" w14:textId="259DEA33" w:rsidR="00E11869" w:rsidRPr="006B2B71" w:rsidRDefault="00205DF9" w:rsidP="004454B6">
      <w:pPr>
        <w:spacing w:before="240"/>
        <w:rPr>
          <w:rFonts w:ascii="Cambria" w:hAnsi="Cambria" w:cs="Arial"/>
          <w:sz w:val="20"/>
          <w:szCs w:val="20"/>
        </w:rPr>
      </w:pPr>
      <w:r>
        <w:rPr>
          <w:rFonts w:ascii="Cambria" w:hAnsi="Cambria" w:cs="Arial"/>
          <w:sz w:val="20"/>
          <w:szCs w:val="20"/>
        </w:rPr>
        <w:t>N</w:t>
      </w:r>
      <w:r w:rsidR="00447357" w:rsidRPr="00207748">
        <w:rPr>
          <w:rFonts w:ascii="Cambria" w:hAnsi="Cambria" w:cs="Arial"/>
          <w:sz w:val="20"/>
          <w:szCs w:val="20"/>
        </w:rPr>
        <w:t>iedrige Dosen Vasopressin</w:t>
      </w:r>
      <w:r>
        <w:rPr>
          <w:rFonts w:ascii="Cambria" w:hAnsi="Cambria" w:cs="Arial"/>
          <w:sz w:val="20"/>
          <w:szCs w:val="20"/>
        </w:rPr>
        <w:t xml:space="preserve"> können</w:t>
      </w:r>
      <w:r w:rsidR="00447357" w:rsidRPr="00207748">
        <w:rPr>
          <w:rFonts w:ascii="Cambria" w:hAnsi="Cambria" w:cs="Arial"/>
          <w:sz w:val="20"/>
          <w:szCs w:val="20"/>
        </w:rPr>
        <w:t xml:space="preserve"> bei Patienten, </w:t>
      </w:r>
      <w:r>
        <w:rPr>
          <w:rFonts w:ascii="Cambria" w:hAnsi="Cambria" w:cs="Arial"/>
          <w:sz w:val="20"/>
          <w:szCs w:val="20"/>
        </w:rPr>
        <w:t>welche einen refraktären Schock unter</w:t>
      </w:r>
      <w:r w:rsidR="00447357" w:rsidRPr="00207748">
        <w:rPr>
          <w:rFonts w:ascii="Cambria" w:hAnsi="Cambria" w:cs="Arial"/>
          <w:sz w:val="20"/>
          <w:szCs w:val="20"/>
        </w:rPr>
        <w:t xml:space="preserve"> anderen Vasopressoren </w:t>
      </w:r>
      <w:r>
        <w:rPr>
          <w:rFonts w:ascii="Cambria" w:hAnsi="Cambria" w:cs="Arial"/>
          <w:sz w:val="20"/>
          <w:szCs w:val="20"/>
        </w:rPr>
        <w:t>aufweisen,</w:t>
      </w:r>
      <w:r w:rsidR="002B1061">
        <w:rPr>
          <w:rFonts w:ascii="Cambria" w:hAnsi="Cambria" w:cs="Arial"/>
          <w:sz w:val="20"/>
          <w:szCs w:val="20"/>
        </w:rPr>
        <w:t xml:space="preserve"> </w:t>
      </w:r>
      <w:r>
        <w:rPr>
          <w:rFonts w:ascii="Cambria" w:hAnsi="Cambria" w:cs="Arial"/>
          <w:sz w:val="20"/>
          <w:szCs w:val="20"/>
        </w:rPr>
        <w:t>den Blutdruck steigern</w:t>
      </w:r>
      <w:r w:rsidR="002B1061">
        <w:rPr>
          <w:rFonts w:ascii="Cambria" w:hAnsi="Cambria" w:cs="Arial"/>
          <w:sz w:val="20"/>
          <w:szCs w:val="20"/>
        </w:rPr>
        <w:t xml:space="preserve"> </w:t>
      </w:r>
      <w:r w:rsidR="00447357" w:rsidRPr="00207748">
        <w:rPr>
          <w:rFonts w:ascii="Cambria" w:hAnsi="Cambria" w:cs="Arial"/>
          <w:sz w:val="20"/>
          <w:szCs w:val="20"/>
        </w:rPr>
        <w:t xml:space="preserve">und </w:t>
      </w:r>
      <w:r>
        <w:rPr>
          <w:rFonts w:ascii="Cambria" w:hAnsi="Cambria" w:cs="Arial"/>
          <w:sz w:val="20"/>
          <w:szCs w:val="20"/>
        </w:rPr>
        <w:t xml:space="preserve">weisen </w:t>
      </w:r>
      <w:r w:rsidR="00447357" w:rsidRPr="00207748">
        <w:rPr>
          <w:rFonts w:ascii="Cambria" w:hAnsi="Cambria" w:cs="Arial"/>
          <w:sz w:val="20"/>
          <w:szCs w:val="20"/>
        </w:rPr>
        <w:t xml:space="preserve">zusätzliche physiologische Vorteile </w:t>
      </w:r>
      <w:r>
        <w:rPr>
          <w:rFonts w:ascii="Cambria" w:hAnsi="Cambria" w:cs="Arial"/>
          <w:sz w:val="20"/>
          <w:szCs w:val="20"/>
        </w:rPr>
        <w:t>auf</w:t>
      </w:r>
      <w:r w:rsidR="00DC3984" w:rsidRPr="00207748">
        <w:rPr>
          <w:rFonts w:ascii="Cambria" w:hAnsi="Cambria" w:cs="Arial"/>
          <w:sz w:val="20"/>
          <w:szCs w:val="20"/>
        </w:rPr>
        <w:t>.</w:t>
      </w:r>
      <w:r w:rsidR="00447357" w:rsidRPr="00207748">
        <w:rPr>
          <w:rFonts w:ascii="Cambria" w:eastAsia="Arial" w:hAnsi="Cambria" w:cs="Arial"/>
          <w:sz w:val="20"/>
          <w:szCs w:val="20"/>
          <w:vertAlign w:val="superscript"/>
        </w:rPr>
        <w:endnoteReference w:id="280"/>
      </w:r>
      <w:r w:rsidR="00447357" w:rsidRPr="00207748">
        <w:rPr>
          <w:rFonts w:ascii="Cambria" w:hAnsi="Cambria" w:cs="Arial"/>
          <w:sz w:val="20"/>
          <w:szCs w:val="20"/>
        </w:rPr>
        <w:t xml:space="preserve"> </w:t>
      </w:r>
      <w:bookmarkStart w:id="394" w:name="_Ref30586664"/>
      <w:r w:rsidR="00447357" w:rsidRPr="00207748">
        <w:rPr>
          <w:rFonts w:ascii="Cambria" w:eastAsia="Arial" w:hAnsi="Cambria" w:cs="Arial"/>
          <w:sz w:val="20"/>
          <w:szCs w:val="20"/>
          <w:vertAlign w:val="superscript"/>
        </w:rPr>
        <w:endnoteReference w:id="281"/>
      </w:r>
      <w:bookmarkEnd w:id="394"/>
      <w:r w:rsidR="00447357" w:rsidRPr="00207748">
        <w:rPr>
          <w:rFonts w:ascii="Cambria" w:hAnsi="Cambria" w:cs="Arial"/>
          <w:sz w:val="20"/>
          <w:szCs w:val="20"/>
        </w:rPr>
        <w:t xml:space="preserve"> </w:t>
      </w:r>
      <w:r w:rsidR="00447357" w:rsidRPr="00207748">
        <w:rPr>
          <w:rFonts w:ascii="Cambria" w:eastAsia="Arial" w:hAnsi="Cambria" w:cs="Arial"/>
          <w:sz w:val="20"/>
          <w:szCs w:val="20"/>
          <w:vertAlign w:val="superscript"/>
        </w:rPr>
        <w:endnoteReference w:id="282"/>
      </w:r>
      <w:r w:rsidR="00447357" w:rsidRPr="00207748">
        <w:rPr>
          <w:rFonts w:ascii="Cambria" w:hAnsi="Cambria" w:cs="Arial"/>
          <w:sz w:val="20"/>
          <w:szCs w:val="20"/>
        </w:rPr>
        <w:t xml:space="preserve"> </w:t>
      </w:r>
      <w:r w:rsidR="00447357" w:rsidRPr="00207748">
        <w:rPr>
          <w:rFonts w:ascii="Cambria" w:eastAsia="Arial" w:hAnsi="Cambria" w:cs="Arial"/>
          <w:sz w:val="20"/>
          <w:szCs w:val="20"/>
          <w:vertAlign w:val="superscript"/>
        </w:rPr>
        <w:endnoteReference w:id="283"/>
      </w:r>
      <w:r w:rsidR="00447357" w:rsidRPr="00207748">
        <w:rPr>
          <w:rFonts w:ascii="Cambria" w:hAnsi="Cambria" w:cs="Arial"/>
          <w:sz w:val="20"/>
          <w:szCs w:val="20"/>
        </w:rPr>
        <w:t xml:space="preserve"> </w:t>
      </w:r>
      <w:r w:rsidR="00447357" w:rsidRPr="00207748">
        <w:rPr>
          <w:rFonts w:ascii="Cambria" w:eastAsia="Arial" w:hAnsi="Cambria" w:cs="Arial"/>
          <w:sz w:val="20"/>
          <w:szCs w:val="20"/>
          <w:vertAlign w:val="superscript"/>
        </w:rPr>
        <w:endnoteReference w:id="284"/>
      </w:r>
      <w:r w:rsidR="00447357" w:rsidRPr="00207748">
        <w:rPr>
          <w:rFonts w:ascii="Cambria" w:hAnsi="Cambria" w:cs="Arial"/>
          <w:sz w:val="20"/>
          <w:szCs w:val="20"/>
        </w:rPr>
        <w:t xml:space="preserve"> Terlipressin hat eine ähnliche Wirkung, ist aber langanhaltend wirksam</w:t>
      </w:r>
      <w:r w:rsidR="00DC3984" w:rsidRPr="00207748">
        <w:rPr>
          <w:rFonts w:ascii="Cambria" w:hAnsi="Cambria" w:cs="Arial"/>
          <w:sz w:val="20"/>
          <w:szCs w:val="20"/>
        </w:rPr>
        <w:t>.</w:t>
      </w:r>
      <w:r w:rsidR="00447357" w:rsidRPr="00207748">
        <w:rPr>
          <w:rFonts w:ascii="Cambria" w:eastAsia="Arial" w:hAnsi="Cambria" w:cs="Arial"/>
          <w:sz w:val="20"/>
          <w:szCs w:val="20"/>
          <w:vertAlign w:val="superscript"/>
        </w:rPr>
        <w:endnoteReference w:id="285"/>
      </w:r>
      <w:r w:rsidR="00447357" w:rsidRPr="00207748">
        <w:rPr>
          <w:rFonts w:ascii="Cambria" w:hAnsi="Cambria" w:cs="Arial"/>
          <w:sz w:val="20"/>
          <w:szCs w:val="20"/>
        </w:rPr>
        <w:t xml:space="preserve"> Studien zeigten, dass die Vasopressin-</w:t>
      </w:r>
      <w:r>
        <w:rPr>
          <w:rFonts w:ascii="Cambria" w:hAnsi="Cambria" w:cs="Arial"/>
          <w:sz w:val="20"/>
          <w:szCs w:val="20"/>
        </w:rPr>
        <w:t>Plasmak</w:t>
      </w:r>
      <w:r w:rsidR="00447357" w:rsidRPr="00207748">
        <w:rPr>
          <w:rFonts w:ascii="Cambria" w:hAnsi="Cambria" w:cs="Arial"/>
          <w:sz w:val="20"/>
          <w:szCs w:val="20"/>
        </w:rPr>
        <w:t xml:space="preserve">onzentrationen </w:t>
      </w:r>
      <w:r>
        <w:rPr>
          <w:rFonts w:ascii="Cambria" w:hAnsi="Cambria" w:cs="Arial"/>
          <w:sz w:val="20"/>
          <w:szCs w:val="20"/>
        </w:rPr>
        <w:t>im frühen</w:t>
      </w:r>
      <w:r w:rsidR="00447357" w:rsidRPr="00207748">
        <w:rPr>
          <w:rFonts w:ascii="Cambria" w:hAnsi="Cambria" w:cs="Arial"/>
          <w:sz w:val="20"/>
          <w:szCs w:val="20"/>
        </w:rPr>
        <w:t xml:space="preserve"> septischen Schock erhöht sind, aber bei der Mehrheit der Patienten nach 24 bis 48 Stunden in den normalen Wertebereich zurückgehen, während der Schockzustand andauert</w:t>
      </w:r>
      <w:r w:rsidR="00DC3984" w:rsidRPr="00207748">
        <w:rPr>
          <w:rFonts w:ascii="Cambria" w:hAnsi="Cambria" w:cs="Arial"/>
          <w:sz w:val="20"/>
          <w:szCs w:val="20"/>
        </w:rPr>
        <w:t>.</w:t>
      </w:r>
      <w:r w:rsidR="00447357" w:rsidRPr="00207748">
        <w:rPr>
          <w:rFonts w:ascii="Cambria" w:eastAsia="Arial" w:hAnsi="Cambria" w:cs="Arial"/>
          <w:sz w:val="20"/>
          <w:szCs w:val="20"/>
          <w:vertAlign w:val="superscript"/>
        </w:rPr>
        <w:endnoteReference w:id="286"/>
      </w:r>
      <w:r w:rsidR="00447357" w:rsidRPr="00207748">
        <w:rPr>
          <w:rFonts w:ascii="Cambria" w:hAnsi="Cambria" w:cs="Arial"/>
          <w:sz w:val="20"/>
          <w:szCs w:val="20"/>
        </w:rPr>
        <w:t xml:space="preserve"> Dieses Ergebnis wird als relative Vasopressin-Defizienz bezeichnet, da zu erwarten wäre, dass die Vasopressin-Konzentration bei Vorliegen einer Hypotonie erhöht sein würde. Die klinische Bedeutung diese</w:t>
      </w:r>
      <w:r>
        <w:rPr>
          <w:rFonts w:ascii="Cambria" w:hAnsi="Cambria" w:cs="Arial"/>
          <w:sz w:val="20"/>
          <w:szCs w:val="20"/>
        </w:rPr>
        <w:t>r</w:t>
      </w:r>
      <w:r w:rsidR="00447357" w:rsidRPr="00207748">
        <w:rPr>
          <w:rFonts w:ascii="Cambria" w:hAnsi="Cambria" w:cs="Arial"/>
          <w:sz w:val="20"/>
          <w:szCs w:val="20"/>
        </w:rPr>
        <w:t xml:space="preserve"> </w:t>
      </w:r>
      <w:r>
        <w:rPr>
          <w:rFonts w:ascii="Cambria" w:hAnsi="Cambria" w:cs="Arial"/>
          <w:sz w:val="20"/>
          <w:szCs w:val="20"/>
        </w:rPr>
        <w:t>Befunde</w:t>
      </w:r>
      <w:r w:rsidR="00447357" w:rsidRPr="00207748">
        <w:rPr>
          <w:rFonts w:ascii="Cambria" w:hAnsi="Cambria" w:cs="Arial"/>
          <w:sz w:val="20"/>
          <w:szCs w:val="20"/>
        </w:rPr>
        <w:t xml:space="preserve"> ist </w:t>
      </w:r>
      <w:r>
        <w:rPr>
          <w:rFonts w:ascii="Cambria" w:hAnsi="Cambria" w:cs="Arial"/>
          <w:sz w:val="20"/>
          <w:szCs w:val="20"/>
        </w:rPr>
        <w:t>unzureichend untersucht</w:t>
      </w:r>
      <w:r w:rsidR="00447357" w:rsidRPr="00207748">
        <w:rPr>
          <w:rFonts w:ascii="Cambria" w:hAnsi="Cambria" w:cs="Arial"/>
          <w:sz w:val="20"/>
          <w:szCs w:val="20"/>
        </w:rPr>
        <w:t xml:space="preserve">. </w:t>
      </w:r>
    </w:p>
    <w:p w14:paraId="670A79F9" w14:textId="5F97517E" w:rsidR="00E11869" w:rsidRPr="00207748" w:rsidRDefault="00447357" w:rsidP="004454B6">
      <w:pPr>
        <w:rPr>
          <w:rFonts w:ascii="Cambria" w:hAnsi="Cambria" w:cs="Arial"/>
          <w:sz w:val="20"/>
          <w:szCs w:val="20"/>
        </w:rPr>
      </w:pPr>
      <w:r w:rsidRPr="00207748">
        <w:rPr>
          <w:rFonts w:ascii="Cambria" w:hAnsi="Cambria" w:cs="Arial"/>
          <w:sz w:val="20"/>
          <w:szCs w:val="20"/>
        </w:rPr>
        <w:t>Die VASST-Studie, ein</w:t>
      </w:r>
      <w:r w:rsidR="00537477">
        <w:rPr>
          <w:rFonts w:ascii="Cambria" w:hAnsi="Cambria" w:cs="Arial"/>
          <w:sz w:val="20"/>
          <w:szCs w:val="20"/>
        </w:rPr>
        <w:t>e</w:t>
      </w:r>
      <w:r w:rsidRPr="00207748">
        <w:rPr>
          <w:rFonts w:ascii="Cambria" w:hAnsi="Cambria" w:cs="Arial"/>
          <w:sz w:val="20"/>
          <w:szCs w:val="20"/>
        </w:rPr>
        <w:t xml:space="preserve"> RCT, in der Norepinephrin als Monosubstanz mit Norepinephrin plus Vasopressin </w:t>
      </w:r>
      <w:r w:rsidR="00205DF9">
        <w:rPr>
          <w:rFonts w:ascii="Cambria" w:hAnsi="Cambria" w:cs="Arial"/>
          <w:sz w:val="20"/>
          <w:szCs w:val="20"/>
        </w:rPr>
        <w:t>in einer Dosierung von</w:t>
      </w:r>
      <w:r w:rsidR="002B1061">
        <w:rPr>
          <w:rFonts w:ascii="Cambria" w:hAnsi="Cambria" w:cs="Arial"/>
          <w:sz w:val="20"/>
          <w:szCs w:val="20"/>
        </w:rPr>
        <w:t xml:space="preserve"> </w:t>
      </w:r>
      <w:r w:rsidRPr="00207748">
        <w:rPr>
          <w:rFonts w:ascii="Cambria" w:hAnsi="Cambria" w:cs="Arial"/>
          <w:sz w:val="20"/>
          <w:szCs w:val="20"/>
        </w:rPr>
        <w:t>0,03 U/min verglichen wurde, ergab keinen Unterschied in Bezug auf das Ergebnis in der Intent-to-treat-Population</w:t>
      </w:r>
      <w:r w:rsidR="00DC3984" w:rsidRPr="00207748">
        <w:rPr>
          <w:rFonts w:ascii="Cambria" w:hAnsi="Cambria" w:cs="Arial"/>
          <w:sz w:val="20"/>
          <w:szCs w:val="20"/>
        </w:rPr>
        <w:t>.</w:t>
      </w:r>
      <w:r w:rsidRPr="00207748">
        <w:rPr>
          <w:rFonts w:ascii="Cambria" w:eastAsia="Arial" w:hAnsi="Cambria" w:cs="Arial"/>
          <w:sz w:val="20"/>
          <w:szCs w:val="20"/>
          <w:vertAlign w:val="superscript"/>
        </w:rPr>
        <w:endnoteReference w:id="287"/>
      </w:r>
      <w:r w:rsidRPr="00207748">
        <w:rPr>
          <w:rFonts w:ascii="Cambria" w:hAnsi="Cambria" w:cs="Arial"/>
          <w:sz w:val="20"/>
          <w:szCs w:val="20"/>
        </w:rPr>
        <w:t xml:space="preserve"> Eine </w:t>
      </w:r>
      <w:r w:rsidR="00420A45" w:rsidRPr="00207748">
        <w:rPr>
          <w:rFonts w:ascii="Cambria" w:hAnsi="Cambria" w:cs="Arial"/>
          <w:sz w:val="20"/>
          <w:szCs w:val="20"/>
        </w:rPr>
        <w:t>geplante A</w:t>
      </w:r>
      <w:r w:rsidRPr="00207748">
        <w:rPr>
          <w:rFonts w:ascii="Cambria" w:hAnsi="Cambria" w:cs="Arial"/>
          <w:sz w:val="20"/>
          <w:szCs w:val="20"/>
        </w:rPr>
        <w:t>-priori-</w:t>
      </w:r>
      <w:r w:rsidR="00420A45" w:rsidRPr="00207748">
        <w:rPr>
          <w:rFonts w:ascii="Cambria" w:hAnsi="Cambria" w:cs="Arial"/>
          <w:sz w:val="20"/>
          <w:szCs w:val="20"/>
        </w:rPr>
        <w:t>Sub</w:t>
      </w:r>
      <w:r w:rsidRPr="00207748">
        <w:rPr>
          <w:rFonts w:ascii="Cambria" w:hAnsi="Cambria" w:cs="Arial"/>
          <w:sz w:val="20"/>
          <w:szCs w:val="20"/>
        </w:rPr>
        <w:t xml:space="preserve">gruppenanalyse </w:t>
      </w:r>
      <w:r w:rsidR="00420A45" w:rsidRPr="00207748">
        <w:rPr>
          <w:rFonts w:ascii="Cambria" w:hAnsi="Cambria" w:cs="Arial"/>
          <w:sz w:val="20"/>
          <w:szCs w:val="20"/>
        </w:rPr>
        <w:t>zeigt</w:t>
      </w:r>
      <w:r w:rsidRPr="00207748">
        <w:rPr>
          <w:rFonts w:ascii="Cambria" w:hAnsi="Cambria" w:cs="Arial"/>
          <w:sz w:val="20"/>
          <w:szCs w:val="20"/>
        </w:rPr>
        <w:t xml:space="preserve">e eine Verbesserung der Überlebensrate bei </w:t>
      </w:r>
      <w:r w:rsidR="00420A45" w:rsidRPr="00207748">
        <w:rPr>
          <w:rFonts w:ascii="Cambria" w:hAnsi="Cambria" w:cs="Arial"/>
          <w:sz w:val="20"/>
          <w:szCs w:val="20"/>
        </w:rPr>
        <w:t>jen</w:t>
      </w:r>
      <w:r w:rsidRPr="00207748">
        <w:rPr>
          <w:rFonts w:ascii="Cambria" w:hAnsi="Cambria" w:cs="Arial"/>
          <w:sz w:val="20"/>
          <w:szCs w:val="20"/>
        </w:rPr>
        <w:t>en Patienten, die bei Randomisierung</w:t>
      </w:r>
      <w:r w:rsidR="002B1061">
        <w:rPr>
          <w:rFonts w:ascii="Cambria" w:hAnsi="Cambria" w:cs="Arial"/>
          <w:sz w:val="20"/>
          <w:szCs w:val="20"/>
        </w:rPr>
        <w:t xml:space="preserve"> </w:t>
      </w:r>
      <w:r w:rsidR="00205DF9">
        <w:rPr>
          <w:rFonts w:ascii="Cambria" w:hAnsi="Cambria" w:cs="Arial"/>
          <w:sz w:val="20"/>
          <w:szCs w:val="20"/>
        </w:rPr>
        <w:t>mit</w:t>
      </w:r>
      <w:r w:rsidRPr="00207748">
        <w:rPr>
          <w:rFonts w:ascii="Cambria" w:hAnsi="Cambria" w:cs="Arial"/>
          <w:sz w:val="20"/>
          <w:szCs w:val="20"/>
        </w:rPr>
        <w:t xml:space="preserve"> Norepinephrin </w:t>
      </w:r>
      <w:r w:rsidR="00205DF9">
        <w:rPr>
          <w:rFonts w:ascii="Cambria" w:hAnsi="Cambria" w:cs="Arial"/>
          <w:sz w:val="20"/>
          <w:szCs w:val="20"/>
        </w:rPr>
        <w:t xml:space="preserve">in einer Dosierung von </w:t>
      </w:r>
      <w:r w:rsidRPr="00207748">
        <w:rPr>
          <w:rFonts w:ascii="Cambria" w:hAnsi="Cambria" w:cs="Arial"/>
          <w:sz w:val="20"/>
          <w:szCs w:val="20"/>
        </w:rPr>
        <w:t xml:space="preserve">&lt;15 µg/min </w:t>
      </w:r>
      <w:r w:rsidR="00420A45" w:rsidRPr="00207748">
        <w:rPr>
          <w:rFonts w:ascii="Cambria" w:hAnsi="Cambria" w:cs="Arial"/>
          <w:sz w:val="20"/>
          <w:szCs w:val="20"/>
        </w:rPr>
        <w:t>zusätzlich</w:t>
      </w:r>
      <w:r w:rsidRPr="00207748">
        <w:rPr>
          <w:rFonts w:ascii="Cambria" w:hAnsi="Cambria" w:cs="Arial"/>
          <w:sz w:val="20"/>
          <w:szCs w:val="20"/>
        </w:rPr>
        <w:t xml:space="preserve"> </w:t>
      </w:r>
      <w:r w:rsidR="00205DF9">
        <w:rPr>
          <w:rFonts w:ascii="Cambria" w:hAnsi="Cambria" w:cs="Arial"/>
          <w:sz w:val="20"/>
          <w:szCs w:val="20"/>
        </w:rPr>
        <w:t xml:space="preserve">zu </w:t>
      </w:r>
      <w:r w:rsidRPr="00207748">
        <w:rPr>
          <w:rFonts w:ascii="Cambria" w:hAnsi="Cambria" w:cs="Arial"/>
          <w:sz w:val="20"/>
          <w:szCs w:val="20"/>
        </w:rPr>
        <w:t xml:space="preserve">Vasopressin erhielten. Die Rationale für diese Stratifizierung bei Studienplanung </w:t>
      </w:r>
      <w:r w:rsidR="00420A45" w:rsidRPr="00207748">
        <w:rPr>
          <w:rFonts w:ascii="Cambria" w:hAnsi="Cambria" w:cs="Arial"/>
          <w:sz w:val="20"/>
          <w:szCs w:val="20"/>
        </w:rPr>
        <w:t>war</w:t>
      </w:r>
      <w:r w:rsidRPr="00207748">
        <w:rPr>
          <w:rFonts w:ascii="Cambria" w:hAnsi="Cambria" w:cs="Arial"/>
          <w:sz w:val="20"/>
          <w:szCs w:val="20"/>
        </w:rPr>
        <w:t xml:space="preserve"> jedoch auf einen potenziellen Nutzen</w:t>
      </w:r>
      <w:r w:rsidR="00420A45" w:rsidRPr="00207748">
        <w:rPr>
          <w:rFonts w:ascii="Cambria" w:hAnsi="Cambria" w:cs="Arial"/>
          <w:sz w:val="20"/>
          <w:szCs w:val="20"/>
        </w:rPr>
        <w:t xml:space="preserve"> bei den Patienten angelegt</w:t>
      </w:r>
      <w:r w:rsidRPr="00207748">
        <w:rPr>
          <w:rFonts w:ascii="Cambria" w:hAnsi="Cambria" w:cs="Arial"/>
          <w:sz w:val="20"/>
          <w:szCs w:val="20"/>
        </w:rPr>
        <w:t>, die ≥ 15 µg/min Norepinephrin benötigten. Höhere Dosen von Vasopressin sind mit kardialer</w:t>
      </w:r>
      <w:r w:rsidR="00420A45" w:rsidRPr="00207748">
        <w:rPr>
          <w:rFonts w:ascii="Cambria" w:hAnsi="Cambria" w:cs="Arial"/>
          <w:sz w:val="20"/>
          <w:szCs w:val="20"/>
        </w:rPr>
        <w:t xml:space="preserve"> und </w:t>
      </w:r>
      <w:r w:rsidRPr="00207748">
        <w:rPr>
          <w:rFonts w:ascii="Cambria" w:hAnsi="Cambria" w:cs="Arial"/>
          <w:sz w:val="20"/>
          <w:szCs w:val="20"/>
        </w:rPr>
        <w:t>Splanchnikus-Ischämie verbunden und sollten Situationen vorbehalten</w:t>
      </w:r>
      <w:r w:rsidRPr="00207748">
        <w:rPr>
          <w:rFonts w:ascii="Cambria" w:hAnsi="Cambria" w:cs="Arial"/>
          <w:iCs/>
          <w:sz w:val="20"/>
          <w:szCs w:val="20"/>
        </w:rPr>
        <w:t xml:space="preserve"> </w:t>
      </w:r>
      <w:r w:rsidRPr="00207748">
        <w:rPr>
          <w:rFonts w:ascii="Cambria" w:hAnsi="Cambria" w:cs="Arial"/>
          <w:sz w:val="20"/>
          <w:szCs w:val="20"/>
        </w:rPr>
        <w:t xml:space="preserve">bleiben, in denen alternative Vasopressoren </w:t>
      </w:r>
      <w:r w:rsidRPr="00207748">
        <w:rPr>
          <w:rFonts w:ascii="Cambria" w:hAnsi="Cambria"/>
          <w:sz w:val="20"/>
          <w:szCs w:val="20"/>
        </w:rPr>
        <w:t>versagt haben</w:t>
      </w:r>
      <w:r w:rsidR="00DC3984" w:rsidRPr="00207748">
        <w:rPr>
          <w:rFonts w:ascii="Cambria" w:hAnsi="Cambria"/>
          <w:sz w:val="20"/>
          <w:szCs w:val="20"/>
        </w:rPr>
        <w:t>.</w:t>
      </w:r>
      <w:r w:rsidR="006B2B71" w:rsidRPr="006B2B71">
        <w:rPr>
          <w:rStyle w:val="EndnoteRealZchn"/>
        </w:rPr>
        <w:fldChar w:fldCharType="begin"/>
      </w:r>
      <w:r w:rsidR="006B2B71" w:rsidRPr="006B2B71">
        <w:rPr>
          <w:rStyle w:val="EndnoteRealZchn"/>
        </w:rPr>
        <w:instrText xml:space="preserve"> NOTEREF _Ref30586664 \h </w:instrText>
      </w:r>
      <w:r w:rsidR="006B2B71">
        <w:rPr>
          <w:rStyle w:val="EndnoteRealZchn"/>
        </w:rPr>
        <w:instrText xml:space="preserve"> \* MERGEFORMAT </w:instrText>
      </w:r>
      <w:r w:rsidR="006B2B71" w:rsidRPr="006B2B71">
        <w:rPr>
          <w:rStyle w:val="EndnoteRealZchn"/>
        </w:rPr>
      </w:r>
      <w:r w:rsidR="006B2B71" w:rsidRPr="006B2B71">
        <w:rPr>
          <w:rStyle w:val="EndnoteRealZchn"/>
        </w:rPr>
        <w:fldChar w:fldCharType="separate"/>
      </w:r>
      <w:r w:rsidR="001A283B">
        <w:rPr>
          <w:rStyle w:val="EndnoteRealZchn"/>
        </w:rPr>
        <w:t>322</w:t>
      </w:r>
      <w:r w:rsidR="006B2B71" w:rsidRPr="006B2B71">
        <w:rPr>
          <w:rStyle w:val="EndnoteRealZchn"/>
        </w:rPr>
        <w:fldChar w:fldCharType="end"/>
      </w:r>
    </w:p>
    <w:p w14:paraId="17F641D7" w14:textId="29B17755" w:rsidR="00E11869" w:rsidRPr="00207748" w:rsidRDefault="00447357" w:rsidP="004454B6">
      <w:pPr>
        <w:rPr>
          <w:rFonts w:ascii="Cambria" w:hAnsi="Cambria" w:cs="Arial"/>
          <w:sz w:val="20"/>
          <w:szCs w:val="20"/>
        </w:rPr>
      </w:pPr>
      <w:r w:rsidRPr="00207748">
        <w:rPr>
          <w:rFonts w:ascii="Cambria" w:hAnsi="Cambria" w:cs="Arial"/>
          <w:sz w:val="20"/>
          <w:szCs w:val="20"/>
        </w:rPr>
        <w:t xml:space="preserve">In der VANISH-Studie wurden </w:t>
      </w:r>
      <w:r w:rsidRPr="006B2B71">
        <w:rPr>
          <w:rStyle w:val="EndnoteRealZchn"/>
        </w:rPr>
        <w:t>409</w:t>
      </w:r>
      <w:r w:rsidRPr="00207748">
        <w:rPr>
          <w:rFonts w:ascii="Cambria" w:hAnsi="Cambria" w:cs="Arial"/>
          <w:sz w:val="20"/>
          <w:szCs w:val="20"/>
        </w:rPr>
        <w:t xml:space="preserve"> Patienten mit septischem Schock im Rahmen eines faktoriellen (2 × 2) Designs randomisiert der Behandlung mit Vasopressin in Kombination mit Placebo oder Hydrocortison, oder Norepinephrin mit Placebo oder Hydrocortison zuge</w:t>
      </w:r>
      <w:r w:rsidR="00205DF9">
        <w:rPr>
          <w:rFonts w:ascii="Cambria" w:hAnsi="Cambria" w:cs="Arial"/>
          <w:sz w:val="20"/>
          <w:szCs w:val="20"/>
        </w:rPr>
        <w:t>wiesen</w:t>
      </w:r>
      <w:r w:rsidRPr="00207748">
        <w:rPr>
          <w:rFonts w:ascii="Cambria" w:hAnsi="Cambria" w:cs="Arial"/>
          <w:sz w:val="20"/>
          <w:szCs w:val="20"/>
        </w:rPr>
        <w:t xml:space="preserve">. Es </w:t>
      </w:r>
      <w:r w:rsidRPr="00207748">
        <w:rPr>
          <w:rFonts w:ascii="Cambria" w:hAnsi="Cambria" w:cs="Arial"/>
          <w:sz w:val="20"/>
          <w:szCs w:val="20"/>
        </w:rPr>
        <w:lastRenderedPageBreak/>
        <w:t xml:space="preserve">wurde kein signifikanter Unterschied in Bezug auf die Tage ohne Nierenversagen oder Tod festgestellt. Allerdings wurde in der Vasopressin-Gruppe seltener eine </w:t>
      </w:r>
      <w:r w:rsidR="00205DF9">
        <w:rPr>
          <w:rFonts w:ascii="Cambria" w:hAnsi="Cambria" w:cs="Arial"/>
          <w:sz w:val="20"/>
          <w:szCs w:val="20"/>
        </w:rPr>
        <w:t>Nierenersatztherapie durchgeführt</w:t>
      </w:r>
      <w:r w:rsidR="00DC3984" w:rsidRPr="006B2B71">
        <w:rPr>
          <w:rStyle w:val="EndnoteRealZchn"/>
        </w:rPr>
        <w:t>.</w:t>
      </w:r>
      <w:r w:rsidRPr="006B2B71">
        <w:rPr>
          <w:rStyle w:val="EndnoteRealZchn"/>
        </w:rPr>
        <w:endnoteReference w:id="288"/>
      </w:r>
      <w:r w:rsidRPr="00207748">
        <w:rPr>
          <w:rFonts w:ascii="Cambria" w:hAnsi="Cambria" w:cs="Arial"/>
          <w:sz w:val="20"/>
          <w:szCs w:val="20"/>
        </w:rPr>
        <w:t xml:space="preserve"> Wir haben eine aktualisierte Meta-Analyse durchgeführt, </w:t>
      </w:r>
      <w:r w:rsidR="00205DF9">
        <w:rPr>
          <w:rFonts w:ascii="Cambria" w:hAnsi="Cambria" w:cs="Arial"/>
          <w:sz w:val="20"/>
          <w:szCs w:val="20"/>
        </w:rPr>
        <w:t>in der</w:t>
      </w:r>
      <w:r w:rsidR="002B1061">
        <w:rPr>
          <w:rFonts w:ascii="Cambria" w:hAnsi="Cambria" w:cs="Arial"/>
          <w:sz w:val="20"/>
          <w:szCs w:val="20"/>
        </w:rPr>
        <w:t xml:space="preserve"> </w:t>
      </w:r>
      <w:r w:rsidRPr="00207748">
        <w:rPr>
          <w:rFonts w:ascii="Cambria" w:hAnsi="Cambria" w:cs="Arial"/>
          <w:sz w:val="20"/>
          <w:szCs w:val="20"/>
        </w:rPr>
        <w:t>die Ergebnisse der VANISH-Studie ein</w:t>
      </w:r>
      <w:r w:rsidR="00205DF9">
        <w:rPr>
          <w:rFonts w:ascii="Cambria" w:hAnsi="Cambria" w:cs="Arial"/>
          <w:sz w:val="20"/>
          <w:szCs w:val="20"/>
        </w:rPr>
        <w:t>bezogen wurden</w:t>
      </w:r>
      <w:r w:rsidRPr="00207748">
        <w:rPr>
          <w:rFonts w:ascii="Cambria" w:hAnsi="Cambria" w:cs="Arial"/>
          <w:sz w:val="20"/>
          <w:szCs w:val="20"/>
        </w:rPr>
        <w:t>. Daten aus neun Studien (n = 1.324 Patienten mit septischem Schock), in denen Norepinephrin mit Vasopressin (oder Terlipressin) verglichen wurde, demonstrierten keinen signifikanten Unterschied in Bezug auf die Mortalität (RR, 0,89; 95 % CI, 0,79–1</w:t>
      </w:r>
      <w:r w:rsidR="00665775" w:rsidRPr="00207748">
        <w:rPr>
          <w:rFonts w:ascii="Cambria" w:hAnsi="Cambria" w:cs="Arial"/>
          <w:sz w:val="20"/>
          <w:szCs w:val="20"/>
        </w:rPr>
        <w:t>,00; mittlere Evidenzqualität)</w:t>
      </w:r>
      <w:r w:rsidR="006B2B71" w:rsidRPr="006B2B71">
        <w:rPr>
          <w:rStyle w:val="EndnoteRealZchn"/>
        </w:rPr>
        <w:fldChar w:fldCharType="begin"/>
      </w:r>
      <w:r w:rsidR="006B2B71" w:rsidRPr="006B2B71">
        <w:rPr>
          <w:rStyle w:val="EndnoteRealZchn"/>
        </w:rPr>
        <w:instrText xml:space="preserve"> NOTEREF _Ref30586664 \h </w:instrText>
      </w:r>
      <w:r w:rsidR="006B2B71">
        <w:rPr>
          <w:rStyle w:val="EndnoteRealZchn"/>
        </w:rPr>
        <w:instrText xml:space="preserve"> \* MERGEFORMAT </w:instrText>
      </w:r>
      <w:r w:rsidR="006B2B71" w:rsidRPr="006B2B71">
        <w:rPr>
          <w:rStyle w:val="EndnoteRealZchn"/>
        </w:rPr>
      </w:r>
      <w:r w:rsidR="006B2B71" w:rsidRPr="006B2B71">
        <w:rPr>
          <w:rStyle w:val="EndnoteRealZchn"/>
        </w:rPr>
        <w:fldChar w:fldCharType="separate"/>
      </w:r>
      <w:r w:rsidR="001A283B">
        <w:rPr>
          <w:rStyle w:val="EndnoteRealZchn"/>
        </w:rPr>
        <w:t>322</w:t>
      </w:r>
      <w:r w:rsidR="006B2B71" w:rsidRPr="006B2B71">
        <w:rPr>
          <w:rStyle w:val="EndnoteRealZchn"/>
        </w:rPr>
        <w:fldChar w:fldCharType="end"/>
      </w:r>
      <w:r w:rsidR="006B2B71" w:rsidRPr="006B2B71">
        <w:rPr>
          <w:rStyle w:val="EndnoteRealZchn"/>
        </w:rPr>
        <w:t xml:space="preserve"> </w:t>
      </w:r>
      <w:r w:rsidRPr="006B2B71">
        <w:rPr>
          <w:rStyle w:val="EndnoteRealZchn"/>
        </w:rPr>
        <w:endnoteReference w:id="289"/>
      </w:r>
      <w:r w:rsidRPr="006B2B71">
        <w:rPr>
          <w:rStyle w:val="EndnoteRealZchn"/>
        </w:rPr>
        <w:t xml:space="preserve"> </w:t>
      </w:r>
      <w:r w:rsidRPr="006B2B71">
        <w:rPr>
          <w:rStyle w:val="EndnoteRealZchn"/>
        </w:rPr>
        <w:endnoteReference w:id="290"/>
      </w:r>
      <w:r w:rsidRPr="006B2B71">
        <w:rPr>
          <w:rStyle w:val="EndnoteRealZchn"/>
        </w:rPr>
        <w:t xml:space="preserve"> </w:t>
      </w:r>
      <w:r w:rsidRPr="006B2B71">
        <w:rPr>
          <w:rStyle w:val="EndnoteRealZchn"/>
        </w:rPr>
        <w:endnoteReference w:id="291"/>
      </w:r>
      <w:r w:rsidRPr="006B2B71">
        <w:rPr>
          <w:rStyle w:val="EndnoteRealZchn"/>
        </w:rPr>
        <w:t xml:space="preserve"> </w:t>
      </w:r>
      <w:r w:rsidRPr="006B2B71">
        <w:rPr>
          <w:rStyle w:val="EndnoteRealZchn"/>
        </w:rPr>
        <w:endnoteReference w:id="292"/>
      </w:r>
      <w:r w:rsidRPr="006B2B71">
        <w:rPr>
          <w:rStyle w:val="EndnoteRealZchn"/>
        </w:rPr>
        <w:t xml:space="preserve"> </w:t>
      </w:r>
      <w:r w:rsidRPr="006B2B71">
        <w:rPr>
          <w:rStyle w:val="EndnoteRealZchn"/>
        </w:rPr>
        <w:endnoteReference w:id="293"/>
      </w:r>
      <w:r w:rsidRPr="006B2B71">
        <w:rPr>
          <w:rStyle w:val="EndnoteRealZchn"/>
        </w:rPr>
        <w:t xml:space="preserve"> </w:t>
      </w:r>
      <w:r w:rsidRPr="00207748">
        <w:rPr>
          <w:rFonts w:ascii="Cambria" w:hAnsi="Cambria" w:cs="Arial"/>
          <w:sz w:val="20"/>
          <w:szCs w:val="20"/>
        </w:rPr>
        <w:t>Die Ergebnisse fielen ähnlich aus, nachdem Studien ausgeschlossen w</w:t>
      </w:r>
      <w:r w:rsidR="00205DF9">
        <w:rPr>
          <w:rFonts w:ascii="Cambria" w:hAnsi="Cambria" w:cs="Arial"/>
          <w:sz w:val="20"/>
          <w:szCs w:val="20"/>
        </w:rPr>
        <w:t>urden</w:t>
      </w:r>
      <w:r w:rsidRPr="00207748">
        <w:rPr>
          <w:rFonts w:ascii="Cambria" w:hAnsi="Cambria" w:cs="Arial"/>
          <w:sz w:val="20"/>
          <w:szCs w:val="20"/>
        </w:rPr>
        <w:t xml:space="preserve">, die eine Kombination aus Norepinephrin und Vasopressin im Interventionsarm </w:t>
      </w:r>
      <w:r w:rsidR="00205DF9">
        <w:rPr>
          <w:rFonts w:ascii="Cambria" w:hAnsi="Cambria" w:cs="Arial"/>
          <w:sz w:val="20"/>
          <w:szCs w:val="20"/>
        </w:rPr>
        <w:t>verwendet</w:t>
      </w:r>
      <w:r w:rsidRPr="00207748">
        <w:rPr>
          <w:rFonts w:ascii="Cambria" w:hAnsi="Cambria" w:cs="Arial"/>
          <w:sz w:val="20"/>
          <w:szCs w:val="20"/>
        </w:rPr>
        <w:t xml:space="preserve"> hatten </w:t>
      </w:r>
      <w:r w:rsidR="006B2B71">
        <w:rPr>
          <w:rFonts w:ascii="Cambria" w:hAnsi="Cambria" w:cs="Arial"/>
          <w:sz w:val="20"/>
          <w:szCs w:val="20"/>
        </w:rPr>
        <w:t>(RR, 0,89; 95 % CI, 0,77–1,02).</w:t>
      </w:r>
    </w:p>
    <w:p w14:paraId="5D489CA9" w14:textId="0D67BCD6" w:rsidR="00E11869" w:rsidRPr="00207748" w:rsidRDefault="00447357" w:rsidP="004454B6">
      <w:pPr>
        <w:rPr>
          <w:rFonts w:ascii="Cambria" w:hAnsi="Cambria" w:cs="Arial"/>
          <w:sz w:val="20"/>
          <w:szCs w:val="20"/>
        </w:rPr>
      </w:pPr>
      <w:r w:rsidRPr="00207748">
        <w:rPr>
          <w:rFonts w:ascii="Cambria" w:hAnsi="Cambria" w:cs="Arial"/>
          <w:sz w:val="20"/>
          <w:szCs w:val="20"/>
        </w:rPr>
        <w:t>Es mangelt an großen Studien, in denen Vasopressin mit anderen Vasopressoren bei septischem Schock verglichen wurde. Die zu Vasopressin publizierten Daten unterstützen mehrheitlich einen Einspareffekt in Bezug auf die Norepinephrin-Dosis.</w:t>
      </w:r>
      <w:r w:rsidR="00DC3984" w:rsidRPr="00207748">
        <w:rPr>
          <w:rFonts w:ascii="Cambria" w:hAnsi="Cambria" w:cs="Arial"/>
          <w:sz w:val="20"/>
          <w:szCs w:val="20"/>
        </w:rPr>
        <w:t xml:space="preserve"> </w:t>
      </w:r>
      <w:r w:rsidRPr="00207748">
        <w:rPr>
          <w:rFonts w:ascii="Cambria" w:hAnsi="Cambria" w:cs="Arial"/>
          <w:sz w:val="20"/>
          <w:szCs w:val="20"/>
        </w:rPr>
        <w:t xml:space="preserve">Im Hinblick auf den Effekt von Vasopressin auf die Mortalität besteht Unsicherheit. Norepinephrin bleibt daher der Vasopressor erster Wahl </w:t>
      </w:r>
      <w:r w:rsidR="00023D2D">
        <w:rPr>
          <w:rFonts w:ascii="Cambria" w:hAnsi="Cambria" w:cs="Arial"/>
          <w:sz w:val="20"/>
          <w:szCs w:val="20"/>
        </w:rPr>
        <w:t>in</w:t>
      </w:r>
      <w:r w:rsidRPr="00207748">
        <w:rPr>
          <w:rFonts w:ascii="Cambria" w:hAnsi="Cambria" w:cs="Arial"/>
          <w:sz w:val="20"/>
          <w:szCs w:val="20"/>
        </w:rPr>
        <w:t xml:space="preserve"> der Behandlung von Patienten mit septischem Schock. Wir empfehlen nicht die Nutzung von Vasopressin als Erstlinien-Vasopressor für die Unterstützung des MAP und würden zur Vorsicht raten, wenn es bei Patienten genutzt wird, die nicht euvolämisch sind oder höhere Dosen als 0,03 U/min erhalten.</w:t>
      </w:r>
    </w:p>
    <w:p w14:paraId="45AEEB24" w14:textId="6796EF1E" w:rsidR="00E11869" w:rsidRPr="00207748" w:rsidRDefault="00447357" w:rsidP="004454B6">
      <w:pPr>
        <w:rPr>
          <w:rFonts w:ascii="Cambria" w:hAnsi="Cambria" w:cs="Arial"/>
          <w:sz w:val="20"/>
          <w:szCs w:val="20"/>
        </w:rPr>
      </w:pPr>
      <w:r w:rsidRPr="00207748">
        <w:rPr>
          <w:rFonts w:ascii="Cambria" w:hAnsi="Cambria" w:cs="Arial"/>
          <w:sz w:val="20"/>
          <w:szCs w:val="20"/>
        </w:rPr>
        <w:t>Phenylephrin ist ein reiner alpha-adrenerger Agonist. Klinische Studiendaten zur Verwendung bei Sepsis stehen nur begrenzt zur Verfügung. Phenylephrin verfügt über das Potenzial, eine Splanchnicus-Vasokonstriktion zu verursachen</w:t>
      </w:r>
      <w:r w:rsidR="00DC3984" w:rsidRPr="00207748">
        <w:rPr>
          <w:rFonts w:ascii="Cambria" w:hAnsi="Cambria" w:cs="Arial"/>
          <w:sz w:val="20"/>
          <w:szCs w:val="20"/>
        </w:rPr>
        <w:t>.</w:t>
      </w:r>
      <w:r w:rsidRPr="006B2B71">
        <w:rPr>
          <w:rStyle w:val="EndnoteRealZchn"/>
        </w:rPr>
        <w:endnoteReference w:id="294"/>
      </w:r>
      <w:r w:rsidRPr="00207748">
        <w:rPr>
          <w:rFonts w:ascii="Cambria" w:hAnsi="Cambria" w:cs="Arial"/>
          <w:sz w:val="20"/>
          <w:szCs w:val="20"/>
        </w:rPr>
        <w:t xml:space="preserve"> Eine Netzwerk-Meta-Analyse </w:t>
      </w:r>
      <w:r w:rsidR="00023D2D">
        <w:rPr>
          <w:rFonts w:ascii="Cambria" w:hAnsi="Cambria" w:cs="Arial"/>
          <w:sz w:val="20"/>
          <w:szCs w:val="20"/>
        </w:rPr>
        <w:t>ergab inkonsistente Ergebnisse</w:t>
      </w:r>
      <w:r w:rsidRPr="00207748">
        <w:rPr>
          <w:rFonts w:ascii="Cambria" w:hAnsi="Cambria" w:cs="Arial"/>
          <w:sz w:val="20"/>
          <w:szCs w:val="20"/>
        </w:rPr>
        <w:t xml:space="preserve"> (breite Konfidenzintervalle), wenn Phenylephrin mit anderen Vasopressoren verglichen wurde</w:t>
      </w:r>
      <w:r w:rsidR="00DC3984" w:rsidRPr="00207748">
        <w:rPr>
          <w:rFonts w:ascii="Cambria" w:hAnsi="Cambria" w:cs="Arial"/>
          <w:sz w:val="20"/>
          <w:szCs w:val="20"/>
        </w:rPr>
        <w:t>.</w:t>
      </w:r>
      <w:r w:rsidRPr="006B2B71">
        <w:rPr>
          <w:rStyle w:val="EndnoteRealZchn"/>
        </w:rPr>
        <w:endnoteReference w:id="295"/>
      </w:r>
      <w:r w:rsidRPr="006B2B71">
        <w:rPr>
          <w:rStyle w:val="EndnoteRealZchn"/>
        </w:rPr>
        <w:t xml:space="preserve"> </w:t>
      </w:r>
      <w:r w:rsidRPr="00207748">
        <w:rPr>
          <w:rFonts w:ascii="Cambria" w:hAnsi="Cambria" w:cs="Arial"/>
          <w:sz w:val="20"/>
          <w:szCs w:val="20"/>
        </w:rPr>
        <w:t xml:space="preserve">Daher ist die Auswirkung auf die klinischen Ergebnisse ungewiss, und die Nutzung von Phenylephrin sollte eingeschränkt werden, bis </w:t>
      </w:r>
      <w:r w:rsidRPr="00207748">
        <w:rPr>
          <w:rFonts w:ascii="Cambria" w:hAnsi="Cambria" w:cs="Arial"/>
          <w:sz w:val="20"/>
          <w:szCs w:val="20"/>
        </w:rPr>
        <w:lastRenderedPageBreak/>
        <w:t>mehr Forschungsergebnisse zur Verfügung stehen.</w:t>
      </w:r>
    </w:p>
    <w:p w14:paraId="627FA58F" w14:textId="77777777" w:rsidR="00E11869" w:rsidRPr="00207748" w:rsidRDefault="00447357" w:rsidP="004454B6">
      <w:pPr>
        <w:rPr>
          <w:rFonts w:ascii="Cambria" w:hAnsi="Cambria" w:cs="Arial"/>
          <w:sz w:val="20"/>
          <w:szCs w:val="20"/>
        </w:rPr>
      </w:pPr>
      <w:r w:rsidRPr="00207748">
        <w:rPr>
          <w:rFonts w:ascii="Cambria" w:hAnsi="Cambria" w:cs="Arial"/>
          <w:sz w:val="20"/>
          <w:szCs w:val="20"/>
        </w:rPr>
        <w:t>Abweichend von der SSC-Leitlinie wurde die Evidenz dieser Empfehlung als niedrig beurteilt.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3"/>
        <w:gridCol w:w="1330"/>
        <w:gridCol w:w="1330"/>
      </w:tblGrid>
      <w:tr w:rsidR="00665775" w:rsidRPr="00207748" w14:paraId="4453D9E2" w14:textId="77777777" w:rsidTr="008B1A6E">
        <w:trPr>
          <w:trHeight w:val="363"/>
        </w:trPr>
        <w:tc>
          <w:tcPr>
            <w:tcW w:w="1667" w:type="pct"/>
            <w:shd w:val="clear" w:color="auto" w:fill="365F91" w:themeFill="accent1" w:themeFillShade="BF"/>
          </w:tcPr>
          <w:p w14:paraId="6CEE14DC" w14:textId="77777777" w:rsidR="00665775" w:rsidRPr="00207748" w:rsidRDefault="00665775" w:rsidP="008B1A6E">
            <w:pPr>
              <w:spacing w:after="0"/>
              <w:rPr>
                <w:rFonts w:ascii="Cambria" w:hAnsi="Cambria" w:cs="Arial"/>
                <w:b/>
                <w:bCs/>
                <w:sz w:val="20"/>
                <w:szCs w:val="20"/>
              </w:rPr>
            </w:pPr>
            <w:r w:rsidRPr="00207748">
              <w:rPr>
                <w:rFonts w:ascii="Cambria" w:hAnsi="Cambria" w:cs="Arial"/>
                <w:b/>
                <w:bCs/>
                <w:sz w:val="20"/>
                <w:szCs w:val="20"/>
              </w:rPr>
              <w:t>G.3</w:t>
            </w:r>
          </w:p>
        </w:tc>
        <w:tc>
          <w:tcPr>
            <w:tcW w:w="1667" w:type="pct"/>
            <w:shd w:val="clear" w:color="auto" w:fill="365F91" w:themeFill="accent1" w:themeFillShade="BF"/>
          </w:tcPr>
          <w:p w14:paraId="04A3329D" w14:textId="77777777" w:rsidR="00665775" w:rsidRPr="00207748" w:rsidRDefault="00665775" w:rsidP="008B1A6E">
            <w:pPr>
              <w:spacing w:after="0"/>
              <w:rPr>
                <w:rFonts w:ascii="Cambria" w:hAnsi="Cambria" w:cs="Arial"/>
                <w:b/>
                <w:bCs/>
                <w:sz w:val="20"/>
                <w:szCs w:val="20"/>
              </w:rPr>
            </w:pPr>
            <w:r w:rsidRPr="00207748">
              <w:rPr>
                <w:rFonts w:ascii="Cambria" w:hAnsi="Cambria" w:cs="Arial"/>
                <w:b/>
                <w:bCs/>
                <w:sz w:val="20"/>
                <w:szCs w:val="20"/>
              </w:rPr>
              <w:t>Empfehlung</w:t>
            </w:r>
          </w:p>
        </w:tc>
        <w:tc>
          <w:tcPr>
            <w:tcW w:w="1666" w:type="pct"/>
            <w:shd w:val="clear" w:color="auto" w:fill="365F91" w:themeFill="accent1" w:themeFillShade="BF"/>
          </w:tcPr>
          <w:p w14:paraId="03D959BA" w14:textId="77777777" w:rsidR="00665775" w:rsidRPr="00207748" w:rsidRDefault="00665775" w:rsidP="008B1A6E">
            <w:pPr>
              <w:spacing w:after="0"/>
              <w:rPr>
                <w:rFonts w:ascii="Cambria" w:hAnsi="Cambria" w:cs="Arial"/>
                <w:b/>
                <w:bCs/>
                <w:sz w:val="20"/>
                <w:szCs w:val="20"/>
              </w:rPr>
            </w:pPr>
            <w:r w:rsidRPr="00207748">
              <w:rPr>
                <w:rFonts w:ascii="Cambria" w:hAnsi="Cambria" w:cs="Arial"/>
                <w:b/>
                <w:bCs/>
                <w:sz w:val="20"/>
                <w:szCs w:val="20"/>
              </w:rPr>
              <w:t>2018</w:t>
            </w:r>
          </w:p>
        </w:tc>
      </w:tr>
      <w:tr w:rsidR="00665775" w:rsidRPr="00207748" w14:paraId="4478944D" w14:textId="77777777" w:rsidTr="00665775">
        <w:trPr>
          <w:trHeight w:val="1114"/>
        </w:trPr>
        <w:tc>
          <w:tcPr>
            <w:tcW w:w="1667" w:type="pct"/>
            <w:vMerge w:val="restart"/>
          </w:tcPr>
          <w:p w14:paraId="5FDA9E79" w14:textId="77777777" w:rsidR="00665775" w:rsidRPr="00207748" w:rsidRDefault="00665775" w:rsidP="00665775">
            <w:pPr>
              <w:spacing w:before="240"/>
              <w:jc w:val="both"/>
              <w:rPr>
                <w:rFonts w:ascii="Cambria" w:hAnsi="Cambria" w:cs="Arial"/>
                <w:sz w:val="20"/>
                <w:szCs w:val="20"/>
              </w:rPr>
            </w:pPr>
            <w:r w:rsidRPr="00207748">
              <w:rPr>
                <w:rFonts w:ascii="Cambria" w:hAnsi="Cambria" w:cs="Arial"/>
                <w:sz w:val="20"/>
                <w:szCs w:val="20"/>
              </w:rPr>
              <w:t>Empfehlungsgrad</w:t>
            </w:r>
          </w:p>
          <w:p w14:paraId="60FE6CF5" w14:textId="77777777" w:rsidR="00665775" w:rsidRPr="00207748" w:rsidRDefault="00665775" w:rsidP="00665775">
            <w:pPr>
              <w:spacing w:before="240"/>
              <w:jc w:val="both"/>
              <w:rPr>
                <w:rFonts w:ascii="Cambria" w:hAnsi="Cambria" w:cs="Arial"/>
                <w:b/>
                <w:sz w:val="20"/>
                <w:szCs w:val="20"/>
              </w:rPr>
            </w:pPr>
            <w:r w:rsidRPr="00207748">
              <w:rPr>
                <w:rFonts w:ascii="Cambria" w:hAnsi="Cambria" w:cs="Arial"/>
                <w:b/>
                <w:sz w:val="20"/>
                <w:szCs w:val="20"/>
              </w:rPr>
              <w:t>stark</w:t>
            </w:r>
          </w:p>
          <w:p w14:paraId="1BA6ED84" w14:textId="77777777" w:rsidR="00665775" w:rsidRPr="00207748" w:rsidRDefault="00665775" w:rsidP="00665775">
            <w:pPr>
              <w:spacing w:before="240"/>
              <w:jc w:val="both"/>
              <w:rPr>
                <w:rFonts w:ascii="Cambria" w:hAnsi="Cambria" w:cs="Arial"/>
                <w:sz w:val="20"/>
                <w:szCs w:val="20"/>
              </w:rPr>
            </w:pPr>
            <w:r w:rsidRPr="00207748">
              <w:rPr>
                <w:rFonts w:ascii="Cambria" w:hAnsi="Cambria" w:cs="Arial"/>
                <w:sz w:val="20"/>
                <w:szCs w:val="20"/>
              </w:rPr>
              <w:t>Evidenzgrad</w:t>
            </w:r>
          </w:p>
          <w:p w14:paraId="6DF293C1" w14:textId="77777777" w:rsidR="00665775" w:rsidRPr="00207748" w:rsidRDefault="00665775" w:rsidP="00665775">
            <w:pPr>
              <w:spacing w:before="240"/>
              <w:jc w:val="both"/>
              <w:rPr>
                <w:rFonts w:ascii="Cambria" w:hAnsi="Cambria" w:cs="Arial"/>
                <w:b/>
                <w:sz w:val="20"/>
                <w:szCs w:val="20"/>
              </w:rPr>
            </w:pPr>
            <w:r w:rsidRPr="00207748">
              <w:rPr>
                <w:rFonts w:ascii="Cambria" w:hAnsi="Cambria" w:cs="Arial"/>
                <w:b/>
                <w:sz w:val="20"/>
                <w:szCs w:val="20"/>
              </w:rPr>
              <w:t>niedrig</w:t>
            </w:r>
          </w:p>
        </w:tc>
        <w:tc>
          <w:tcPr>
            <w:tcW w:w="3333" w:type="pct"/>
            <w:gridSpan w:val="2"/>
          </w:tcPr>
          <w:p w14:paraId="0E1B32CD" w14:textId="77777777" w:rsidR="00665775" w:rsidRPr="00207748" w:rsidRDefault="00665775" w:rsidP="00665775">
            <w:pPr>
              <w:spacing w:before="240"/>
              <w:rPr>
                <w:rFonts w:ascii="Cambria" w:hAnsi="Cambria" w:cs="Arial"/>
                <w:b/>
                <w:sz w:val="20"/>
                <w:szCs w:val="20"/>
              </w:rPr>
            </w:pPr>
            <w:r w:rsidRPr="00207748">
              <w:rPr>
                <w:rFonts w:ascii="Cambria" w:hAnsi="Cambria" w:cs="Arial"/>
                <w:b/>
                <w:sz w:val="20"/>
                <w:szCs w:val="20"/>
              </w:rPr>
              <w:t>Wir empfehlen, auf die Verwendung von Dopamin zu verzichten.</w:t>
            </w:r>
          </w:p>
        </w:tc>
      </w:tr>
      <w:tr w:rsidR="00665775" w:rsidRPr="00207748" w14:paraId="14681CE3" w14:textId="77777777" w:rsidTr="00665775">
        <w:trPr>
          <w:trHeight w:val="710"/>
        </w:trPr>
        <w:tc>
          <w:tcPr>
            <w:tcW w:w="1667" w:type="pct"/>
            <w:vMerge/>
          </w:tcPr>
          <w:p w14:paraId="60DE1FCB" w14:textId="77777777" w:rsidR="00665775" w:rsidRPr="00207748" w:rsidRDefault="00665775" w:rsidP="00665775">
            <w:pPr>
              <w:spacing w:before="240"/>
              <w:jc w:val="both"/>
              <w:rPr>
                <w:rFonts w:ascii="Cambria" w:hAnsi="Cambria" w:cs="Arial"/>
                <w:sz w:val="20"/>
                <w:szCs w:val="20"/>
              </w:rPr>
            </w:pPr>
          </w:p>
        </w:tc>
        <w:tc>
          <w:tcPr>
            <w:tcW w:w="3333" w:type="pct"/>
            <w:gridSpan w:val="2"/>
          </w:tcPr>
          <w:p w14:paraId="44769612" w14:textId="32E55AB3" w:rsidR="00665775" w:rsidRPr="00207748" w:rsidRDefault="00665775" w:rsidP="00665775">
            <w:pPr>
              <w:spacing w:before="240"/>
              <w:rPr>
                <w:rFonts w:ascii="Cambria" w:hAnsi="Cambria" w:cs="Arial"/>
                <w:b/>
                <w:sz w:val="20"/>
                <w:szCs w:val="20"/>
              </w:rPr>
            </w:pPr>
            <w:r w:rsidRPr="00207748">
              <w:rPr>
                <w:rFonts w:ascii="Cambria" w:hAnsi="Cambria" w:cs="Arial"/>
                <w:b/>
                <w:sz w:val="20"/>
                <w:szCs w:val="20"/>
              </w:rPr>
              <w:t>Zusätzliche DSG-Leitlinienempfehlung</w:t>
            </w:r>
          </w:p>
        </w:tc>
      </w:tr>
      <w:tr w:rsidR="00665775" w:rsidRPr="00207748" w14:paraId="4CE59994" w14:textId="77777777" w:rsidTr="00665775">
        <w:trPr>
          <w:trHeight w:val="725"/>
        </w:trPr>
        <w:tc>
          <w:tcPr>
            <w:tcW w:w="1667" w:type="pct"/>
          </w:tcPr>
          <w:p w14:paraId="7928FCF7" w14:textId="77777777" w:rsidR="00665775" w:rsidRPr="00207748" w:rsidRDefault="00665775" w:rsidP="00665775">
            <w:pPr>
              <w:spacing w:before="240"/>
              <w:jc w:val="both"/>
              <w:rPr>
                <w:rFonts w:ascii="Cambria" w:hAnsi="Cambria" w:cs="Arial"/>
                <w:sz w:val="20"/>
                <w:szCs w:val="20"/>
              </w:rPr>
            </w:pPr>
          </w:p>
        </w:tc>
        <w:tc>
          <w:tcPr>
            <w:tcW w:w="3333" w:type="pct"/>
            <w:gridSpan w:val="2"/>
          </w:tcPr>
          <w:p w14:paraId="347D7B07" w14:textId="77777777" w:rsidR="00665775" w:rsidRPr="00207748" w:rsidRDefault="00665775" w:rsidP="00665775">
            <w:pPr>
              <w:spacing w:before="240"/>
              <w:jc w:val="both"/>
              <w:rPr>
                <w:rFonts w:ascii="Cambria" w:hAnsi="Cambria" w:cs="Arial"/>
                <w:sz w:val="20"/>
                <w:szCs w:val="20"/>
              </w:rPr>
            </w:pPr>
            <w:r w:rsidRPr="00207748">
              <w:rPr>
                <w:rFonts w:ascii="Cambria" w:hAnsi="Cambria" w:cs="Arial"/>
                <w:sz w:val="20"/>
                <w:szCs w:val="20"/>
              </w:rPr>
              <w:t>Konsensstärke: 100 %</w:t>
            </w:r>
          </w:p>
        </w:tc>
      </w:tr>
    </w:tbl>
    <w:p w14:paraId="2E6981A3" w14:textId="77777777" w:rsidR="00E11869" w:rsidRPr="00207748" w:rsidRDefault="00420A45" w:rsidP="004454B6">
      <w:pPr>
        <w:spacing w:before="240"/>
        <w:rPr>
          <w:rFonts w:ascii="Cambria" w:hAnsi="Cambria" w:cs="Arial"/>
          <w:sz w:val="20"/>
          <w:szCs w:val="20"/>
        </w:rPr>
      </w:pPr>
      <w:r w:rsidRPr="00207748">
        <w:rPr>
          <w:rFonts w:ascii="Cambria" w:hAnsi="Cambria" w:cs="Arial"/>
          <w:b/>
          <w:sz w:val="20"/>
          <w:szCs w:val="20"/>
        </w:rPr>
        <w:t>Begründung:</w:t>
      </w:r>
      <w:r w:rsidR="00447357" w:rsidRPr="00207748">
        <w:rPr>
          <w:rFonts w:ascii="Cambria" w:hAnsi="Cambria" w:cs="Arial"/>
          <w:sz w:val="20"/>
          <w:szCs w:val="20"/>
        </w:rPr>
        <w:t xml:space="preserve"> Abweichend von der SSC-Leitlinie interpretieren wir die vorliegenden Studien dahingehend, dass Dopamin im Vergleich mit Noradrenalin keine Vorteile hat. Es besteht ein erhöhtes Risiko von Rhythmusstörungen. Eine Empfehlung, den Einsatz auf Patienten mit einem geringen Risiko von Rhythmusstörungen zu beschränken, erscheint nicht sinnvoll. Konsequenterweise sollte auf den Einsatz von Dopamin komplett verzichtet werden.</w:t>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600" w:firstRow="0" w:lastRow="0" w:firstColumn="0" w:lastColumn="0" w:noHBand="1" w:noVBand="1"/>
      </w:tblPr>
      <w:tblGrid>
        <w:gridCol w:w="1673"/>
        <w:gridCol w:w="1717"/>
        <w:gridCol w:w="835"/>
      </w:tblGrid>
      <w:tr w:rsidR="00E11869" w:rsidRPr="00207748" w14:paraId="6DB3B41C" w14:textId="77777777" w:rsidTr="00342FB3">
        <w:trPr>
          <w:cantSplit/>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209F1FB6"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t>G.4</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13904643"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20E43436"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t>2018</w:t>
            </w:r>
          </w:p>
        </w:tc>
      </w:tr>
      <w:tr w:rsidR="00E11869" w:rsidRPr="00207748" w14:paraId="3AB5AE10" w14:textId="77777777" w:rsidTr="00334AF5">
        <w:trPr>
          <w:cantSplit/>
          <w:trHeight w:val="152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194BA" w14:textId="77777777" w:rsidR="00E11869" w:rsidRPr="00207748" w:rsidRDefault="00447357" w:rsidP="004454B6">
            <w:pPr>
              <w:keepLines/>
              <w:widowControl w:val="0"/>
              <w:spacing w:after="0"/>
              <w:rPr>
                <w:rFonts w:ascii="Cambria" w:eastAsia="Arial" w:hAnsi="Cambria" w:cs="Arial"/>
                <w:sz w:val="20"/>
                <w:szCs w:val="20"/>
              </w:rPr>
            </w:pPr>
            <w:r w:rsidRPr="00207748">
              <w:rPr>
                <w:rFonts w:ascii="Cambria" w:hAnsi="Cambria" w:cs="Arial"/>
                <w:sz w:val="20"/>
                <w:szCs w:val="20"/>
              </w:rPr>
              <w:t>Empfehlungsgrad</w:t>
            </w:r>
          </w:p>
          <w:p w14:paraId="17837578" w14:textId="77777777" w:rsidR="00E11869" w:rsidRPr="00207748" w:rsidRDefault="00E11869" w:rsidP="004454B6">
            <w:pPr>
              <w:keepLines/>
              <w:widowControl w:val="0"/>
              <w:spacing w:after="0"/>
              <w:rPr>
                <w:rFonts w:ascii="Cambria" w:eastAsia="Arial" w:hAnsi="Cambria" w:cs="Arial"/>
                <w:sz w:val="20"/>
                <w:szCs w:val="20"/>
              </w:rPr>
            </w:pPr>
          </w:p>
          <w:p w14:paraId="293E4487" w14:textId="77777777" w:rsidR="00E11869" w:rsidRPr="00207748" w:rsidRDefault="00447357" w:rsidP="004454B6">
            <w:pPr>
              <w:keepLines/>
              <w:widowControl w:val="0"/>
              <w:spacing w:after="0"/>
              <w:rPr>
                <w:rFonts w:ascii="Cambria" w:eastAsia="Arial" w:hAnsi="Cambria" w:cs="Arial"/>
                <w:b/>
                <w:bCs/>
                <w:sz w:val="20"/>
                <w:szCs w:val="20"/>
              </w:rPr>
            </w:pPr>
            <w:r w:rsidRPr="00207748">
              <w:rPr>
                <w:rFonts w:ascii="Cambria" w:hAnsi="Cambria" w:cs="Arial"/>
                <w:b/>
                <w:bCs/>
                <w:sz w:val="20"/>
                <w:szCs w:val="20"/>
              </w:rPr>
              <w:t>stark</w:t>
            </w:r>
          </w:p>
          <w:p w14:paraId="54D7B0E7" w14:textId="77777777" w:rsidR="00E11869" w:rsidRPr="00207748" w:rsidRDefault="00E11869" w:rsidP="004454B6">
            <w:pPr>
              <w:keepLines/>
              <w:widowControl w:val="0"/>
              <w:spacing w:after="0"/>
              <w:rPr>
                <w:rFonts w:ascii="Cambria" w:eastAsia="Arial" w:hAnsi="Cambria" w:cs="Arial"/>
                <w:sz w:val="20"/>
                <w:szCs w:val="20"/>
              </w:rPr>
            </w:pPr>
          </w:p>
          <w:p w14:paraId="71AA8128" w14:textId="77777777" w:rsidR="00E11869" w:rsidRPr="00207748" w:rsidRDefault="00447357" w:rsidP="004454B6">
            <w:pPr>
              <w:keepLines/>
              <w:widowControl w:val="0"/>
              <w:spacing w:after="0"/>
              <w:rPr>
                <w:rFonts w:ascii="Cambria" w:eastAsia="Arial" w:hAnsi="Cambria" w:cs="Arial"/>
                <w:sz w:val="20"/>
                <w:szCs w:val="20"/>
              </w:rPr>
            </w:pPr>
            <w:r w:rsidRPr="00207748">
              <w:rPr>
                <w:rFonts w:ascii="Cambria" w:hAnsi="Cambria" w:cs="Arial"/>
                <w:sz w:val="20"/>
                <w:szCs w:val="20"/>
              </w:rPr>
              <w:t>Evidenzgrad</w:t>
            </w:r>
          </w:p>
          <w:p w14:paraId="3529C34F" w14:textId="77777777" w:rsidR="00E11869" w:rsidRPr="00207748" w:rsidRDefault="00E11869" w:rsidP="004454B6">
            <w:pPr>
              <w:keepLines/>
              <w:widowControl w:val="0"/>
              <w:spacing w:after="0"/>
              <w:rPr>
                <w:rFonts w:ascii="Cambria" w:eastAsia="Arial" w:hAnsi="Cambria" w:cs="Arial"/>
                <w:sz w:val="20"/>
                <w:szCs w:val="20"/>
              </w:rPr>
            </w:pPr>
          </w:p>
          <w:p w14:paraId="1E367735" w14:textId="77777777" w:rsidR="00E11869" w:rsidRPr="00207748" w:rsidRDefault="00447357" w:rsidP="004454B6">
            <w:pPr>
              <w:keepLines/>
              <w:widowControl w:val="0"/>
              <w:spacing w:after="0"/>
              <w:rPr>
                <w:rFonts w:ascii="Cambria" w:hAnsi="Cambria" w:cs="Arial"/>
                <w:sz w:val="20"/>
                <w:szCs w:val="20"/>
              </w:rPr>
            </w:pPr>
            <w:r w:rsidRPr="00207748">
              <w:rPr>
                <w:rFonts w:ascii="Cambria" w:hAnsi="Cambria" w:cs="Arial"/>
                <w:b/>
                <w:bCs/>
                <w:sz w:val="20"/>
                <w:szCs w:val="20"/>
              </w:rPr>
              <w:t>hoch</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7E700" w14:textId="77777777" w:rsidR="00E11869" w:rsidRPr="00207748" w:rsidRDefault="00447357" w:rsidP="004454B6">
            <w:pPr>
              <w:keepLines/>
              <w:widowControl w:val="0"/>
              <w:spacing w:after="0"/>
              <w:rPr>
                <w:rFonts w:ascii="Cambria" w:hAnsi="Cambria" w:cs="Arial"/>
                <w:sz w:val="20"/>
                <w:szCs w:val="20"/>
              </w:rPr>
            </w:pPr>
            <w:r w:rsidRPr="00207748">
              <w:rPr>
                <w:rFonts w:ascii="Cambria" w:hAnsi="Cambria" w:cs="Arial"/>
                <w:b/>
                <w:bCs/>
                <w:spacing w:val="-3"/>
                <w:sz w:val="20"/>
                <w:szCs w:val="20"/>
              </w:rPr>
              <w:t>Wir empfehlen, dass von einer Verwendung von Niedrigdosis-Dopamin zum Nierenschutz abgesehen wird</w:t>
            </w:r>
            <w:r w:rsidR="00E873A9" w:rsidRPr="00207748">
              <w:rPr>
                <w:rFonts w:ascii="Cambria" w:hAnsi="Cambria" w:cs="Arial"/>
                <w:b/>
                <w:bCs/>
                <w:spacing w:val="-3"/>
                <w:sz w:val="20"/>
                <w:szCs w:val="20"/>
              </w:rPr>
              <w:t>.</w:t>
            </w:r>
          </w:p>
        </w:tc>
      </w:tr>
      <w:tr w:rsidR="00E11869" w:rsidRPr="00207748" w14:paraId="6417CE28" w14:textId="77777777" w:rsidTr="00342FB3">
        <w:trPr>
          <w:cantSplit/>
          <w:trHeight w:val="56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66E36517" w14:textId="77777777" w:rsidR="00E11869" w:rsidRPr="00207748" w:rsidRDefault="00E11869" w:rsidP="004454B6">
            <w:pPr>
              <w:keepLines/>
              <w:widowControl w:val="0"/>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AA15EC" w14:textId="77777777" w:rsidR="00E11869" w:rsidRPr="00207748" w:rsidRDefault="00447357" w:rsidP="004454B6">
            <w:pPr>
              <w:keepLines/>
              <w:widowControl w:val="0"/>
              <w:spacing w:after="0"/>
              <w:rPr>
                <w:rFonts w:ascii="Cambria" w:hAnsi="Cambria" w:cs="Arial"/>
                <w:sz w:val="20"/>
                <w:szCs w:val="20"/>
              </w:rPr>
            </w:pPr>
            <w:r w:rsidRPr="00207748">
              <w:rPr>
                <w:rFonts w:ascii="Cambria" w:hAnsi="Cambria" w:cs="Arial"/>
                <w:b/>
                <w:bCs/>
                <w:sz w:val="20"/>
                <w:szCs w:val="20"/>
              </w:rPr>
              <w:t>SSC-Leitlinienadaptation</w:t>
            </w:r>
          </w:p>
        </w:tc>
      </w:tr>
      <w:tr w:rsidR="00E11869" w:rsidRPr="00207748" w14:paraId="0690C24B" w14:textId="77777777" w:rsidTr="00342FB3">
        <w:trPr>
          <w:cantSplit/>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CC30E" w14:textId="77777777" w:rsidR="00E11869" w:rsidRPr="00207748" w:rsidRDefault="00E11869" w:rsidP="004454B6">
            <w:pPr>
              <w:keepNext/>
              <w:widowControl w:val="0"/>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3A07E" w14:textId="77777777" w:rsidR="00E11869" w:rsidRPr="00207748" w:rsidRDefault="00447357" w:rsidP="004454B6">
            <w:pPr>
              <w:keepNext/>
              <w:widowControl w:val="0"/>
              <w:spacing w:after="0"/>
              <w:rPr>
                <w:rFonts w:ascii="Cambria" w:hAnsi="Cambria" w:cs="Arial"/>
                <w:sz w:val="20"/>
                <w:szCs w:val="20"/>
              </w:rPr>
            </w:pPr>
            <w:r w:rsidRPr="00207748">
              <w:rPr>
                <w:rFonts w:ascii="Cambria" w:hAnsi="Cambria" w:cs="Arial"/>
                <w:sz w:val="20"/>
                <w:szCs w:val="20"/>
              </w:rPr>
              <w:t>Konsensstärke: 100 %</w:t>
            </w:r>
          </w:p>
        </w:tc>
      </w:tr>
    </w:tbl>
    <w:p w14:paraId="4406FC45" w14:textId="572443EE" w:rsidR="00E11869" w:rsidRPr="00207748" w:rsidRDefault="00420A45" w:rsidP="00665775">
      <w:pPr>
        <w:spacing w:before="240"/>
        <w:rPr>
          <w:rFonts w:ascii="Cambria" w:eastAsia="Arial" w:hAnsi="Cambria" w:cs="Arial"/>
          <w:sz w:val="20"/>
          <w:szCs w:val="20"/>
        </w:rPr>
      </w:pPr>
      <w:r w:rsidRPr="00207748">
        <w:rPr>
          <w:rFonts w:ascii="Cambria" w:hAnsi="Cambria" w:cs="Arial"/>
          <w:b/>
          <w:bCs/>
          <w:sz w:val="20"/>
          <w:szCs w:val="20"/>
        </w:rPr>
        <w:t>Begründung:</w:t>
      </w:r>
      <w:r w:rsidR="00447357" w:rsidRPr="00207748">
        <w:rPr>
          <w:rFonts w:ascii="Cambria" w:hAnsi="Cambria" w:cs="Arial"/>
          <w:b/>
          <w:bCs/>
          <w:sz w:val="20"/>
          <w:szCs w:val="20"/>
        </w:rPr>
        <w:t xml:space="preserve"> </w:t>
      </w:r>
      <w:r w:rsidR="00447357" w:rsidRPr="00207748">
        <w:rPr>
          <w:rFonts w:ascii="Cambria" w:hAnsi="Cambria" w:cs="Arial"/>
          <w:sz w:val="20"/>
          <w:szCs w:val="20"/>
        </w:rPr>
        <w:t xml:space="preserve">Eine große randomisierte Studie und </w:t>
      </w:r>
      <w:r w:rsidR="00E71280">
        <w:rPr>
          <w:rFonts w:ascii="Cambria" w:hAnsi="Cambria" w:cs="Arial"/>
          <w:sz w:val="20"/>
          <w:szCs w:val="20"/>
        </w:rPr>
        <w:t xml:space="preserve">eine </w:t>
      </w:r>
      <w:r w:rsidR="00447357" w:rsidRPr="00207748">
        <w:rPr>
          <w:rFonts w:ascii="Cambria" w:hAnsi="Cambria" w:cs="Arial"/>
          <w:sz w:val="20"/>
          <w:szCs w:val="20"/>
        </w:rPr>
        <w:t>Meta-Analyse, welche Niedrigdosis-Dopamin mit einem Placebo verglichen hat, ergab keinen Unterschied in Bezug auf Arrhythmien, den Bedarf</w:t>
      </w:r>
      <w:r w:rsidR="00E00DD5">
        <w:rPr>
          <w:rFonts w:ascii="Cambria" w:hAnsi="Cambria" w:cs="Arial"/>
          <w:sz w:val="20"/>
          <w:szCs w:val="20"/>
        </w:rPr>
        <w:t xml:space="preserve"> für eine Nierenersatztherapie</w:t>
      </w:r>
      <w:r w:rsidR="00447357" w:rsidRPr="00207748">
        <w:rPr>
          <w:rFonts w:ascii="Cambria" w:hAnsi="Cambria" w:cs="Arial"/>
          <w:sz w:val="20"/>
          <w:szCs w:val="20"/>
        </w:rPr>
        <w:t xml:space="preserve">, die Urinausscheidung, die Überlebensrate, die Dauer bis zur Erholung der </w:t>
      </w:r>
      <w:r w:rsidR="00447357" w:rsidRPr="00207748">
        <w:rPr>
          <w:rFonts w:ascii="Cambria" w:hAnsi="Cambria" w:cs="Arial"/>
          <w:sz w:val="20"/>
          <w:szCs w:val="20"/>
        </w:rPr>
        <w:lastRenderedPageBreak/>
        <w:t>Nieren</w:t>
      </w:r>
      <w:r w:rsidR="00E00DD5">
        <w:rPr>
          <w:rFonts w:ascii="Cambria" w:hAnsi="Cambria" w:cs="Arial"/>
          <w:sz w:val="20"/>
          <w:szCs w:val="20"/>
        </w:rPr>
        <w:t>funktion</w:t>
      </w:r>
      <w:r w:rsidR="00447357" w:rsidRPr="00207748">
        <w:rPr>
          <w:rFonts w:ascii="Cambria" w:hAnsi="Cambria" w:cs="Arial"/>
          <w:sz w:val="20"/>
          <w:szCs w:val="20"/>
        </w:rPr>
        <w:t xml:space="preserve"> </w:t>
      </w:r>
      <w:r w:rsidR="00E00DD5">
        <w:rPr>
          <w:rFonts w:ascii="Cambria" w:hAnsi="Cambria" w:cs="Arial"/>
          <w:sz w:val="20"/>
          <w:szCs w:val="20"/>
        </w:rPr>
        <w:t>und</w:t>
      </w:r>
      <w:r w:rsidR="00447357" w:rsidRPr="00207748">
        <w:rPr>
          <w:rFonts w:ascii="Cambria" w:hAnsi="Cambria" w:cs="Arial"/>
          <w:sz w:val="20"/>
          <w:szCs w:val="20"/>
        </w:rPr>
        <w:t xml:space="preserve"> die Aufenthaltsdauer auf ITS und im Krankenhaus</w:t>
      </w:r>
      <w:r w:rsidR="00DC3984" w:rsidRPr="00207748">
        <w:rPr>
          <w:rFonts w:ascii="Cambria" w:hAnsi="Cambria" w:cs="Arial"/>
          <w:sz w:val="20"/>
          <w:szCs w:val="20"/>
        </w:rPr>
        <w:t>.</w:t>
      </w:r>
      <w:r w:rsidR="00447357" w:rsidRPr="00207748">
        <w:rPr>
          <w:rFonts w:ascii="Cambria" w:eastAsia="Arial" w:hAnsi="Cambria" w:cs="Arial"/>
          <w:sz w:val="20"/>
          <w:szCs w:val="20"/>
          <w:vertAlign w:val="superscript"/>
        </w:rPr>
        <w:endnoteReference w:id="296"/>
      </w:r>
      <w:r w:rsidR="00447357" w:rsidRPr="00207748">
        <w:rPr>
          <w:rFonts w:ascii="Cambria" w:hAnsi="Cambria" w:cs="Arial"/>
          <w:sz w:val="20"/>
          <w:szCs w:val="20"/>
        </w:rPr>
        <w:t xml:space="preserve"> Somit unterstützen die verfügbaren Daten nicht die Verabreichung von niedrigen Dosen von Dopamin zum alleinigen Zweck der Aufrec</w:t>
      </w:r>
      <w:r w:rsidR="00342FB3" w:rsidRPr="00207748">
        <w:rPr>
          <w:rFonts w:ascii="Cambria" w:hAnsi="Cambria" w:cs="Arial"/>
          <w:sz w:val="20"/>
          <w:szCs w:val="20"/>
        </w:rPr>
        <w:t>hterhaltung der Nierenfunktion.</w:t>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18"/>
        <w:gridCol w:w="834"/>
      </w:tblGrid>
      <w:tr w:rsidR="00E11869" w:rsidRPr="00207748" w14:paraId="0591D4B0"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B08B436"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t>G.5</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77F670F4"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44582BB7"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2018</w:t>
            </w:r>
          </w:p>
        </w:tc>
      </w:tr>
      <w:tr w:rsidR="00E11869" w:rsidRPr="00207748" w14:paraId="2B5503C5" w14:textId="77777777" w:rsidTr="00342FB3">
        <w:trPr>
          <w:trHeight w:val="346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9292C"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t>Empfehlungsgrad</w:t>
            </w:r>
          </w:p>
          <w:p w14:paraId="7CCD5087" w14:textId="77777777" w:rsidR="00E11869" w:rsidRPr="00207748" w:rsidRDefault="00E11869" w:rsidP="004454B6">
            <w:pPr>
              <w:spacing w:after="0"/>
              <w:rPr>
                <w:rFonts w:ascii="Cambria" w:eastAsia="Arial" w:hAnsi="Cambria" w:cs="Arial"/>
                <w:sz w:val="20"/>
                <w:szCs w:val="20"/>
              </w:rPr>
            </w:pPr>
          </w:p>
          <w:p w14:paraId="6B97392F" w14:textId="77777777" w:rsidR="00E11869" w:rsidRPr="00207748" w:rsidRDefault="00447357" w:rsidP="004454B6">
            <w:pPr>
              <w:spacing w:after="0"/>
              <w:rPr>
                <w:rFonts w:ascii="Cambria" w:eastAsia="Arial" w:hAnsi="Cambria" w:cs="Arial"/>
                <w:b/>
                <w:bCs/>
                <w:sz w:val="20"/>
                <w:szCs w:val="20"/>
              </w:rPr>
            </w:pPr>
            <w:r w:rsidRPr="00207748">
              <w:rPr>
                <w:rFonts w:ascii="Cambria" w:hAnsi="Cambria" w:cs="Arial"/>
                <w:b/>
                <w:bCs/>
                <w:sz w:val="20"/>
                <w:szCs w:val="20"/>
              </w:rPr>
              <w:t>schwach</w:t>
            </w:r>
          </w:p>
          <w:p w14:paraId="2379C0E1" w14:textId="77777777" w:rsidR="00E11869" w:rsidRPr="00207748" w:rsidRDefault="00E11869" w:rsidP="004454B6">
            <w:pPr>
              <w:spacing w:after="0"/>
              <w:rPr>
                <w:rFonts w:ascii="Cambria" w:eastAsia="Arial" w:hAnsi="Cambria" w:cs="Arial"/>
                <w:sz w:val="20"/>
                <w:szCs w:val="20"/>
              </w:rPr>
            </w:pPr>
          </w:p>
          <w:p w14:paraId="10E93482"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t>Evidenzgrad</w:t>
            </w:r>
          </w:p>
          <w:p w14:paraId="5D901E9D" w14:textId="77777777" w:rsidR="00E11869" w:rsidRPr="00207748" w:rsidRDefault="00E11869" w:rsidP="004454B6">
            <w:pPr>
              <w:spacing w:after="0"/>
              <w:rPr>
                <w:rFonts w:ascii="Cambria" w:eastAsia="Arial" w:hAnsi="Cambria" w:cs="Arial"/>
                <w:sz w:val="20"/>
                <w:szCs w:val="20"/>
              </w:rPr>
            </w:pPr>
          </w:p>
          <w:p w14:paraId="7CF3607F"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niedrig</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9E4D2" w14:textId="77777777" w:rsidR="00D159AF" w:rsidRPr="00207748" w:rsidRDefault="00447357" w:rsidP="004454B6">
            <w:pPr>
              <w:spacing w:after="0"/>
              <w:rPr>
                <w:rFonts w:ascii="Cambria" w:hAnsi="Cambria" w:cs="Arial"/>
                <w:b/>
                <w:bCs/>
                <w:sz w:val="20"/>
                <w:szCs w:val="20"/>
              </w:rPr>
            </w:pPr>
            <w:r w:rsidRPr="00207748">
              <w:rPr>
                <w:rFonts w:ascii="Cambria" w:hAnsi="Cambria" w:cs="Arial"/>
                <w:b/>
                <w:bCs/>
                <w:sz w:val="20"/>
                <w:szCs w:val="20"/>
              </w:rPr>
              <w:t>Wir schlagen die Verwendung von Dobutamin bei Patienten vor, bei denen Nachweise für eine persistierende Hypoperfusion trotz angemessener Flüssigkeitszufuhr und dem Einsatz von Vasopressoren vorliegen</w:t>
            </w:r>
            <w:r w:rsidR="00342FB3" w:rsidRPr="00207748">
              <w:rPr>
                <w:rFonts w:ascii="Cambria" w:hAnsi="Cambria" w:cs="Arial"/>
                <w:b/>
                <w:bCs/>
                <w:sz w:val="20"/>
                <w:szCs w:val="20"/>
              </w:rPr>
              <w:t>.</w:t>
            </w:r>
          </w:p>
          <w:p w14:paraId="1F5C095C" w14:textId="77777777" w:rsidR="00D159AF" w:rsidRPr="00207748" w:rsidRDefault="00D159AF" w:rsidP="004454B6">
            <w:pPr>
              <w:spacing w:after="0"/>
              <w:rPr>
                <w:rFonts w:ascii="Cambria" w:hAnsi="Cambria" w:cs="Arial"/>
                <w:b/>
                <w:bCs/>
                <w:sz w:val="20"/>
                <w:szCs w:val="20"/>
              </w:rPr>
            </w:pPr>
          </w:p>
          <w:p w14:paraId="28DFC353" w14:textId="77777777" w:rsidR="00E11869" w:rsidRPr="00207748" w:rsidRDefault="00D159AF" w:rsidP="004454B6">
            <w:pPr>
              <w:spacing w:after="0"/>
              <w:rPr>
                <w:rFonts w:ascii="Cambria" w:eastAsia="Arial" w:hAnsi="Cambria" w:cs="Arial"/>
                <w:b/>
                <w:bCs/>
                <w:sz w:val="20"/>
                <w:szCs w:val="20"/>
              </w:rPr>
            </w:pPr>
            <w:r w:rsidRPr="00207748">
              <w:rPr>
                <w:rFonts w:ascii="Cambria" w:hAnsi="Cambria" w:cs="Arial"/>
                <w:b/>
                <w:bCs/>
                <w:sz w:val="20"/>
                <w:szCs w:val="20"/>
              </w:rPr>
              <w:t xml:space="preserve">Bemerkungen: </w:t>
            </w:r>
            <w:r w:rsidRPr="00207748">
              <w:rPr>
                <w:rFonts w:ascii="Cambria" w:hAnsi="Cambria" w:cs="Arial"/>
                <w:sz w:val="20"/>
                <w:szCs w:val="20"/>
              </w:rPr>
              <w:t>Sofern der Wirkstoff angesetzt wird, sollte die Dosis des Vasopressors auf einen Endpunkt titriert werden, der eine Perfusion widerspiegelt, und der Wirkstoff sollte reduziert oder abgesetzt werden, sofern eine Aggravierung der Hypotonie oder Arrhythmien auftreten.</w:t>
            </w:r>
          </w:p>
        </w:tc>
      </w:tr>
      <w:tr w:rsidR="00E11869" w:rsidRPr="00207748" w14:paraId="43B5218F" w14:textId="77777777" w:rsidTr="00342FB3">
        <w:trPr>
          <w:trHeight w:val="56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777E7461"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3A8F2"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SSC</w:t>
            </w:r>
            <w:r w:rsidR="00420A45" w:rsidRPr="00207748">
              <w:rPr>
                <w:rFonts w:ascii="Cambria" w:hAnsi="Cambria" w:cs="Arial"/>
                <w:b/>
                <w:bCs/>
                <w:sz w:val="20"/>
                <w:szCs w:val="20"/>
              </w:rPr>
              <w:t>-</w:t>
            </w:r>
            <w:r w:rsidRPr="00207748">
              <w:rPr>
                <w:rFonts w:ascii="Cambria" w:hAnsi="Cambria" w:cs="Arial"/>
                <w:b/>
                <w:bCs/>
                <w:sz w:val="20"/>
                <w:szCs w:val="20"/>
              </w:rPr>
              <w:t xml:space="preserve">Leitlinienadaptation </w:t>
            </w:r>
          </w:p>
        </w:tc>
      </w:tr>
      <w:tr w:rsidR="00E11869" w:rsidRPr="00207748" w14:paraId="1F973504"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53608"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68489" w14:textId="77777777" w:rsidR="00E11869" w:rsidRPr="00207748" w:rsidRDefault="00447357" w:rsidP="004454B6">
            <w:pPr>
              <w:spacing w:after="0"/>
              <w:rPr>
                <w:rFonts w:ascii="Cambria" w:hAnsi="Cambria" w:cs="Arial"/>
                <w:sz w:val="20"/>
                <w:szCs w:val="20"/>
              </w:rPr>
            </w:pPr>
            <w:r w:rsidRPr="00207748">
              <w:rPr>
                <w:rFonts w:ascii="Cambria" w:hAnsi="Cambria" w:cs="Arial"/>
                <w:sz w:val="20"/>
                <w:szCs w:val="20"/>
              </w:rPr>
              <w:t>Konsensstärke: 100 %</w:t>
            </w:r>
          </w:p>
        </w:tc>
      </w:tr>
    </w:tbl>
    <w:p w14:paraId="06D9AB9B" w14:textId="5EA5F99B" w:rsidR="00E11869" w:rsidRPr="00207748" w:rsidRDefault="00420A45" w:rsidP="004454B6">
      <w:pPr>
        <w:spacing w:before="240"/>
        <w:rPr>
          <w:rFonts w:ascii="Cambria" w:eastAsia="Arial" w:hAnsi="Cambria" w:cs="Arial"/>
          <w:sz w:val="20"/>
          <w:szCs w:val="20"/>
        </w:rPr>
      </w:pPr>
      <w:r w:rsidRPr="00207748">
        <w:rPr>
          <w:rFonts w:ascii="Cambria" w:hAnsi="Cambria" w:cs="Arial"/>
          <w:b/>
          <w:bCs/>
          <w:sz w:val="20"/>
          <w:szCs w:val="20"/>
        </w:rPr>
        <w:t>Begründung:</w:t>
      </w:r>
      <w:r w:rsidR="00447357" w:rsidRPr="00207748">
        <w:rPr>
          <w:rFonts w:ascii="Cambria" w:hAnsi="Cambria" w:cs="Arial"/>
          <w:b/>
          <w:bCs/>
          <w:sz w:val="20"/>
          <w:szCs w:val="20"/>
        </w:rPr>
        <w:t xml:space="preserve"> </w:t>
      </w:r>
      <w:r w:rsidR="00447357" w:rsidRPr="00207748">
        <w:rPr>
          <w:rFonts w:ascii="Cambria" w:hAnsi="Cambria" w:cs="Arial"/>
          <w:sz w:val="20"/>
          <w:szCs w:val="20"/>
        </w:rPr>
        <w:t xml:space="preserve">Eine myokardiale Dysfunktion infolge einer Infektion </w:t>
      </w:r>
      <w:r w:rsidR="00E00DD5">
        <w:rPr>
          <w:rFonts w:ascii="Cambria" w:hAnsi="Cambria" w:cs="Arial"/>
          <w:sz w:val="20"/>
          <w:szCs w:val="20"/>
        </w:rPr>
        <w:t>kann bei einigen</w:t>
      </w:r>
      <w:r w:rsidR="002B1061">
        <w:rPr>
          <w:rFonts w:ascii="Cambria" w:hAnsi="Cambria" w:cs="Arial"/>
          <w:sz w:val="20"/>
          <w:szCs w:val="20"/>
        </w:rPr>
        <w:t xml:space="preserve"> </w:t>
      </w:r>
      <w:r w:rsidR="00447357" w:rsidRPr="00207748">
        <w:rPr>
          <w:rFonts w:ascii="Cambria" w:hAnsi="Cambria" w:cs="Arial"/>
          <w:sz w:val="20"/>
          <w:szCs w:val="20"/>
        </w:rPr>
        <w:t>Patienten mit septischem Schock auf</w:t>
      </w:r>
      <w:r w:rsidR="00E00DD5">
        <w:rPr>
          <w:rFonts w:ascii="Cambria" w:hAnsi="Cambria" w:cs="Arial"/>
          <w:sz w:val="20"/>
          <w:szCs w:val="20"/>
        </w:rPr>
        <w:t>treten</w:t>
      </w:r>
      <w:r w:rsidR="00447357" w:rsidRPr="00207748">
        <w:rPr>
          <w:rFonts w:ascii="Cambria" w:hAnsi="Cambria" w:cs="Arial"/>
          <w:sz w:val="20"/>
          <w:szCs w:val="20"/>
        </w:rPr>
        <w:t>, aber das HZV wird üblicherweise durch eine ventrikuläre Dilatation, Tachykardie und einen reduzierten vaskulären Widerstand aufrechterhalten</w:t>
      </w:r>
      <w:r w:rsidR="00D159AF" w:rsidRPr="00207748">
        <w:rPr>
          <w:rFonts w:ascii="Cambria" w:hAnsi="Cambria" w:cs="Arial"/>
          <w:sz w:val="20"/>
          <w:szCs w:val="20"/>
        </w:rPr>
        <w:t>.</w:t>
      </w:r>
      <w:r w:rsidR="00447357" w:rsidRPr="00207748">
        <w:rPr>
          <w:rFonts w:ascii="Cambria" w:eastAsia="Arial" w:hAnsi="Cambria" w:cs="Arial"/>
          <w:sz w:val="20"/>
          <w:szCs w:val="20"/>
          <w:vertAlign w:val="superscript"/>
        </w:rPr>
        <w:endnoteReference w:id="297"/>
      </w:r>
      <w:r w:rsidR="00447357" w:rsidRPr="00207748">
        <w:rPr>
          <w:rFonts w:ascii="Cambria" w:hAnsi="Cambria" w:cs="Arial"/>
          <w:sz w:val="20"/>
          <w:szCs w:val="20"/>
        </w:rPr>
        <w:t xml:space="preserve"> Ein gewisser Anteil dieser Patienten k</w:t>
      </w:r>
      <w:r w:rsidR="00E00DD5">
        <w:rPr>
          <w:rFonts w:ascii="Cambria" w:hAnsi="Cambria" w:cs="Arial"/>
          <w:sz w:val="20"/>
          <w:szCs w:val="20"/>
        </w:rPr>
        <w:t>ann</w:t>
      </w:r>
      <w:r w:rsidR="00447357" w:rsidRPr="00207748">
        <w:rPr>
          <w:rFonts w:ascii="Cambria" w:hAnsi="Cambria" w:cs="Arial"/>
          <w:sz w:val="20"/>
          <w:szCs w:val="20"/>
        </w:rPr>
        <w:t xml:space="preserve"> über eine verringerte kardiale Reserve verfügen und daher nicht in der Lage sein, ein HZV zu erreichen, </w:t>
      </w:r>
      <w:r w:rsidR="00E00DD5">
        <w:rPr>
          <w:rFonts w:ascii="Cambria" w:hAnsi="Cambria" w:cs="Arial"/>
          <w:sz w:val="20"/>
          <w:szCs w:val="20"/>
        </w:rPr>
        <w:t>um</w:t>
      </w:r>
      <w:r w:rsidR="002B1061">
        <w:rPr>
          <w:rFonts w:ascii="Cambria" w:hAnsi="Cambria" w:cs="Arial"/>
          <w:sz w:val="20"/>
          <w:szCs w:val="20"/>
        </w:rPr>
        <w:t xml:space="preserve"> </w:t>
      </w:r>
      <w:r w:rsidR="00447357" w:rsidRPr="00207748">
        <w:rPr>
          <w:rFonts w:ascii="Cambria" w:hAnsi="Cambria" w:cs="Arial"/>
          <w:sz w:val="20"/>
          <w:szCs w:val="20"/>
        </w:rPr>
        <w:t>ein angemessenes Sauerstoffangebot sicher</w:t>
      </w:r>
      <w:r w:rsidR="00E00DD5">
        <w:rPr>
          <w:rFonts w:ascii="Cambria" w:hAnsi="Cambria" w:cs="Arial"/>
          <w:sz w:val="20"/>
          <w:szCs w:val="20"/>
        </w:rPr>
        <w:t>zustellen</w:t>
      </w:r>
      <w:r w:rsidR="00447357" w:rsidRPr="00207748">
        <w:rPr>
          <w:rFonts w:ascii="Cambria" w:hAnsi="Cambria" w:cs="Arial"/>
          <w:sz w:val="20"/>
          <w:szCs w:val="20"/>
        </w:rPr>
        <w:t xml:space="preserve">. Die Erkennung einer derart reduzierten kardialen </w:t>
      </w:r>
      <w:r w:rsidR="00447357" w:rsidRPr="00207748">
        <w:rPr>
          <w:rFonts w:ascii="Cambria" w:hAnsi="Cambria" w:cs="Arial"/>
          <w:sz w:val="20"/>
          <w:szCs w:val="20"/>
        </w:rPr>
        <w:lastRenderedPageBreak/>
        <w:t xml:space="preserve">Reserve kann eine Herausforderung darstellen; bildgebende Verfahren, die eine verringerte Ejektionsfraktion zeigen, müssen nicht notwendigerweise auch ein unzureichendes HZV </w:t>
      </w:r>
      <w:r w:rsidR="00E00DD5">
        <w:rPr>
          <w:rFonts w:ascii="Cambria" w:hAnsi="Cambria" w:cs="Arial"/>
          <w:sz w:val="20"/>
          <w:szCs w:val="20"/>
        </w:rPr>
        <w:t>bedeuten</w:t>
      </w:r>
      <w:r w:rsidR="00447357" w:rsidRPr="00207748">
        <w:rPr>
          <w:rFonts w:ascii="Cambria" w:hAnsi="Cambria" w:cs="Arial"/>
          <w:sz w:val="20"/>
          <w:szCs w:val="20"/>
        </w:rPr>
        <w:t>. Begleitende Messungen des HZV in Kombination mit dem quantitativen Nachweis einer angemessenen Perfusion sind zu bevorzugen.</w:t>
      </w:r>
    </w:p>
    <w:p w14:paraId="679901EB" w14:textId="7675B87E" w:rsidR="00E11869" w:rsidRPr="00207748" w:rsidRDefault="00447357" w:rsidP="004454B6">
      <w:pPr>
        <w:rPr>
          <w:rFonts w:ascii="Cambria" w:eastAsia="Arial" w:hAnsi="Cambria" w:cs="Arial"/>
          <w:sz w:val="20"/>
          <w:szCs w:val="20"/>
        </w:rPr>
      </w:pPr>
      <w:r w:rsidRPr="00207748">
        <w:rPr>
          <w:rFonts w:ascii="Cambria" w:hAnsi="Cambria" w:cs="Arial"/>
          <w:sz w:val="20"/>
          <w:szCs w:val="20"/>
        </w:rPr>
        <w:t xml:space="preserve">Eine routinemäßige Erhöhung des Herzausgabevolumens auf im Vorfeld festgelegte „supranormale“ Werte bei allen Patienten führt eindeutig nicht zu einer Verbesserung der Ergebnisse, wie in zwei großen prospektiven klinischen Studien an kritisch </w:t>
      </w:r>
      <w:r w:rsidR="00E00DD5">
        <w:rPr>
          <w:rFonts w:ascii="Cambria" w:hAnsi="Cambria" w:cs="Arial"/>
          <w:sz w:val="20"/>
          <w:szCs w:val="20"/>
        </w:rPr>
        <w:t>kranken</w:t>
      </w:r>
      <w:r w:rsidR="002B1061">
        <w:rPr>
          <w:rFonts w:ascii="Cambria" w:hAnsi="Cambria" w:cs="Arial"/>
          <w:sz w:val="20"/>
          <w:szCs w:val="20"/>
        </w:rPr>
        <w:t xml:space="preserve"> </w:t>
      </w:r>
      <w:r w:rsidRPr="00207748">
        <w:rPr>
          <w:rFonts w:ascii="Cambria" w:hAnsi="Cambria" w:cs="Arial"/>
          <w:sz w:val="20"/>
          <w:szCs w:val="20"/>
        </w:rPr>
        <w:t>ITS-Patienten mit Sepsis unter Behandlung mit Dobutamin gezeigt wurde</w:t>
      </w:r>
      <w:r w:rsidR="00D159AF" w:rsidRPr="00207748">
        <w:rPr>
          <w:rFonts w:ascii="Cambria" w:hAnsi="Cambria" w:cs="Arial"/>
          <w:sz w:val="20"/>
          <w:szCs w:val="20"/>
        </w:rPr>
        <w:t>.</w:t>
      </w:r>
      <w:r w:rsidRPr="00207748">
        <w:rPr>
          <w:rFonts w:ascii="Cambria" w:hAnsi="Cambria" w:cs="Arial"/>
          <w:sz w:val="20"/>
          <w:szCs w:val="20"/>
        </w:rPr>
        <w:t xml:space="preserve"> </w:t>
      </w:r>
      <w:r w:rsidRPr="00207748">
        <w:rPr>
          <w:rFonts w:ascii="Cambria" w:eastAsia="Arial" w:hAnsi="Cambria" w:cs="Arial"/>
          <w:sz w:val="20"/>
          <w:szCs w:val="20"/>
          <w:vertAlign w:val="superscript"/>
        </w:rPr>
        <w:endnoteReference w:id="298"/>
      </w:r>
      <w:r w:rsidRPr="00207748">
        <w:rPr>
          <w:rFonts w:ascii="Cambria" w:hAnsi="Cambria" w:cs="Arial"/>
          <w:sz w:val="20"/>
          <w:szCs w:val="20"/>
        </w:rPr>
        <w:t xml:space="preserve"> </w:t>
      </w:r>
      <w:r w:rsidRPr="00207748">
        <w:rPr>
          <w:rFonts w:ascii="Cambria" w:eastAsia="Arial" w:hAnsi="Cambria" w:cs="Arial"/>
          <w:sz w:val="20"/>
          <w:szCs w:val="20"/>
          <w:vertAlign w:val="superscript"/>
        </w:rPr>
        <w:endnoteReference w:id="299"/>
      </w:r>
      <w:r w:rsidRPr="00207748">
        <w:rPr>
          <w:rFonts w:ascii="Cambria" w:hAnsi="Cambria" w:cs="Arial"/>
          <w:sz w:val="20"/>
          <w:szCs w:val="20"/>
        </w:rPr>
        <w:t xml:space="preserve"> </w:t>
      </w:r>
      <w:bookmarkStart w:id="395" w:name="_Ref30587024"/>
      <w:r w:rsidRPr="00207748">
        <w:rPr>
          <w:rFonts w:ascii="Cambria" w:eastAsia="Arial" w:hAnsi="Cambria" w:cs="Arial"/>
          <w:sz w:val="20"/>
          <w:szCs w:val="20"/>
          <w:vertAlign w:val="superscript"/>
        </w:rPr>
        <w:endnoteReference w:id="300"/>
      </w:r>
      <w:bookmarkEnd w:id="395"/>
    </w:p>
    <w:p w14:paraId="73EB7F71" w14:textId="6A312DC8" w:rsidR="00E11869" w:rsidRPr="00207748" w:rsidRDefault="00447357" w:rsidP="004454B6">
      <w:pPr>
        <w:rPr>
          <w:rFonts w:ascii="Cambria" w:eastAsia="Arial" w:hAnsi="Cambria" w:cs="Arial"/>
          <w:sz w:val="20"/>
          <w:szCs w:val="20"/>
        </w:rPr>
      </w:pPr>
      <w:r w:rsidRPr="00207748">
        <w:rPr>
          <w:rFonts w:ascii="Cambria" w:hAnsi="Cambria" w:cs="Arial"/>
          <w:sz w:val="20"/>
          <w:szCs w:val="20"/>
        </w:rPr>
        <w:t>Einige Patienten könnten jedoch von einer verbesserten Gewebeperfusion infolge einer inotropen Therapie, die auf eine Erhöhung des Sauerstoffangebots ausgerichtet ist, profitieren. In dieser Situation stellt Dobutamin für Patienten mit einem gemessenen oder vermuteten niedrigen HZV, bei denen ein angemessener linksventrikulärer Füllungsdruck (oder die klinische Beurteilung einer angemessenen Flüssigkeitstherapie) sowie ein angemessener MAP vorliegt, die inotrope Therapie erster Wahl dar. Die beste Möglichkeit, diese Art von Therapie zu steuern, besteht darin, die Reaktion von Perfusionsindizes auf den (gemessenen) Anstieg des HZV zu überwachen</w:t>
      </w:r>
      <w:r w:rsidR="00D159AF" w:rsidRPr="00207748">
        <w:rPr>
          <w:rFonts w:ascii="Cambria" w:hAnsi="Cambria" w:cs="Arial"/>
          <w:sz w:val="20"/>
          <w:szCs w:val="20"/>
        </w:rPr>
        <w:t>.</w:t>
      </w:r>
      <w:r w:rsidR="006B2B71" w:rsidRPr="00EF1A9E">
        <w:rPr>
          <w:rStyle w:val="EndnoteRealZchn"/>
        </w:rPr>
        <w:fldChar w:fldCharType="begin"/>
      </w:r>
      <w:r w:rsidR="006B2B71" w:rsidRPr="00EF1A9E">
        <w:rPr>
          <w:rStyle w:val="EndnoteRealZchn"/>
        </w:rPr>
        <w:instrText xml:space="preserve"> NOTEREF _Ref30587024 \h </w:instrText>
      </w:r>
      <w:r w:rsidR="00EF1A9E">
        <w:rPr>
          <w:rStyle w:val="EndnoteRealZchn"/>
        </w:rPr>
        <w:instrText xml:space="preserve"> \* MERGEFORMAT </w:instrText>
      </w:r>
      <w:r w:rsidR="006B2B71" w:rsidRPr="00EF1A9E">
        <w:rPr>
          <w:rStyle w:val="EndnoteRealZchn"/>
        </w:rPr>
      </w:r>
      <w:r w:rsidR="006B2B71" w:rsidRPr="00EF1A9E">
        <w:rPr>
          <w:rStyle w:val="EndnoteRealZchn"/>
        </w:rPr>
        <w:fldChar w:fldCharType="separate"/>
      </w:r>
      <w:r w:rsidR="001A283B" w:rsidRPr="00EF1A9E">
        <w:rPr>
          <w:rStyle w:val="EndnoteRealZchn"/>
        </w:rPr>
        <w:t>341</w:t>
      </w:r>
      <w:r w:rsidR="006B2B71" w:rsidRPr="00EF1A9E">
        <w:rPr>
          <w:rStyle w:val="EndnoteRealZchn"/>
        </w:rPr>
        <w:fldChar w:fldCharType="end"/>
      </w:r>
    </w:p>
    <w:p w14:paraId="2C85018C" w14:textId="539F5A76" w:rsidR="00E11869" w:rsidRPr="00207748" w:rsidRDefault="00447357" w:rsidP="004454B6">
      <w:pPr>
        <w:rPr>
          <w:rFonts w:ascii="Cambria" w:eastAsia="Arial" w:hAnsi="Cambria" w:cs="Arial"/>
          <w:sz w:val="20"/>
          <w:szCs w:val="20"/>
        </w:rPr>
      </w:pPr>
      <w:r w:rsidRPr="00207748">
        <w:rPr>
          <w:rFonts w:ascii="Cambria" w:hAnsi="Cambria" w:cs="Arial"/>
          <w:sz w:val="20"/>
          <w:szCs w:val="20"/>
        </w:rPr>
        <w:t>Die Daten, welche die Nutzung von Dobutamin unterstützen, sind hauptsächlich physiologischer Art und zeigen eine verbesserte Hämodynamik und einige Verbesserungen bei den Perfusionsindices, welche eine klinische Verbesserung, abnehmende Laktatspiegel und eine ScvO</w:t>
      </w:r>
      <w:r w:rsidRPr="00207748">
        <w:rPr>
          <w:rFonts w:ascii="Cambria" w:hAnsi="Cambria" w:cs="Arial"/>
          <w:sz w:val="20"/>
          <w:szCs w:val="20"/>
          <w:vertAlign w:val="subscript"/>
        </w:rPr>
        <w:t>2</w:t>
      </w:r>
      <w:r w:rsidRPr="00207748">
        <w:rPr>
          <w:rFonts w:ascii="Cambria" w:hAnsi="Cambria" w:cs="Arial"/>
          <w:sz w:val="20"/>
          <w:szCs w:val="20"/>
        </w:rPr>
        <w:t xml:space="preserve">-Verbesserung umfassen können. RCTs, die die Effekte von Dobutamin gegenüber einem Placebo im Hinblick auf die klinischen Ergebnisse verglichen haben, sind nicht bekannt. Die Mortalität bei Patienten, die randomisiert einer Therapie mit Dobutamin </w:t>
      </w:r>
      <w:r w:rsidR="00E00332">
        <w:rPr>
          <w:rFonts w:ascii="Cambria" w:hAnsi="Cambria" w:cs="Arial"/>
          <w:sz w:val="20"/>
          <w:szCs w:val="20"/>
        </w:rPr>
        <w:t>zusätzlich</w:t>
      </w:r>
      <w:r w:rsidRPr="00207748">
        <w:rPr>
          <w:rFonts w:ascii="Cambria" w:hAnsi="Cambria" w:cs="Arial"/>
          <w:sz w:val="20"/>
          <w:szCs w:val="20"/>
        </w:rPr>
        <w:t xml:space="preserve"> zu Norepinephrin zu</w:t>
      </w:r>
      <w:r w:rsidR="00E00332">
        <w:rPr>
          <w:rFonts w:ascii="Cambria" w:hAnsi="Cambria" w:cs="Arial"/>
          <w:sz w:val="20"/>
          <w:szCs w:val="20"/>
        </w:rPr>
        <w:t>gewiesen</w:t>
      </w:r>
      <w:r w:rsidRPr="00207748">
        <w:rPr>
          <w:rFonts w:ascii="Cambria" w:hAnsi="Cambria" w:cs="Arial"/>
          <w:sz w:val="20"/>
          <w:szCs w:val="20"/>
        </w:rPr>
        <w:t xml:space="preserve"> worden waren, wies keinen Unterschied im Vergleich zu einer Therapie mit Epinephrin auf </w:t>
      </w:r>
      <w:r w:rsidR="006B2B71">
        <w:rPr>
          <w:rFonts w:ascii="Cambria" w:eastAsia="Arial" w:hAnsi="Cambria" w:cs="Arial"/>
          <w:sz w:val="20"/>
          <w:szCs w:val="20"/>
          <w:vertAlign w:val="superscript"/>
        </w:rPr>
        <w:fldChar w:fldCharType="begin"/>
      </w:r>
      <w:r w:rsidR="006B2B71">
        <w:rPr>
          <w:rFonts w:ascii="Cambria" w:hAnsi="Cambria" w:cs="Arial"/>
          <w:sz w:val="20"/>
          <w:szCs w:val="20"/>
        </w:rPr>
        <w:instrText xml:space="preserve"> NOTEREF _Ref30587024 \h </w:instrText>
      </w:r>
      <w:r w:rsidR="006B2B71">
        <w:rPr>
          <w:rFonts w:ascii="Cambria" w:eastAsia="Arial" w:hAnsi="Cambria" w:cs="Arial"/>
          <w:sz w:val="20"/>
          <w:szCs w:val="20"/>
          <w:vertAlign w:val="superscript"/>
        </w:rPr>
      </w:r>
      <w:r w:rsidR="006B2B71">
        <w:rPr>
          <w:rFonts w:ascii="Cambria" w:eastAsia="Arial" w:hAnsi="Cambria" w:cs="Arial"/>
          <w:sz w:val="20"/>
          <w:szCs w:val="20"/>
          <w:vertAlign w:val="superscript"/>
        </w:rPr>
        <w:fldChar w:fldCharType="separate"/>
      </w:r>
      <w:r w:rsidR="001A283B">
        <w:rPr>
          <w:rFonts w:ascii="Cambria" w:hAnsi="Cambria" w:cs="Arial"/>
          <w:sz w:val="20"/>
          <w:szCs w:val="20"/>
        </w:rPr>
        <w:t>341</w:t>
      </w:r>
      <w:r w:rsidR="006B2B71">
        <w:rPr>
          <w:rFonts w:ascii="Cambria" w:eastAsia="Arial" w:hAnsi="Cambria" w:cs="Arial"/>
          <w:sz w:val="20"/>
          <w:szCs w:val="20"/>
          <w:vertAlign w:val="superscript"/>
        </w:rPr>
        <w:fldChar w:fldCharType="end"/>
      </w:r>
      <w:r w:rsidRPr="00207748">
        <w:rPr>
          <w:rFonts w:ascii="Cambria" w:hAnsi="Cambria" w:cs="Arial"/>
          <w:sz w:val="20"/>
          <w:szCs w:val="20"/>
        </w:rPr>
        <w:t xml:space="preserve"> wobei die Studie auf Grund einer unzureichenden </w:t>
      </w:r>
      <w:r w:rsidRPr="00207748">
        <w:rPr>
          <w:rFonts w:ascii="Cambria" w:hAnsi="Cambria" w:cs="Arial"/>
          <w:sz w:val="20"/>
          <w:szCs w:val="20"/>
        </w:rPr>
        <w:lastRenderedPageBreak/>
        <w:t>Patientenzahl nicht über genügend Aussagekraft verfügt. Dobutamin wurde ferner als inotrope Erstlinien-Therapie im Rahmen der Standardbehandlung in klinischen EGDT-Studien verwendet</w:t>
      </w:r>
      <w:r w:rsidRPr="00207748">
        <w:rPr>
          <w:rFonts w:ascii="Cambria" w:eastAsia="Arial" w:hAnsi="Cambria" w:cs="Arial"/>
          <w:sz w:val="20"/>
          <w:szCs w:val="20"/>
          <w:vertAlign w:val="superscript"/>
        </w:rPr>
        <w:endnoteReference w:id="301"/>
      </w:r>
      <w:r w:rsidRPr="00207748">
        <w:rPr>
          <w:rFonts w:ascii="Cambria" w:hAnsi="Cambria" w:cs="Arial"/>
          <w:sz w:val="20"/>
          <w:szCs w:val="20"/>
        </w:rPr>
        <w:t xml:space="preserve"> </w:t>
      </w:r>
      <w:r w:rsidR="00CB26D4" w:rsidRPr="00CB26D4">
        <w:rPr>
          <w:rStyle w:val="EndnoteZchn"/>
        </w:rPr>
        <w:fldChar w:fldCharType="begin"/>
      </w:r>
      <w:r w:rsidR="00CB26D4" w:rsidRPr="00CB26D4">
        <w:rPr>
          <w:rStyle w:val="EndnoteZchn"/>
        </w:rPr>
        <w:instrText xml:space="preserve"> NOTEREF _Ref30502434 \h  \* MERGEFORMAT </w:instrText>
      </w:r>
      <w:r w:rsidR="00CB26D4" w:rsidRPr="00CB26D4">
        <w:rPr>
          <w:rStyle w:val="EndnoteZchn"/>
        </w:rPr>
      </w:r>
      <w:r w:rsidR="00CB26D4" w:rsidRPr="00CB26D4">
        <w:rPr>
          <w:rStyle w:val="EndnoteZchn"/>
        </w:rPr>
        <w:fldChar w:fldCharType="separate"/>
      </w:r>
      <w:r w:rsidR="001A283B">
        <w:rPr>
          <w:rStyle w:val="EndnoteZchn"/>
        </w:rPr>
        <w:t>36</w:t>
      </w:r>
      <w:r w:rsidR="00CB26D4" w:rsidRPr="00CB26D4">
        <w:rPr>
          <w:rStyle w:val="EndnoteZchn"/>
        </w:rPr>
        <w:fldChar w:fldCharType="end"/>
      </w:r>
      <w:r w:rsidRPr="00207748">
        <w:rPr>
          <w:rFonts w:ascii="Cambria" w:hAnsi="Cambria" w:cs="Arial"/>
          <w:sz w:val="20"/>
          <w:szCs w:val="20"/>
        </w:rPr>
        <w:t xml:space="preserve"> </w:t>
      </w:r>
      <w:r w:rsidRPr="00207748">
        <w:rPr>
          <w:rFonts w:ascii="Cambria" w:eastAsia="Arial" w:hAnsi="Cambria" w:cs="Arial"/>
          <w:sz w:val="20"/>
          <w:szCs w:val="20"/>
          <w:vertAlign w:val="superscript"/>
        </w:rPr>
        <w:endnoteReference w:id="302"/>
      </w:r>
      <w:r w:rsidRPr="00207748">
        <w:rPr>
          <w:rFonts w:ascii="Cambria" w:hAnsi="Cambria" w:cs="Arial"/>
          <w:sz w:val="20"/>
          <w:szCs w:val="20"/>
        </w:rPr>
        <w:t xml:space="preserve"> </w:t>
      </w:r>
      <w:r w:rsidRPr="00207748">
        <w:rPr>
          <w:rFonts w:ascii="Cambria" w:eastAsia="Arial" w:hAnsi="Cambria" w:cs="Arial"/>
          <w:sz w:val="20"/>
          <w:szCs w:val="20"/>
          <w:vertAlign w:val="superscript"/>
        </w:rPr>
        <w:endnoteReference w:id="303"/>
      </w:r>
      <w:r w:rsidRPr="00207748">
        <w:rPr>
          <w:rFonts w:ascii="Cambria" w:hAnsi="Cambria" w:cs="Arial"/>
          <w:sz w:val="20"/>
          <w:szCs w:val="20"/>
        </w:rPr>
        <w:t>, und negative Auswirkungen auf die Mortalität wurden bei dessen Verwendung nicht festgestellt.</w:t>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702"/>
        <w:gridCol w:w="1692"/>
        <w:gridCol w:w="831"/>
      </w:tblGrid>
      <w:tr w:rsidR="00E11869" w:rsidRPr="00207748" w14:paraId="3DD4C17B"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05991621"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t>G.6</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CF2A14A"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32281A7"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2018</w:t>
            </w:r>
          </w:p>
        </w:tc>
      </w:tr>
      <w:tr w:rsidR="00E11869" w:rsidRPr="00207748" w14:paraId="385519E3" w14:textId="77777777" w:rsidTr="00342FB3">
        <w:trPr>
          <w:trHeight w:val="280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0F4F0C" w14:textId="77777777" w:rsidR="00E11869" w:rsidRPr="00207748" w:rsidRDefault="00447357" w:rsidP="004454B6">
            <w:pPr>
              <w:spacing w:after="0"/>
              <w:rPr>
                <w:rFonts w:ascii="Cambria" w:hAnsi="Cambria" w:cs="Arial"/>
                <w:sz w:val="20"/>
                <w:szCs w:val="20"/>
              </w:rPr>
            </w:pPr>
            <w:r w:rsidRPr="00207748">
              <w:rPr>
                <w:rFonts w:ascii="Cambria" w:hAnsi="Cambria" w:cs="Arial"/>
                <w:b/>
                <w:bCs/>
                <w:spacing w:val="-4"/>
                <w:sz w:val="20"/>
                <w:szCs w:val="20"/>
              </w:rPr>
              <w:t xml:space="preserve">Expertenkonsens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83E26"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Wir empfehlen, dass alle Patienten, die Vasopressoren benötigen, einen arteriellen Katheter erhalten, sobald dies praktisch realisierbar ist und sofern Ressourcen verfügbar sind</w:t>
            </w:r>
            <w:r w:rsidR="00B20D2B" w:rsidRPr="00207748">
              <w:rPr>
                <w:rFonts w:ascii="Cambria" w:hAnsi="Cambria" w:cs="Arial"/>
                <w:b/>
                <w:bCs/>
                <w:sz w:val="20"/>
                <w:szCs w:val="20"/>
              </w:rPr>
              <w:t>.</w:t>
            </w:r>
          </w:p>
        </w:tc>
      </w:tr>
      <w:tr w:rsidR="00E11869" w:rsidRPr="00207748" w14:paraId="1768F221" w14:textId="77777777" w:rsidTr="00334AF5">
        <w:trPr>
          <w:trHeight w:val="747"/>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33CEEA63"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2B866" w14:textId="6725CC76"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SSC</w:t>
            </w:r>
            <w:r w:rsidR="00420A45" w:rsidRPr="00207748">
              <w:rPr>
                <w:rFonts w:ascii="Cambria" w:hAnsi="Cambria" w:cs="Arial"/>
                <w:b/>
                <w:bCs/>
                <w:sz w:val="20"/>
                <w:szCs w:val="20"/>
              </w:rPr>
              <w:t>-</w:t>
            </w:r>
            <w:r w:rsidRPr="00207748">
              <w:rPr>
                <w:rFonts w:ascii="Cambria" w:hAnsi="Cambria" w:cs="Arial"/>
                <w:b/>
                <w:bCs/>
                <w:sz w:val="20"/>
                <w:szCs w:val="20"/>
              </w:rPr>
              <w:t>Leitlinien</w:t>
            </w:r>
            <w:r w:rsidR="00B26F79">
              <w:rPr>
                <w:rFonts w:ascii="Cambria" w:hAnsi="Cambria" w:cs="Arial"/>
                <w:b/>
                <w:bCs/>
                <w:sz w:val="20"/>
                <w:szCs w:val="20"/>
              </w:rPr>
              <w:t>-</w:t>
            </w:r>
            <w:r w:rsidRPr="00207748">
              <w:rPr>
                <w:rFonts w:ascii="Cambria" w:hAnsi="Cambria" w:cs="Arial"/>
                <w:b/>
                <w:bCs/>
                <w:sz w:val="20"/>
                <w:szCs w:val="20"/>
              </w:rPr>
              <w:t>adaptation, Abweichung des Em</w:t>
            </w:r>
            <w:r w:rsidR="002F45C9" w:rsidRPr="00207748">
              <w:rPr>
                <w:rFonts w:ascii="Cambria" w:hAnsi="Cambria" w:cs="Arial"/>
                <w:b/>
                <w:bCs/>
                <w:sz w:val="20"/>
                <w:szCs w:val="20"/>
              </w:rPr>
              <w:t>pfehlungsgrades</w:t>
            </w:r>
          </w:p>
        </w:tc>
      </w:tr>
      <w:tr w:rsidR="00E11869" w:rsidRPr="00207748" w14:paraId="541B6259"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DA3FF"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93677" w14:textId="77777777" w:rsidR="00E11869" w:rsidRPr="00207748" w:rsidRDefault="00447357" w:rsidP="004454B6">
            <w:pPr>
              <w:spacing w:after="0"/>
              <w:rPr>
                <w:rFonts w:ascii="Cambria" w:hAnsi="Cambria" w:cs="Arial"/>
                <w:sz w:val="20"/>
                <w:szCs w:val="20"/>
              </w:rPr>
            </w:pPr>
            <w:r w:rsidRPr="00207748">
              <w:rPr>
                <w:rFonts w:ascii="Cambria" w:hAnsi="Cambria" w:cs="Arial"/>
                <w:sz w:val="20"/>
                <w:szCs w:val="20"/>
              </w:rPr>
              <w:t>Konsensstärke: 100 %</w:t>
            </w:r>
          </w:p>
        </w:tc>
      </w:tr>
    </w:tbl>
    <w:p w14:paraId="3998D88F" w14:textId="72ED6D2E" w:rsidR="00E11869" w:rsidRPr="00207748" w:rsidRDefault="00342FB3" w:rsidP="004454B6">
      <w:pPr>
        <w:spacing w:before="240"/>
        <w:rPr>
          <w:rFonts w:ascii="Cambria" w:eastAsia="Arial" w:hAnsi="Cambria" w:cs="Arial"/>
          <w:sz w:val="20"/>
          <w:szCs w:val="20"/>
        </w:rPr>
      </w:pPr>
      <w:r w:rsidRPr="00207748">
        <w:rPr>
          <w:rFonts w:ascii="Cambria" w:hAnsi="Cambria" w:cs="Arial"/>
          <w:b/>
          <w:bCs/>
          <w:sz w:val="20"/>
          <w:szCs w:val="20"/>
        </w:rPr>
        <w:t>Begründung</w:t>
      </w:r>
      <w:r w:rsidR="00447357" w:rsidRPr="00207748">
        <w:rPr>
          <w:rFonts w:ascii="Cambria" w:hAnsi="Cambria" w:cs="Arial"/>
          <w:b/>
          <w:bCs/>
          <w:sz w:val="20"/>
          <w:szCs w:val="20"/>
        </w:rPr>
        <w:t>:</w:t>
      </w:r>
      <w:r w:rsidR="00447357" w:rsidRPr="00207748">
        <w:rPr>
          <w:rFonts w:ascii="Cambria" w:hAnsi="Cambria" w:cs="Arial"/>
          <w:sz w:val="20"/>
          <w:szCs w:val="20"/>
        </w:rPr>
        <w:t xml:space="preserve"> In Schockzuständen kann die Schätzung des Blutdrucks unter Verwendung einer Manschette insbesondere bei automatisierten Messsystemen ungenau ausfallen. Die Nutzung eine</w:t>
      </w:r>
      <w:r w:rsidR="00E00332">
        <w:rPr>
          <w:rFonts w:ascii="Cambria" w:hAnsi="Cambria" w:cs="Arial"/>
          <w:sz w:val="20"/>
          <w:szCs w:val="20"/>
        </w:rPr>
        <w:t>s</w:t>
      </w:r>
      <w:r w:rsidR="00447357" w:rsidRPr="00207748">
        <w:rPr>
          <w:rFonts w:ascii="Cambria" w:hAnsi="Cambria" w:cs="Arial"/>
          <w:sz w:val="20"/>
          <w:szCs w:val="20"/>
        </w:rPr>
        <w:t xml:space="preserve"> arteriellen </w:t>
      </w:r>
      <w:r w:rsidR="00E00332">
        <w:rPr>
          <w:rFonts w:ascii="Cambria" w:hAnsi="Cambria" w:cs="Arial"/>
          <w:sz w:val="20"/>
          <w:szCs w:val="20"/>
        </w:rPr>
        <w:t>Zugangs</w:t>
      </w:r>
      <w:r w:rsidR="00447357" w:rsidRPr="00207748">
        <w:rPr>
          <w:rFonts w:ascii="Cambria" w:hAnsi="Cambria" w:cs="Arial"/>
          <w:sz w:val="20"/>
          <w:szCs w:val="20"/>
        </w:rPr>
        <w:t xml:space="preserve"> ermöglicht eine genauere und besser reproduzierbare Messung des arteriellen Drucks</w:t>
      </w:r>
      <w:r w:rsidR="006B2B71">
        <w:rPr>
          <w:rFonts w:ascii="Cambria" w:hAnsi="Cambria" w:cs="Arial"/>
          <w:sz w:val="20"/>
          <w:szCs w:val="20"/>
        </w:rPr>
        <w:t xml:space="preserve"> </w:t>
      </w:r>
      <w:r w:rsidR="006B2B71" w:rsidRPr="006B2B71">
        <w:rPr>
          <w:rStyle w:val="EndnoteRealZchn"/>
          <w:sz w:val="20"/>
          <w:szCs w:val="20"/>
        </w:rPr>
        <w:fldChar w:fldCharType="begin"/>
      </w:r>
      <w:r w:rsidR="006B2B71" w:rsidRPr="006B2B71">
        <w:rPr>
          <w:rStyle w:val="EndnoteRealZchn"/>
          <w:sz w:val="20"/>
          <w:szCs w:val="20"/>
        </w:rPr>
        <w:instrText xml:space="preserve"> NOTEREF _Ref30587024 \h  \* MERGEFORMAT </w:instrText>
      </w:r>
      <w:r w:rsidR="006B2B71" w:rsidRPr="006B2B71">
        <w:rPr>
          <w:rStyle w:val="EndnoteRealZchn"/>
          <w:sz w:val="20"/>
          <w:szCs w:val="20"/>
        </w:rPr>
      </w:r>
      <w:r w:rsidR="006B2B71" w:rsidRPr="006B2B71">
        <w:rPr>
          <w:rStyle w:val="EndnoteRealZchn"/>
          <w:sz w:val="20"/>
          <w:szCs w:val="20"/>
        </w:rPr>
        <w:fldChar w:fldCharType="separate"/>
      </w:r>
      <w:r w:rsidR="001A283B">
        <w:rPr>
          <w:rStyle w:val="EndnoteRealZchn"/>
          <w:sz w:val="20"/>
          <w:szCs w:val="20"/>
        </w:rPr>
        <w:t>341</w:t>
      </w:r>
      <w:r w:rsidR="006B2B71" w:rsidRPr="006B2B71">
        <w:rPr>
          <w:rStyle w:val="EndnoteRealZchn"/>
          <w:sz w:val="20"/>
          <w:szCs w:val="20"/>
        </w:rPr>
        <w:fldChar w:fldCharType="end"/>
      </w:r>
      <w:r w:rsidR="00447357" w:rsidRPr="00207748">
        <w:rPr>
          <w:rFonts w:ascii="Cambria" w:hAnsi="Cambria" w:cs="Arial"/>
          <w:sz w:val="20"/>
          <w:szCs w:val="20"/>
        </w:rPr>
        <w:t xml:space="preserve"> </w:t>
      </w:r>
      <w:r w:rsidR="00447357" w:rsidRPr="00207748">
        <w:rPr>
          <w:rFonts w:ascii="Cambria" w:eastAsia="Arial" w:hAnsi="Cambria" w:cs="Arial"/>
          <w:sz w:val="20"/>
          <w:szCs w:val="20"/>
          <w:vertAlign w:val="superscript"/>
        </w:rPr>
        <w:endnoteReference w:id="304"/>
      </w:r>
      <w:r w:rsidR="00447357" w:rsidRPr="00207748">
        <w:rPr>
          <w:rFonts w:ascii="Cambria" w:hAnsi="Cambria" w:cs="Arial"/>
          <w:sz w:val="20"/>
          <w:szCs w:val="20"/>
        </w:rPr>
        <w:t xml:space="preserve"> und eine Schlag-zu-Schlag-Analyse, sodass Entscheidungen bezüglich der Therapie auf Grundlage von sofort verfügbaren und reproduzierbaren Blutdruckinformationen getroffen werden können</w:t>
      </w:r>
      <w:r w:rsidR="00447357" w:rsidRPr="00207748">
        <w:rPr>
          <w:rFonts w:ascii="Cambria" w:eastAsia="Arial" w:hAnsi="Cambria" w:cs="Arial"/>
          <w:sz w:val="20"/>
          <w:szCs w:val="20"/>
          <w:vertAlign w:val="superscript"/>
        </w:rPr>
        <w:endnoteReference w:id="305"/>
      </w:r>
      <w:r w:rsidR="00447357" w:rsidRPr="00207748">
        <w:rPr>
          <w:rFonts w:ascii="Cambria" w:hAnsi="Cambria" w:cs="Arial"/>
          <w:sz w:val="20"/>
          <w:szCs w:val="20"/>
        </w:rPr>
        <w:t>. Die Einführung von radial-arteriellen Kathetern ist im Allgemeinen sicher; eine systematische Überprüfung von Beobachtungsstudien ergab, dass die Inzidenz von Ischämien der Gliedmaßen und Blutungen bei weniger als 1 % liegt, wobei es sich bei der häufigsten Komplikation um lokalisierte Hämatome handelt (14 %)</w:t>
      </w:r>
      <w:r w:rsidR="00D159AF" w:rsidRPr="00207748">
        <w:rPr>
          <w:rFonts w:ascii="Cambria" w:hAnsi="Cambria" w:cs="Arial"/>
          <w:sz w:val="20"/>
          <w:szCs w:val="20"/>
        </w:rPr>
        <w:t>.</w:t>
      </w:r>
      <w:r w:rsidR="00447357" w:rsidRPr="00207748">
        <w:rPr>
          <w:rFonts w:ascii="Cambria" w:eastAsia="Arial" w:hAnsi="Cambria" w:cs="Arial"/>
          <w:sz w:val="20"/>
          <w:szCs w:val="20"/>
          <w:vertAlign w:val="superscript"/>
        </w:rPr>
        <w:endnoteReference w:id="306"/>
      </w:r>
      <w:r w:rsidR="00447357" w:rsidRPr="00207748">
        <w:rPr>
          <w:rFonts w:ascii="Cambria" w:hAnsi="Cambria" w:cs="Arial"/>
          <w:sz w:val="20"/>
          <w:szCs w:val="20"/>
        </w:rPr>
        <w:t xml:space="preserve"> Die Komplikationsraten könnten geringer ausfallen, wenn eine ultraschallgesteuerte Technik genutzt wird</w:t>
      </w:r>
      <w:r w:rsidR="00D159AF" w:rsidRPr="00207748">
        <w:rPr>
          <w:rFonts w:ascii="Cambria" w:hAnsi="Cambria" w:cs="Arial"/>
          <w:sz w:val="20"/>
          <w:szCs w:val="20"/>
        </w:rPr>
        <w:t>.</w:t>
      </w:r>
      <w:r w:rsidR="00447357" w:rsidRPr="00207748">
        <w:rPr>
          <w:rFonts w:ascii="Cambria" w:eastAsia="Arial" w:hAnsi="Cambria" w:cs="Arial"/>
          <w:sz w:val="20"/>
          <w:szCs w:val="20"/>
          <w:vertAlign w:val="superscript"/>
        </w:rPr>
        <w:endnoteReference w:id="307"/>
      </w:r>
      <w:r w:rsidR="00447357" w:rsidRPr="00207748">
        <w:rPr>
          <w:rFonts w:ascii="Cambria" w:hAnsi="Cambria" w:cs="Arial"/>
          <w:sz w:val="20"/>
          <w:szCs w:val="20"/>
        </w:rPr>
        <w:t xml:space="preserve"> Ein systematisches Review zeigte im Vergleich zu radial-arteriellen Kathetern ein </w:t>
      </w:r>
      <w:r w:rsidR="00447357" w:rsidRPr="00207748">
        <w:rPr>
          <w:rFonts w:ascii="Cambria" w:hAnsi="Cambria" w:cs="Arial"/>
          <w:sz w:val="20"/>
          <w:szCs w:val="20"/>
        </w:rPr>
        <w:lastRenderedPageBreak/>
        <w:t>höheres Infektionsrisiko, wenn femoral-arterielle Katheter genutzt wurden, (RR, 1,93; 95 % CI, 1,32–2,84), und die gepoolte Gesamtinzidenz von Blutkreislaufinfektionen betrug 3,4 pro 1.000 Katheter</w:t>
      </w:r>
      <w:r w:rsidR="00D159AF" w:rsidRPr="00207748">
        <w:rPr>
          <w:rFonts w:ascii="Cambria" w:hAnsi="Cambria" w:cs="Arial"/>
          <w:sz w:val="20"/>
          <w:szCs w:val="20"/>
        </w:rPr>
        <w:t>.</w:t>
      </w:r>
      <w:r w:rsidR="00447357" w:rsidRPr="00207748">
        <w:rPr>
          <w:rFonts w:ascii="Cambria" w:eastAsia="Arial" w:hAnsi="Cambria" w:cs="Arial"/>
          <w:sz w:val="20"/>
          <w:szCs w:val="20"/>
          <w:vertAlign w:val="superscript"/>
        </w:rPr>
        <w:endnoteReference w:id="308"/>
      </w:r>
      <w:r w:rsidR="00447357" w:rsidRPr="00207748">
        <w:rPr>
          <w:rFonts w:ascii="Cambria" w:hAnsi="Cambria" w:cs="Arial"/>
          <w:sz w:val="20"/>
          <w:szCs w:val="20"/>
        </w:rPr>
        <w:t xml:space="preserve"> Es besteht ein Mangel an großen randomisierten Studien, in denen die arterielle Blutdrucküberwachung mit nicht-invasiven Methoden verglichen wird.</w:t>
      </w:r>
    </w:p>
    <w:p w14:paraId="37B8B2D4" w14:textId="77777777" w:rsidR="00E11869" w:rsidRPr="00207748" w:rsidRDefault="00447357" w:rsidP="004454B6">
      <w:pPr>
        <w:rPr>
          <w:rFonts w:ascii="Cambria" w:eastAsia="Arial" w:hAnsi="Cambria" w:cs="Arial"/>
          <w:sz w:val="20"/>
          <w:szCs w:val="20"/>
        </w:rPr>
      </w:pPr>
      <w:r w:rsidRPr="00207748">
        <w:rPr>
          <w:rFonts w:ascii="Cambria" w:hAnsi="Cambria" w:cs="Arial"/>
          <w:sz w:val="20"/>
          <w:szCs w:val="20"/>
        </w:rPr>
        <w:t>In Anbetracht der geringen Komplikationsrate und der wahrscheinlich besseren Schätzung des Blutdrucks, aber auch unter Berücksichtigung der potenziell begrenzten Ressourcen in einigen Ländern und dem Mangel an Studien hoher Qualität überwiegen wahrscheinlich die Vorteile von arteriellen Kathetern die Risiken. Daher sprechen die Mitglieder der SSC-Leitlinie eine schwache Empfehlung zugunsten der Positionierung von arteriellen Kathetern aus. Die arteriellen Katheter sollten entfernt werden, sobald keine hämodynamische Überwachung mehr benötigt wird, um das Komplikationsrisiko zu minimieren.</w:t>
      </w:r>
    </w:p>
    <w:p w14:paraId="43B1306E" w14:textId="77777777" w:rsidR="00E11869" w:rsidRPr="00207748" w:rsidRDefault="00447357" w:rsidP="004454B6">
      <w:pPr>
        <w:rPr>
          <w:rFonts w:ascii="Cambria" w:hAnsi="Cambria" w:cs="Arial"/>
          <w:sz w:val="20"/>
          <w:szCs w:val="20"/>
        </w:rPr>
      </w:pPr>
      <w:r w:rsidRPr="00207748">
        <w:rPr>
          <w:rFonts w:ascii="Cambria" w:hAnsi="Cambria" w:cs="Arial"/>
          <w:sz w:val="20"/>
          <w:szCs w:val="20"/>
        </w:rPr>
        <w:t>Abweichend von der SSC-Leitlinie wurde diese Empfehlung als Experten</w:t>
      </w:r>
      <w:r w:rsidR="00EB3D26" w:rsidRPr="00207748">
        <w:rPr>
          <w:rFonts w:ascii="Cambria" w:hAnsi="Cambria" w:cs="Arial"/>
          <w:sz w:val="20"/>
          <w:szCs w:val="20"/>
        </w:rPr>
        <w:t>k</w:t>
      </w:r>
      <w:r w:rsidRPr="00207748">
        <w:rPr>
          <w:rFonts w:ascii="Cambria" w:hAnsi="Cambria" w:cs="Arial"/>
          <w:sz w:val="20"/>
          <w:szCs w:val="20"/>
        </w:rPr>
        <w:t>onsens beurteilt.</w:t>
      </w:r>
    </w:p>
    <w:p w14:paraId="7F9BB563" w14:textId="77777777" w:rsidR="00E11869" w:rsidRPr="00207748" w:rsidRDefault="00447357" w:rsidP="004454B6">
      <w:pPr>
        <w:rPr>
          <w:rFonts w:ascii="Cambria" w:eastAsia="Arial" w:hAnsi="Cambria" w:cs="Arial"/>
          <w:b/>
          <w:bCs/>
          <w:sz w:val="20"/>
          <w:szCs w:val="20"/>
        </w:rPr>
      </w:pPr>
      <w:r w:rsidRPr="00207748">
        <w:rPr>
          <w:rFonts w:ascii="Cambria" w:hAnsi="Cambria" w:cs="Arial"/>
          <w:b/>
          <w:bCs/>
          <w:sz w:val="20"/>
          <w:szCs w:val="20"/>
        </w:rPr>
        <w:t>Andere vasoaktive Medikamente</w:t>
      </w:r>
    </w:p>
    <w:p w14:paraId="138A9778" w14:textId="77777777" w:rsidR="00E11869" w:rsidRPr="00207748" w:rsidRDefault="00447357" w:rsidP="004454B6">
      <w:pPr>
        <w:rPr>
          <w:rFonts w:ascii="Cambria" w:eastAsia="Arial" w:hAnsi="Cambria" w:cs="Arial"/>
          <w:sz w:val="20"/>
          <w:szCs w:val="20"/>
        </w:rPr>
      </w:pPr>
      <w:r w:rsidRPr="00207748">
        <w:rPr>
          <w:rFonts w:ascii="Cambria" w:hAnsi="Cambria" w:cs="Arial"/>
          <w:sz w:val="20"/>
          <w:szCs w:val="20"/>
        </w:rPr>
        <w:t>Auch alternative inotrope Wirkstoffe können verwendet werden, um das HZV in spezifischen Situationen zu erhöhen. Phosphodiesterase-Inhibitoren führen zu einer Erhöhung des intrazellulären zyklischen AMP und haben somit inotrope Effekte, die unabhängig von den adrenergen Beta-Rezeptoren sind. Der Phosphodiesterase-Inhibitor Milrinon hat nachweislich das HZV in einer kleinen randomisierten Studie an 12 pädiatrischen Patienten erhöht, wobei die Studie in Bezug auf die Ergebnisanalyse nicht über genügend Aussagekraft verfügt</w:t>
      </w:r>
      <w:r w:rsidR="00D159AF" w:rsidRPr="00207748">
        <w:rPr>
          <w:rFonts w:ascii="Cambria" w:hAnsi="Cambria" w:cs="Arial"/>
          <w:sz w:val="20"/>
          <w:szCs w:val="20"/>
        </w:rPr>
        <w:t>.</w:t>
      </w:r>
      <w:r w:rsidRPr="00207748">
        <w:rPr>
          <w:rFonts w:ascii="Cambria" w:eastAsia="Arial" w:hAnsi="Cambria" w:cs="Arial"/>
          <w:sz w:val="20"/>
          <w:szCs w:val="20"/>
          <w:vertAlign w:val="superscript"/>
        </w:rPr>
        <w:endnoteReference w:id="309"/>
      </w:r>
      <w:r w:rsidR="00D159AF" w:rsidRPr="00207748">
        <w:rPr>
          <w:rFonts w:ascii="Cambria" w:hAnsi="Cambria" w:cs="Arial"/>
          <w:sz w:val="20"/>
          <w:szCs w:val="20"/>
        </w:rPr>
        <w:t xml:space="preserve"> </w:t>
      </w:r>
      <w:r w:rsidRPr="00207748">
        <w:rPr>
          <w:rFonts w:ascii="Cambria" w:hAnsi="Cambria" w:cs="Arial"/>
          <w:sz w:val="20"/>
          <w:szCs w:val="20"/>
        </w:rPr>
        <w:t xml:space="preserve">Levosimendan erhöht die Kalzium-Responsivität der kardialen Myozyten und öffnet außerdem die ATP-abhängigen Kalium-Kanäle, was dem Medikament sowohl inotrope als auch vasodilatatorische Eigenschaften verleiht. In Anbetracht der potenziellen Störung der myokardialen Kalzium-Sensitivität bei sepsisinduzierter Kardiomyopathie ist die </w:t>
      </w:r>
      <w:r w:rsidRPr="00207748">
        <w:rPr>
          <w:rFonts w:ascii="Cambria" w:hAnsi="Cambria" w:cs="Arial"/>
          <w:sz w:val="20"/>
          <w:szCs w:val="20"/>
        </w:rPr>
        <w:lastRenderedPageBreak/>
        <w:t>Verwendung von Levosimendan auch bei septischem Schock vorgeschlagen worden.</w:t>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28"/>
        <w:gridCol w:w="824"/>
      </w:tblGrid>
      <w:tr w:rsidR="00E11869" w:rsidRPr="00207748" w14:paraId="77FBB37B"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46E19DDA"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t xml:space="preserve">G. 7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8718411"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15E47225"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2018</w:t>
            </w:r>
          </w:p>
        </w:tc>
      </w:tr>
      <w:tr w:rsidR="00E11869" w:rsidRPr="00207748" w14:paraId="00C3A362" w14:textId="77777777" w:rsidTr="00342FB3">
        <w:trPr>
          <w:trHeight w:val="168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15ED0"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t>Empfehlungsgrad</w:t>
            </w:r>
          </w:p>
          <w:p w14:paraId="313EFF0C" w14:textId="77777777" w:rsidR="00E11869" w:rsidRPr="00207748" w:rsidRDefault="00E11869" w:rsidP="004454B6">
            <w:pPr>
              <w:spacing w:after="0"/>
              <w:rPr>
                <w:rFonts w:ascii="Cambria" w:eastAsia="Arial" w:hAnsi="Cambria" w:cs="Arial"/>
                <w:sz w:val="20"/>
                <w:szCs w:val="20"/>
              </w:rPr>
            </w:pPr>
          </w:p>
          <w:p w14:paraId="58CB2CA6" w14:textId="77777777" w:rsidR="00E11869" w:rsidRPr="00207748" w:rsidRDefault="00447357" w:rsidP="004454B6">
            <w:pPr>
              <w:spacing w:after="0"/>
              <w:rPr>
                <w:rFonts w:ascii="Cambria" w:eastAsia="Arial" w:hAnsi="Cambria" w:cs="Arial"/>
                <w:b/>
                <w:bCs/>
                <w:sz w:val="20"/>
                <w:szCs w:val="20"/>
              </w:rPr>
            </w:pPr>
            <w:r w:rsidRPr="00207748">
              <w:rPr>
                <w:rFonts w:ascii="Cambria" w:hAnsi="Cambria" w:cs="Arial"/>
                <w:b/>
                <w:bCs/>
                <w:sz w:val="20"/>
                <w:szCs w:val="20"/>
              </w:rPr>
              <w:t>stark</w:t>
            </w:r>
          </w:p>
          <w:p w14:paraId="057CCC7A" w14:textId="77777777" w:rsidR="00E11869" w:rsidRPr="00207748" w:rsidRDefault="00E11869" w:rsidP="004454B6">
            <w:pPr>
              <w:spacing w:after="0"/>
              <w:rPr>
                <w:rFonts w:ascii="Cambria" w:eastAsia="Arial" w:hAnsi="Cambria" w:cs="Arial"/>
                <w:sz w:val="20"/>
                <w:szCs w:val="20"/>
              </w:rPr>
            </w:pPr>
          </w:p>
          <w:p w14:paraId="1FBD1494" w14:textId="77777777" w:rsidR="00E11869" w:rsidRPr="00207748" w:rsidRDefault="00447357" w:rsidP="004454B6">
            <w:pPr>
              <w:spacing w:after="0"/>
              <w:rPr>
                <w:rFonts w:ascii="Cambria" w:eastAsia="Arial" w:hAnsi="Cambria" w:cs="Arial"/>
                <w:sz w:val="20"/>
                <w:szCs w:val="20"/>
              </w:rPr>
            </w:pPr>
            <w:r w:rsidRPr="00207748">
              <w:rPr>
                <w:rFonts w:ascii="Cambria" w:hAnsi="Cambria" w:cs="Arial"/>
                <w:sz w:val="20"/>
                <w:szCs w:val="20"/>
              </w:rPr>
              <w:t>Evidenzgrad</w:t>
            </w:r>
          </w:p>
          <w:p w14:paraId="33CB2458" w14:textId="77777777" w:rsidR="00E11869" w:rsidRPr="00207748" w:rsidRDefault="00E11869" w:rsidP="004454B6">
            <w:pPr>
              <w:spacing w:after="0"/>
              <w:rPr>
                <w:rFonts w:ascii="Cambria" w:eastAsia="Arial" w:hAnsi="Cambria" w:cs="Arial"/>
                <w:sz w:val="20"/>
                <w:szCs w:val="20"/>
              </w:rPr>
            </w:pPr>
          </w:p>
          <w:p w14:paraId="133E0EC0"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hoch</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899DD" w14:textId="1D33BF26" w:rsidR="00E11869" w:rsidRPr="00207748" w:rsidRDefault="00447357" w:rsidP="004454B6">
            <w:pPr>
              <w:spacing w:after="0"/>
              <w:rPr>
                <w:rFonts w:ascii="Cambria" w:hAnsi="Cambria" w:cs="Arial"/>
                <w:sz w:val="20"/>
                <w:szCs w:val="20"/>
              </w:rPr>
            </w:pPr>
            <w:r w:rsidRPr="00207748">
              <w:rPr>
                <w:rFonts w:ascii="Cambria" w:hAnsi="Cambria" w:cs="Arial"/>
                <w:b/>
                <w:bCs/>
                <w:spacing w:val="-3"/>
                <w:sz w:val="20"/>
                <w:szCs w:val="20"/>
              </w:rPr>
              <w:t>Wir empfehlen, Levosimendan</w:t>
            </w:r>
            <w:r w:rsidR="002B1061">
              <w:rPr>
                <w:rFonts w:ascii="Cambria" w:hAnsi="Cambria" w:cs="Arial"/>
                <w:b/>
                <w:bCs/>
                <w:spacing w:val="-3"/>
                <w:sz w:val="20"/>
                <w:szCs w:val="20"/>
              </w:rPr>
              <w:t xml:space="preserve"> </w:t>
            </w:r>
            <w:r w:rsidRPr="00207748">
              <w:rPr>
                <w:rFonts w:ascii="Cambria" w:hAnsi="Cambria" w:cs="Arial"/>
                <w:b/>
                <w:bCs/>
                <w:sz w:val="20"/>
                <w:szCs w:val="20"/>
              </w:rPr>
              <w:t xml:space="preserve">zur hämodynamischen Stabilisierung bei septischen Patienten </w:t>
            </w:r>
            <w:r w:rsidR="003B1537" w:rsidRPr="00207748">
              <w:rPr>
                <w:rFonts w:ascii="Cambria" w:hAnsi="Cambria" w:cs="Arial"/>
                <w:b/>
                <w:bCs/>
                <w:sz w:val="20"/>
                <w:szCs w:val="20"/>
              </w:rPr>
              <w:t>NICHT</w:t>
            </w:r>
            <w:r w:rsidRPr="00207748">
              <w:rPr>
                <w:rFonts w:ascii="Cambria" w:hAnsi="Cambria" w:cs="Arial"/>
                <w:b/>
                <w:bCs/>
                <w:sz w:val="20"/>
                <w:szCs w:val="20"/>
              </w:rPr>
              <w:t xml:space="preserve"> anzuwenden</w:t>
            </w:r>
          </w:p>
        </w:tc>
      </w:tr>
      <w:tr w:rsidR="00E11869" w:rsidRPr="00207748" w14:paraId="452914FC" w14:textId="77777777" w:rsidTr="00342FB3">
        <w:trPr>
          <w:trHeight w:val="56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6C5F8FE2"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FD487" w14:textId="77777777" w:rsidR="00E11869" w:rsidRPr="00207748" w:rsidRDefault="00447357" w:rsidP="004454B6">
            <w:pPr>
              <w:spacing w:after="0"/>
              <w:rPr>
                <w:rFonts w:ascii="Cambria" w:hAnsi="Cambria" w:cs="Arial"/>
                <w:sz w:val="20"/>
                <w:szCs w:val="20"/>
              </w:rPr>
            </w:pPr>
            <w:r w:rsidRPr="00207748">
              <w:rPr>
                <w:rFonts w:ascii="Cambria" w:hAnsi="Cambria" w:cs="Arial"/>
                <w:b/>
                <w:bCs/>
                <w:sz w:val="20"/>
                <w:szCs w:val="20"/>
              </w:rPr>
              <w:t>Zusätzliche DSG-Leitlinienempfehlung</w:t>
            </w:r>
          </w:p>
        </w:tc>
      </w:tr>
      <w:tr w:rsidR="00E11869" w:rsidRPr="00207748" w14:paraId="3A30FD79" w14:textId="77777777" w:rsidTr="00342FB3">
        <w:trPr>
          <w:trHeight w:val="56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6EE7F"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86E02" w14:textId="77777777" w:rsidR="00E11869" w:rsidRPr="00207748" w:rsidRDefault="00447357" w:rsidP="004454B6">
            <w:pPr>
              <w:spacing w:after="0"/>
              <w:rPr>
                <w:rFonts w:ascii="Cambria" w:hAnsi="Cambria" w:cs="Arial"/>
                <w:sz w:val="20"/>
                <w:szCs w:val="20"/>
              </w:rPr>
            </w:pPr>
            <w:r w:rsidRPr="00207748">
              <w:rPr>
                <w:rFonts w:ascii="Cambria" w:hAnsi="Cambria" w:cs="Arial"/>
                <w:sz w:val="20"/>
                <w:szCs w:val="20"/>
              </w:rPr>
              <w:t>Konsensstärke: 100 %</w:t>
            </w:r>
            <w:r w:rsidR="00D159AF" w:rsidRPr="00207748">
              <w:rPr>
                <w:rFonts w:ascii="Cambria" w:hAnsi="Cambria" w:cs="Arial"/>
                <w:sz w:val="20"/>
                <w:szCs w:val="20"/>
              </w:rPr>
              <w:t xml:space="preserve">; </w:t>
            </w:r>
          </w:p>
        </w:tc>
      </w:tr>
    </w:tbl>
    <w:p w14:paraId="14ABF96A" w14:textId="77777777" w:rsidR="006B2B71" w:rsidRDefault="006B2B71" w:rsidP="004454B6">
      <w:pPr>
        <w:rPr>
          <w:rFonts w:ascii="Cambria" w:hAnsi="Cambria" w:cs="Arial"/>
          <w:b/>
          <w:bCs/>
          <w:sz w:val="20"/>
          <w:szCs w:val="20"/>
        </w:rPr>
      </w:pPr>
    </w:p>
    <w:p w14:paraId="0478CE06" w14:textId="44E15CA5" w:rsidR="00E11869" w:rsidRPr="00207748" w:rsidRDefault="00342FB3" w:rsidP="004454B6">
      <w:pPr>
        <w:rPr>
          <w:rStyle w:val="Ohne"/>
          <w:rFonts w:ascii="Cambria" w:eastAsia="Arial" w:hAnsi="Cambria" w:cs="Arial"/>
          <w:sz w:val="20"/>
          <w:szCs w:val="20"/>
        </w:rPr>
      </w:pPr>
      <w:r w:rsidRPr="00207748">
        <w:rPr>
          <w:rFonts w:ascii="Cambria" w:hAnsi="Cambria" w:cs="Arial"/>
          <w:b/>
          <w:bCs/>
          <w:sz w:val="20"/>
          <w:szCs w:val="20"/>
        </w:rPr>
        <w:t>Begründung</w:t>
      </w:r>
      <w:r w:rsidR="00420A45" w:rsidRPr="00207748">
        <w:rPr>
          <w:rFonts w:ascii="Cambria" w:hAnsi="Cambria" w:cs="Arial"/>
          <w:b/>
          <w:bCs/>
          <w:sz w:val="20"/>
          <w:szCs w:val="20"/>
        </w:rPr>
        <w:t>:</w:t>
      </w:r>
      <w:r w:rsidR="00447357" w:rsidRPr="00207748">
        <w:rPr>
          <w:rFonts w:ascii="Cambria" w:hAnsi="Cambria" w:cs="Arial"/>
          <w:b/>
          <w:bCs/>
          <w:sz w:val="20"/>
          <w:szCs w:val="20"/>
        </w:rPr>
        <w:t xml:space="preserve"> </w:t>
      </w:r>
      <w:r w:rsidR="00447357" w:rsidRPr="00207748">
        <w:rPr>
          <w:rFonts w:ascii="Cambria" w:hAnsi="Cambria" w:cs="Arial"/>
          <w:sz w:val="20"/>
          <w:szCs w:val="20"/>
        </w:rPr>
        <w:t>In einer Studie an 35 Patienten mit septischem Schock und akutem Atemnotsyndrom (ARDS), die randomisiert der Behandlung mit Levosimendan oder einem Placebo zugeordnet wurden, verbesserte Levosimendan die rechtsventrikuläre Leistung und die gemischtvenöse Sauerstoffsättigung im Vergleich zum Placebo</w:t>
      </w:r>
      <w:r w:rsidR="00D159AF" w:rsidRPr="00207748">
        <w:rPr>
          <w:rFonts w:ascii="Cambria" w:hAnsi="Cambria" w:cs="Arial"/>
          <w:sz w:val="20"/>
          <w:szCs w:val="20"/>
        </w:rPr>
        <w:t>.</w:t>
      </w:r>
      <w:r w:rsidR="00447357" w:rsidRPr="00207748">
        <w:rPr>
          <w:rFonts w:ascii="Cambria" w:eastAsia="Arial" w:hAnsi="Cambria" w:cs="Arial"/>
          <w:sz w:val="20"/>
          <w:szCs w:val="20"/>
          <w:vertAlign w:val="superscript"/>
        </w:rPr>
        <w:endnoteReference w:id="310"/>
      </w:r>
      <w:r w:rsidR="00447357" w:rsidRPr="00207748">
        <w:rPr>
          <w:rFonts w:ascii="Cambria" w:hAnsi="Cambria" w:cs="Arial"/>
          <w:sz w:val="20"/>
          <w:szCs w:val="20"/>
        </w:rPr>
        <w:t xml:space="preserve"> Es sind nur wenige Studien zum Vergleich von Levosimendan mit Dobutamin vorhanden, die allerdings keinen eindeutigen Vorteil in Bezug auf Levosimendan demonstrieren</w:t>
      </w:r>
      <w:r w:rsidR="00D159AF" w:rsidRPr="00207748">
        <w:rPr>
          <w:rFonts w:ascii="Cambria" w:hAnsi="Cambria" w:cs="Arial"/>
          <w:sz w:val="20"/>
          <w:szCs w:val="20"/>
        </w:rPr>
        <w:t>.</w:t>
      </w:r>
      <w:r w:rsidR="00447357" w:rsidRPr="00207748">
        <w:rPr>
          <w:rFonts w:ascii="Cambria" w:eastAsia="Arial" w:hAnsi="Cambria" w:cs="Arial"/>
          <w:sz w:val="20"/>
          <w:szCs w:val="20"/>
          <w:vertAlign w:val="superscript"/>
        </w:rPr>
        <w:endnoteReference w:id="311"/>
      </w:r>
      <w:r w:rsidR="00447357" w:rsidRPr="00207748">
        <w:rPr>
          <w:rFonts w:ascii="Cambria" w:hAnsi="Cambria" w:cs="Arial"/>
          <w:sz w:val="20"/>
          <w:szCs w:val="20"/>
        </w:rPr>
        <w:t xml:space="preserve"> Levosimendan ist teurer als Dobutamin und in vielen Teilen der Welt nicht verfügbar. Sechs kleine RCTs (mit insgesamt 116 Patienten) verglichen Levosimendan mit Dobutamin; wobei die gepoolten Schätzungen keinen signifikanten Effekt auf die Mortalität zeigten (RR, 0,83; 95 % CI, 0,66–1,05; niedrige Evidenzqualität)</w:t>
      </w:r>
      <w:r w:rsidR="003B1537" w:rsidRPr="00207748">
        <w:rPr>
          <w:rFonts w:ascii="Cambria" w:hAnsi="Cambria" w:cs="Arial"/>
          <w:sz w:val="20"/>
          <w:szCs w:val="20"/>
        </w:rPr>
        <w:t>.</w:t>
      </w:r>
      <w:r w:rsidR="00447357" w:rsidRPr="00207748">
        <w:rPr>
          <w:rFonts w:ascii="Cambria" w:hAnsi="Cambria" w:cs="Arial"/>
          <w:sz w:val="20"/>
          <w:szCs w:val="20"/>
        </w:rPr>
        <w:t xml:space="preserve"> Angesicht der verfügbaren Evidenz niedriger Qualität und der höheren Kosten, die mit Levosimendan verbunden sind, bleibt Dobutamin das bevorzugte Medikament für diese Population. In einer RCT, in der 516 Patienten mit septischem Schock randomisiert entweder der Behandlung mit Levosimendan oder einem Placebo zugeordnet wurden, zeigte sich kein Unterschied in Bezug auf die Mortalität. Levosimendan führte jedoch zu einem signifikant erhöhten Risiko einer supraventrikulären Tachyarrhythmie im Vergleich zum Placebo (absoluter Unterschied, 2,7 %; 95 % CI, 0,1 %–5,3 %)</w:t>
      </w:r>
      <w:r w:rsidR="00D159AF" w:rsidRPr="00207748">
        <w:rPr>
          <w:rFonts w:ascii="Cambria" w:hAnsi="Cambria" w:cs="Arial"/>
          <w:sz w:val="20"/>
          <w:szCs w:val="20"/>
        </w:rPr>
        <w:t>.</w:t>
      </w:r>
      <w:r w:rsidR="00447357" w:rsidRPr="00207748">
        <w:rPr>
          <w:rFonts w:ascii="Cambria" w:eastAsia="Arial" w:hAnsi="Cambria" w:cs="Arial"/>
          <w:sz w:val="20"/>
          <w:szCs w:val="20"/>
          <w:vertAlign w:val="superscript"/>
        </w:rPr>
        <w:endnoteReference w:id="312"/>
      </w:r>
      <w:r w:rsidR="00447357" w:rsidRPr="00207748">
        <w:rPr>
          <w:rFonts w:ascii="Cambria" w:hAnsi="Cambria" w:cs="Arial"/>
          <w:sz w:val="20"/>
          <w:szCs w:val="20"/>
        </w:rPr>
        <w:t xml:space="preserve"> Die Ergebnisse </w:t>
      </w:r>
      <w:r w:rsidR="00447357" w:rsidRPr="00207748">
        <w:rPr>
          <w:rFonts w:ascii="Cambria" w:hAnsi="Cambria" w:cs="Arial"/>
          <w:sz w:val="20"/>
          <w:szCs w:val="20"/>
        </w:rPr>
        <w:lastRenderedPageBreak/>
        <w:t>dieser Studie stellen die systematische Verwendung dieses Wirkstoffs bei Patienten mit septischem Schock in Frage. Zu beachten ist, dass die Herzfunktion in dieser Studie nicht beurteilt wurde, und dass Patienten mit einem infolge einer Beeinträchtigung der Herzfunktion erniedrigtem HZV von der inotropen Stimulation profitieren könnten.</w:t>
      </w:r>
      <w:r w:rsidR="000D5D0F" w:rsidRPr="00207748" w:rsidDel="000D5D0F">
        <w:rPr>
          <w:rFonts w:ascii="Cambria" w:eastAsia="Arial" w:hAnsi="Cambria" w:cs="Arial"/>
          <w:sz w:val="20"/>
          <w:szCs w:val="20"/>
        </w:rPr>
        <w:t xml:space="preserve"> </w:t>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762"/>
        <w:gridCol w:w="1659"/>
        <w:gridCol w:w="804"/>
      </w:tblGrid>
      <w:tr w:rsidR="00E11869" w:rsidRPr="00207748" w14:paraId="2B956D12"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29845F19" w14:textId="77777777" w:rsidR="00E11869" w:rsidRPr="00207748" w:rsidRDefault="00447357" w:rsidP="008B1A6E">
            <w:pPr>
              <w:spacing w:after="0"/>
              <w:rPr>
                <w:rFonts w:ascii="Cambria" w:hAnsi="Cambria" w:cs="Arial"/>
                <w:b/>
                <w:bCs/>
                <w:sz w:val="20"/>
                <w:szCs w:val="20"/>
              </w:rPr>
            </w:pPr>
            <w:r w:rsidRPr="00207748">
              <w:rPr>
                <w:rFonts w:ascii="Cambria" w:hAnsi="Cambria"/>
                <w:b/>
                <w:sz w:val="20"/>
                <w:szCs w:val="20"/>
              </w:rPr>
              <w:t>G. 8</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6410E48" w14:textId="77777777" w:rsidR="00E11869" w:rsidRPr="00207748" w:rsidRDefault="00447357" w:rsidP="004454B6">
            <w:pPr>
              <w:spacing w:after="0"/>
              <w:rPr>
                <w:rFonts w:ascii="Cambria" w:hAnsi="Cambria" w:cs="Arial"/>
                <w:b/>
                <w:bCs/>
                <w:sz w:val="20"/>
                <w:szCs w:val="20"/>
              </w:rPr>
            </w:pPr>
            <w:r w:rsidRPr="00207748">
              <w:rPr>
                <w:rFonts w:ascii="Cambria" w:hAnsi="Cambria"/>
                <w:b/>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18CDD5F2" w14:textId="77777777" w:rsidR="00E11869" w:rsidRPr="00207748" w:rsidRDefault="00447357" w:rsidP="004454B6">
            <w:pPr>
              <w:spacing w:after="0"/>
              <w:rPr>
                <w:rFonts w:ascii="Cambria" w:hAnsi="Cambria" w:cs="Arial"/>
                <w:b/>
                <w:bCs/>
                <w:sz w:val="20"/>
                <w:szCs w:val="20"/>
              </w:rPr>
            </w:pPr>
            <w:r w:rsidRPr="00207748">
              <w:rPr>
                <w:rFonts w:ascii="Cambria" w:hAnsi="Cambria"/>
                <w:b/>
                <w:sz w:val="20"/>
                <w:szCs w:val="20"/>
              </w:rPr>
              <w:t>2018</w:t>
            </w:r>
          </w:p>
        </w:tc>
      </w:tr>
      <w:tr w:rsidR="00E11869" w:rsidRPr="00207748" w14:paraId="75D88D84" w14:textId="77777777" w:rsidTr="00342FB3">
        <w:trPr>
          <w:trHeight w:val="196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86224F"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Expertenkonsens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EF137"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pacing w:val="-3"/>
                <w:sz w:val="20"/>
                <w:szCs w:val="20"/>
              </w:rPr>
              <w:t>Bezüglich der Behandlung von tachykarden Rhythmusstörungen können ß-1 Selektive Betablocker erwogen werden</w:t>
            </w:r>
            <w:r w:rsidR="00B20D2B" w:rsidRPr="00207748">
              <w:rPr>
                <w:rStyle w:val="Ohne"/>
                <w:rFonts w:ascii="Cambria" w:hAnsi="Cambria" w:cs="Arial"/>
                <w:b/>
                <w:bCs/>
                <w:spacing w:val="-3"/>
                <w:sz w:val="20"/>
                <w:szCs w:val="20"/>
              </w:rPr>
              <w:t>.</w:t>
            </w:r>
            <w:r w:rsidRPr="00207748">
              <w:rPr>
                <w:rStyle w:val="Ohne"/>
                <w:rFonts w:ascii="Cambria" w:hAnsi="Cambria" w:cs="Arial"/>
                <w:b/>
                <w:bCs/>
                <w:spacing w:val="-3"/>
                <w:sz w:val="20"/>
                <w:szCs w:val="20"/>
              </w:rPr>
              <w:t xml:space="preserve"> </w:t>
            </w:r>
          </w:p>
        </w:tc>
      </w:tr>
      <w:tr w:rsidR="00E11869" w:rsidRPr="00207748" w14:paraId="138FF484" w14:textId="77777777" w:rsidTr="00342FB3">
        <w:trPr>
          <w:trHeight w:val="56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0FB9E62F"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05BD5"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Zusätzliche DSG-Leitlinienempfehlung</w:t>
            </w:r>
          </w:p>
        </w:tc>
      </w:tr>
      <w:tr w:rsidR="00E11869" w:rsidRPr="00207748" w14:paraId="2D6B2816"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42247"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3CBB7"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Konsensstärke: 100 %</w:t>
            </w:r>
          </w:p>
        </w:tc>
      </w:tr>
    </w:tbl>
    <w:p w14:paraId="02EDB088" w14:textId="77777777" w:rsidR="000D5D0F" w:rsidRPr="006B2B71" w:rsidRDefault="00342FB3" w:rsidP="00BF7786">
      <w:pPr>
        <w:spacing w:before="240"/>
        <w:rPr>
          <w:rStyle w:val="EndnoteRealZchn"/>
        </w:rPr>
      </w:pPr>
      <w:r w:rsidRPr="00207748">
        <w:rPr>
          <w:rStyle w:val="Ohne"/>
          <w:rFonts w:ascii="Cambria" w:hAnsi="Cambria" w:cs="Arial"/>
          <w:b/>
          <w:bCs/>
          <w:sz w:val="20"/>
          <w:szCs w:val="20"/>
        </w:rPr>
        <w:t>Begründung</w:t>
      </w:r>
      <w:r w:rsidR="00420A45" w:rsidRPr="00207748">
        <w:rPr>
          <w:rStyle w:val="Ohne"/>
          <w:rFonts w:ascii="Cambria" w:hAnsi="Cambria" w:cs="Arial"/>
          <w:b/>
          <w:bCs/>
          <w:sz w:val="20"/>
          <w:szCs w:val="20"/>
        </w:rPr>
        <w:t>:</w:t>
      </w:r>
      <w:r w:rsidR="00447357" w:rsidRPr="00207748">
        <w:rPr>
          <w:rStyle w:val="Ohne"/>
          <w:rFonts w:ascii="Cambria" w:hAnsi="Cambria" w:cs="Arial"/>
          <w:b/>
          <w:bCs/>
          <w:sz w:val="20"/>
          <w:szCs w:val="20"/>
        </w:rPr>
        <w:t xml:space="preserve"> </w:t>
      </w:r>
      <w:r w:rsidR="000D5D0F" w:rsidRPr="00207748">
        <w:rPr>
          <w:rFonts w:ascii="Cambria" w:hAnsi="Cambria" w:cs="Arial"/>
          <w:sz w:val="20"/>
          <w:szCs w:val="20"/>
        </w:rPr>
        <w:t xml:space="preserve">Sepsis und septischer Schock sind unter anderem durch eine exzessive adrenerge Stimulation charakterisiert, die zu Tachykardie, Rhythmusstörungen sowie zu systolischen und diastolischen Funktionsstörungen des Myokards führen können, die mit einer erhöhten Mortalität assoziiert sind. </w:t>
      </w:r>
      <w:r w:rsidR="000D5D0F" w:rsidRPr="006B2B71">
        <w:rPr>
          <w:rStyle w:val="EndnoteRealZchn"/>
        </w:rPr>
        <w:endnoteReference w:id="313"/>
      </w:r>
      <w:r w:rsidR="000D5D0F" w:rsidRPr="006B2B71">
        <w:rPr>
          <w:rStyle w:val="EndnoteRealZchn"/>
        </w:rPr>
        <w:t xml:space="preserve"> </w:t>
      </w:r>
      <w:r w:rsidR="000D5D0F" w:rsidRPr="006B2B71">
        <w:rPr>
          <w:rStyle w:val="EndnoteRealZchn"/>
        </w:rPr>
        <w:endnoteReference w:id="314"/>
      </w:r>
      <w:r w:rsidR="000D5D0F" w:rsidRPr="00207748">
        <w:rPr>
          <w:rFonts w:ascii="Cambria" w:hAnsi="Cambria"/>
          <w:sz w:val="20"/>
          <w:szCs w:val="20"/>
        </w:rPr>
        <w:t xml:space="preserve"> Eine Applikation von ß-Blockern könnte theoretisch der adrenergen Stimulation entgegenwirken und die Herzfunktion optimieren (Senkung des myokardialen Sauerstoffbedarfs, Reduktion der Tachykardie, verbesserte diastolische Füllung / Relaxation, Antiarrhythmitizität). Darüber hinaus gibt es Hinweise, dass ß-Blocker als Modulatoren des Immunsystems eine wichtige Rolle spielen könnten</w:t>
      </w:r>
      <w:r w:rsidR="000D5D0F" w:rsidRPr="006B2B71">
        <w:rPr>
          <w:rStyle w:val="EndnoteRealZchn"/>
        </w:rPr>
        <w:t>.</w:t>
      </w:r>
      <w:r w:rsidR="000D5D0F" w:rsidRPr="006B2B71">
        <w:rPr>
          <w:rStyle w:val="EndnoteRealZchn"/>
        </w:rPr>
        <w:endnoteReference w:id="315"/>
      </w:r>
    </w:p>
    <w:p w14:paraId="739A1164" w14:textId="77777777" w:rsidR="00E11869" w:rsidRPr="00207748" w:rsidRDefault="00447357" w:rsidP="004454B6">
      <w:pPr>
        <w:spacing w:before="240"/>
        <w:rPr>
          <w:rFonts w:ascii="Cambria" w:hAnsi="Cambria"/>
          <w:sz w:val="20"/>
          <w:szCs w:val="20"/>
        </w:rPr>
      </w:pPr>
      <w:r w:rsidRPr="00207748">
        <w:rPr>
          <w:rFonts w:ascii="Cambria" w:hAnsi="Cambria"/>
          <w:sz w:val="20"/>
          <w:szCs w:val="20"/>
        </w:rPr>
        <w:t xml:space="preserve">ß-Blocker werden bei Patienten mit Herzinsuffizienz und koronarer Herzkrankheit zur Verbesserung der myokardialen Funktion und zur Senkung des Reinfarktrisikos erfolgreich eingesetzt. Darüber hinaus können ß-Blocker über eine Senkung der Herzfrequenz den myokardialen Sauerstoffbedarf senken. Aus diesen Überlegungen heraus kann der Einsatz von ß-1 selektiven Betablockern bei </w:t>
      </w:r>
      <w:r w:rsidRPr="00207748">
        <w:rPr>
          <w:rFonts w:ascii="Cambria" w:hAnsi="Cambria"/>
          <w:sz w:val="20"/>
          <w:szCs w:val="20"/>
        </w:rPr>
        <w:lastRenderedPageBreak/>
        <w:t>tachykarden Rhythmusstörungen auch in der Sepsis von Vorteil sein. Die Anwendung sollte unter entsprechendem hämodynamischem Monitoring titriert erfolgen</w:t>
      </w:r>
      <w:r w:rsidRPr="006B2B71">
        <w:rPr>
          <w:rStyle w:val="EndnoteRealZchn"/>
        </w:rPr>
        <w:t>.</w:t>
      </w:r>
      <w:r w:rsidRPr="006B2B71">
        <w:rPr>
          <w:rStyle w:val="EndnoteRealZchn"/>
        </w:rPr>
        <w:endnoteReference w:id="316"/>
      </w:r>
      <w:r w:rsidRPr="006B2B71">
        <w:rPr>
          <w:rStyle w:val="EndnoteRealZchn"/>
        </w:rPr>
        <w:t xml:space="preserve"> </w:t>
      </w:r>
      <w:r w:rsidRPr="006B2B71">
        <w:rPr>
          <w:rStyle w:val="EndnoteRealZchn"/>
        </w:rPr>
        <w:endnoteReference w:id="317"/>
      </w:r>
      <w:r w:rsidRPr="006B2B71">
        <w:rPr>
          <w:rStyle w:val="EndnoteRealZchn"/>
        </w:rPr>
        <w:t xml:space="preserve"> </w:t>
      </w:r>
      <w:r w:rsidRPr="006B2B71">
        <w:rPr>
          <w:rStyle w:val="EndnoteRealZchn"/>
        </w:rPr>
        <w:endnoteReference w:id="318"/>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28"/>
        <w:gridCol w:w="824"/>
      </w:tblGrid>
      <w:tr w:rsidR="00E11869" w:rsidRPr="00207748" w14:paraId="47A99422"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789A2E2D" w14:textId="77777777" w:rsidR="00E11869" w:rsidRPr="00207748" w:rsidRDefault="00447357" w:rsidP="008B1A6E">
            <w:pPr>
              <w:spacing w:after="0"/>
              <w:rPr>
                <w:rFonts w:ascii="Cambria" w:hAnsi="Cambria"/>
                <w:b/>
                <w:sz w:val="20"/>
                <w:szCs w:val="20"/>
              </w:rPr>
            </w:pPr>
            <w:r w:rsidRPr="00207748">
              <w:rPr>
                <w:rFonts w:ascii="Cambria" w:hAnsi="Cambria"/>
                <w:b/>
                <w:sz w:val="20"/>
                <w:szCs w:val="20"/>
              </w:rPr>
              <w:t>G. 9</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4DEA6710" w14:textId="77777777" w:rsidR="00E11869" w:rsidRPr="00207748" w:rsidRDefault="00447357" w:rsidP="004454B6">
            <w:pPr>
              <w:spacing w:after="0"/>
              <w:rPr>
                <w:rFonts w:ascii="Cambria" w:hAnsi="Cambria"/>
                <w:b/>
                <w:sz w:val="20"/>
                <w:szCs w:val="20"/>
              </w:rPr>
            </w:pPr>
            <w:r w:rsidRPr="00207748">
              <w:rPr>
                <w:rFonts w:ascii="Cambria" w:hAnsi="Cambria"/>
                <w:b/>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3480AE40" w14:textId="77777777" w:rsidR="00E11869" w:rsidRPr="00207748" w:rsidRDefault="00447357" w:rsidP="004454B6">
            <w:pPr>
              <w:spacing w:after="0"/>
              <w:rPr>
                <w:rFonts w:ascii="Cambria" w:hAnsi="Cambria"/>
                <w:b/>
                <w:sz w:val="20"/>
                <w:szCs w:val="20"/>
              </w:rPr>
            </w:pPr>
            <w:r w:rsidRPr="00207748">
              <w:rPr>
                <w:rFonts w:ascii="Cambria" w:hAnsi="Cambria"/>
                <w:b/>
                <w:sz w:val="20"/>
                <w:szCs w:val="20"/>
              </w:rPr>
              <w:t>2018</w:t>
            </w:r>
          </w:p>
        </w:tc>
      </w:tr>
      <w:tr w:rsidR="00E11869" w:rsidRPr="00207748" w14:paraId="643321AE" w14:textId="77777777" w:rsidTr="00342FB3">
        <w:trPr>
          <w:trHeight w:val="196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4AFBF"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Empfehlungsgrad</w:t>
            </w:r>
          </w:p>
          <w:p w14:paraId="7BF71297" w14:textId="77777777" w:rsidR="00E11869" w:rsidRPr="00207748" w:rsidRDefault="00E11869" w:rsidP="004454B6">
            <w:pPr>
              <w:spacing w:after="0"/>
              <w:rPr>
                <w:rStyle w:val="Ohne"/>
                <w:rFonts w:ascii="Cambria" w:eastAsia="Arial" w:hAnsi="Cambria" w:cs="Arial"/>
                <w:sz w:val="20"/>
                <w:szCs w:val="20"/>
              </w:rPr>
            </w:pPr>
          </w:p>
          <w:p w14:paraId="509133C0" w14:textId="77777777" w:rsidR="00E11869" w:rsidRPr="00207748" w:rsidRDefault="00447357" w:rsidP="004454B6">
            <w:pPr>
              <w:spacing w:after="0"/>
              <w:rPr>
                <w:rStyle w:val="Ohne"/>
                <w:rFonts w:ascii="Cambria" w:eastAsia="Arial" w:hAnsi="Cambria" w:cs="Arial"/>
                <w:b/>
                <w:bCs/>
                <w:sz w:val="20"/>
                <w:szCs w:val="20"/>
              </w:rPr>
            </w:pPr>
            <w:r w:rsidRPr="00207748">
              <w:rPr>
                <w:rStyle w:val="Ohne"/>
                <w:rFonts w:ascii="Cambria" w:hAnsi="Cambria" w:cs="Arial"/>
                <w:b/>
                <w:bCs/>
                <w:sz w:val="20"/>
                <w:szCs w:val="20"/>
              </w:rPr>
              <w:t>schwach</w:t>
            </w:r>
          </w:p>
          <w:p w14:paraId="6D7B2131" w14:textId="77777777" w:rsidR="00E11869" w:rsidRPr="00207748" w:rsidRDefault="00E11869" w:rsidP="004454B6">
            <w:pPr>
              <w:spacing w:after="0"/>
              <w:rPr>
                <w:rStyle w:val="Ohne"/>
                <w:rFonts w:ascii="Cambria" w:eastAsia="Arial" w:hAnsi="Cambria" w:cs="Arial"/>
                <w:sz w:val="20"/>
                <w:szCs w:val="20"/>
              </w:rPr>
            </w:pPr>
          </w:p>
          <w:p w14:paraId="27B549D7"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Evidenzgrad</w:t>
            </w:r>
          </w:p>
          <w:p w14:paraId="70DE8C74" w14:textId="77777777" w:rsidR="00E11869" w:rsidRPr="00207748" w:rsidRDefault="00E11869" w:rsidP="004454B6">
            <w:pPr>
              <w:spacing w:after="0"/>
              <w:rPr>
                <w:rStyle w:val="Ohne"/>
                <w:rFonts w:ascii="Cambria" w:eastAsia="Arial" w:hAnsi="Cambria" w:cs="Arial"/>
                <w:sz w:val="20"/>
                <w:szCs w:val="20"/>
              </w:rPr>
            </w:pPr>
          </w:p>
          <w:p w14:paraId="24BF25B2"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niedrig</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15D256"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pacing w:val="-3"/>
                <w:sz w:val="20"/>
                <w:szCs w:val="20"/>
              </w:rPr>
              <w:t xml:space="preserve">Der routinemäßige Einsatz von ß-Blockern zur hämodynamischen Stabiliserung bei septischen Patienten wird </w:t>
            </w:r>
            <w:r w:rsidR="00EA4023" w:rsidRPr="00207748">
              <w:rPr>
                <w:rStyle w:val="Ohne"/>
                <w:rFonts w:ascii="Cambria" w:hAnsi="Cambria" w:cs="Arial"/>
                <w:b/>
                <w:bCs/>
                <w:spacing w:val="-3"/>
                <w:sz w:val="20"/>
                <w:szCs w:val="20"/>
              </w:rPr>
              <w:t xml:space="preserve">NICHT </w:t>
            </w:r>
            <w:r w:rsidRPr="00207748">
              <w:rPr>
                <w:rStyle w:val="Ohne"/>
                <w:rFonts w:ascii="Cambria" w:hAnsi="Cambria" w:cs="Arial"/>
                <w:b/>
                <w:bCs/>
                <w:spacing w:val="-3"/>
                <w:sz w:val="20"/>
                <w:szCs w:val="20"/>
              </w:rPr>
              <w:t>empfohlen</w:t>
            </w:r>
            <w:r w:rsidR="00B20D2B" w:rsidRPr="00207748">
              <w:rPr>
                <w:rStyle w:val="Ohne"/>
                <w:rFonts w:ascii="Cambria" w:hAnsi="Cambria" w:cs="Arial"/>
                <w:b/>
                <w:bCs/>
                <w:spacing w:val="-3"/>
                <w:sz w:val="20"/>
                <w:szCs w:val="20"/>
              </w:rPr>
              <w:t>.</w:t>
            </w:r>
          </w:p>
        </w:tc>
      </w:tr>
      <w:tr w:rsidR="00E11869" w:rsidRPr="00207748" w14:paraId="0DD6FEFF" w14:textId="77777777" w:rsidTr="00342FB3">
        <w:trPr>
          <w:trHeight w:val="56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189FF465"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6F748C"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Zusätzliche DSG-Leitlinienempfehlung</w:t>
            </w:r>
          </w:p>
        </w:tc>
      </w:tr>
      <w:tr w:rsidR="00E11869" w:rsidRPr="00207748" w14:paraId="023F4022"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131D7"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1B73C"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Konsensstärke: 100 %</w:t>
            </w:r>
          </w:p>
        </w:tc>
      </w:tr>
    </w:tbl>
    <w:p w14:paraId="4F8C08D4" w14:textId="6884DC3B" w:rsidR="00E11869" w:rsidRPr="00207748" w:rsidRDefault="00342FB3" w:rsidP="004454B6">
      <w:pPr>
        <w:spacing w:before="240"/>
        <w:rPr>
          <w:rFonts w:ascii="Cambria" w:hAnsi="Cambria"/>
          <w:sz w:val="20"/>
          <w:szCs w:val="20"/>
        </w:rPr>
      </w:pPr>
      <w:r w:rsidRPr="00207748">
        <w:rPr>
          <w:rStyle w:val="Ohne"/>
          <w:rFonts w:ascii="Cambria" w:hAnsi="Cambria" w:cs="Arial"/>
          <w:b/>
          <w:bCs/>
          <w:sz w:val="20"/>
          <w:szCs w:val="20"/>
        </w:rPr>
        <w:t>Begründung</w:t>
      </w:r>
      <w:r w:rsidR="00420A45" w:rsidRPr="00207748">
        <w:rPr>
          <w:rStyle w:val="Ohne"/>
          <w:rFonts w:ascii="Cambria" w:hAnsi="Cambria" w:cs="Arial"/>
          <w:b/>
          <w:bCs/>
          <w:sz w:val="20"/>
          <w:szCs w:val="20"/>
        </w:rPr>
        <w:t>:</w:t>
      </w:r>
      <w:r w:rsidR="00447357" w:rsidRPr="00207748">
        <w:rPr>
          <w:rStyle w:val="Ohne"/>
          <w:rFonts w:ascii="Cambria" w:hAnsi="Cambria" w:cs="Arial"/>
          <w:b/>
          <w:bCs/>
          <w:sz w:val="20"/>
          <w:szCs w:val="20"/>
        </w:rPr>
        <w:t xml:space="preserve"> </w:t>
      </w:r>
      <w:r w:rsidR="00447357" w:rsidRPr="00207748">
        <w:rPr>
          <w:rFonts w:ascii="Cambria" w:hAnsi="Cambria"/>
          <w:sz w:val="20"/>
          <w:szCs w:val="20"/>
        </w:rPr>
        <w:t>Für die routinemäßige Anwendung des ß1-selektiven Betablockers Esmolol zeigte eine systematische Übersicht aus 10 qualitativ minderwertigen Studien (eine Meta-Analyse war nicht durchführbar), dass Esmolol die Herzfrequenz senken kann. Weitere Effekte, insbesondere auf die Morbidität oder Mortalität, waren nicht erkennba</w:t>
      </w:r>
      <w:r w:rsidR="006B2B71">
        <w:rPr>
          <w:rFonts w:ascii="Cambria" w:hAnsi="Cambria"/>
          <w:sz w:val="20"/>
          <w:szCs w:val="20"/>
        </w:rPr>
        <w:t xml:space="preserve">r. </w:t>
      </w:r>
      <w:r w:rsidR="00447357" w:rsidRPr="006B2B71">
        <w:rPr>
          <w:rStyle w:val="EndnoteRealZchn"/>
        </w:rPr>
        <w:endnoteReference w:id="319"/>
      </w:r>
    </w:p>
    <w:p w14:paraId="474CCE5F" w14:textId="25ED8A14" w:rsidR="00665775" w:rsidRPr="00207748" w:rsidRDefault="00447357" w:rsidP="00FB33A2">
      <w:pPr>
        <w:rPr>
          <w:rFonts w:ascii="Cambria" w:hAnsi="Cambria"/>
          <w:sz w:val="20"/>
          <w:szCs w:val="20"/>
        </w:rPr>
      </w:pPr>
      <w:r w:rsidRPr="00207748">
        <w:rPr>
          <w:rFonts w:ascii="Cambria" w:hAnsi="Cambria"/>
          <w:sz w:val="20"/>
          <w:szCs w:val="20"/>
        </w:rPr>
        <w:t>Im Gegensatz dazu zeigt</w:t>
      </w:r>
      <w:r w:rsidR="006B2B71">
        <w:rPr>
          <w:rFonts w:ascii="Cambria" w:hAnsi="Cambria"/>
          <w:sz w:val="20"/>
          <w:szCs w:val="20"/>
        </w:rPr>
        <w:t>e eine prospektiv offene Studie von Morelli et al.</w:t>
      </w:r>
      <w:r w:rsidRPr="00207748">
        <w:rPr>
          <w:rFonts w:ascii="Cambria" w:hAnsi="Cambria"/>
          <w:sz w:val="20"/>
          <w:szCs w:val="20"/>
        </w:rPr>
        <w:t xml:space="preserve"> eine signifikante Reduktion der Sterblichkeit in der ß1-Blocker-Gruppe</w:t>
      </w:r>
      <w:r w:rsidR="00D159AF" w:rsidRPr="00207748">
        <w:rPr>
          <w:rFonts w:ascii="Cambria" w:hAnsi="Cambria"/>
          <w:sz w:val="20"/>
          <w:szCs w:val="20"/>
        </w:rPr>
        <w:t>.</w:t>
      </w:r>
      <w:r w:rsidRPr="006B2B71">
        <w:rPr>
          <w:rStyle w:val="EndnoteRealZchn"/>
        </w:rPr>
        <w:endnoteReference w:id="320"/>
      </w:r>
      <w:r w:rsidRPr="00207748">
        <w:rPr>
          <w:rFonts w:ascii="Cambria" w:hAnsi="Cambria"/>
          <w:sz w:val="20"/>
          <w:szCs w:val="20"/>
        </w:rPr>
        <w:t xml:space="preserve"> Diese Studie ist jedoch mit erheblichen Einschränkungen zu bewerten, so dass sie lediglich ein “</w:t>
      </w:r>
      <w:r w:rsidR="001A58EF" w:rsidRPr="00207748">
        <w:rPr>
          <w:rFonts w:ascii="Cambria" w:hAnsi="Cambria" w:cs="Arial"/>
          <w:sz w:val="20"/>
          <w:szCs w:val="20"/>
        </w:rPr>
        <w:t xml:space="preserve"> </w:t>
      </w:r>
      <w:r w:rsidR="001A58EF" w:rsidRPr="00207748">
        <w:rPr>
          <w:rFonts w:ascii="Cambria" w:hAnsi="Cambria"/>
          <w:sz w:val="20"/>
          <w:szCs w:val="20"/>
        </w:rPr>
        <w:t>Proof-of-Principle</w:t>
      </w:r>
      <w:r w:rsidRPr="00207748">
        <w:rPr>
          <w:rFonts w:ascii="Cambria" w:hAnsi="Cambria"/>
          <w:sz w:val="20"/>
          <w:szCs w:val="20"/>
        </w:rPr>
        <w:t>“ der sicheren Herzfrequenzreduktion durch Esmolol darstellt. Trotzdem lassen die Ergebnisse dieser Studie einen Versuch der hämodynamischen Stabilisierung durch Frequenzsenkung unter bestimmten Bedingungen als gerechtfertigt erscheinen. Die aktuell vorhandene Literatur zu dieser Thematik ist widersprüchlich und die Evidenz für eine belastbare Aussage ist sehr gering, so dass zum jetzigen Zeitpunkt keine generelle Empfehlung für den routinemäßigen Einsatz von ß-Blockern bei Sepsis oder septischen Schock gegeben werden kann. Die oben genannte “</w:t>
      </w:r>
      <w:r w:rsidR="001A58EF" w:rsidRPr="00207748">
        <w:rPr>
          <w:rFonts w:ascii="Cambria" w:hAnsi="Cambria"/>
          <w:sz w:val="20"/>
          <w:szCs w:val="20"/>
        </w:rPr>
        <w:t>Proof-of-Principle</w:t>
      </w:r>
      <w:r w:rsidRPr="00207748">
        <w:rPr>
          <w:rFonts w:ascii="Cambria" w:hAnsi="Cambria"/>
          <w:sz w:val="20"/>
          <w:szCs w:val="20"/>
        </w:rPr>
        <w:t>“-Studie</w:t>
      </w:r>
      <w:r w:rsidR="006B2B71">
        <w:rPr>
          <w:rFonts w:ascii="Cambria" w:hAnsi="Cambria"/>
          <w:sz w:val="20"/>
          <w:szCs w:val="20"/>
        </w:rPr>
        <w:t xml:space="preserve"> </w:t>
      </w:r>
      <w:r w:rsidR="006B2B71" w:rsidRPr="00EF1A9E">
        <w:rPr>
          <w:rFonts w:ascii="Cambria" w:hAnsi="Cambria"/>
          <w:sz w:val="20"/>
          <w:szCs w:val="20"/>
        </w:rPr>
        <w:t>(Morelli et al.)</w:t>
      </w:r>
      <w:r w:rsidR="006B2B71">
        <w:rPr>
          <w:rFonts w:ascii="Cambria" w:hAnsi="Cambria"/>
          <w:sz w:val="20"/>
          <w:szCs w:val="20"/>
        </w:rPr>
        <w:t xml:space="preserve"> </w:t>
      </w:r>
      <w:r w:rsidRPr="00207748">
        <w:rPr>
          <w:rFonts w:ascii="Cambria" w:hAnsi="Cambria"/>
          <w:sz w:val="20"/>
          <w:szCs w:val="20"/>
        </w:rPr>
        <w:t>bedarf der Bestätigung in einer weiteren Studie.</w:t>
      </w:r>
      <w:bookmarkStart w:id="396" w:name="_Toc25845115"/>
    </w:p>
    <w:p w14:paraId="6BB0E5B3" w14:textId="77777777" w:rsidR="00E11869" w:rsidRPr="00182D07" w:rsidRDefault="00447357" w:rsidP="004454B6">
      <w:pPr>
        <w:pStyle w:val="berschrift2"/>
        <w:rPr>
          <w:b w:val="0"/>
        </w:rPr>
      </w:pPr>
      <w:bookmarkStart w:id="397" w:name="_Toc437861463"/>
      <w:bookmarkStart w:id="398" w:name="_Toc31278501"/>
      <w:r w:rsidRPr="00182D07">
        <w:rPr>
          <w:rStyle w:val="Ohne"/>
        </w:rPr>
        <w:lastRenderedPageBreak/>
        <w:t>H. Corticosteroide</w:t>
      </w:r>
      <w:bookmarkEnd w:id="396"/>
      <w:bookmarkEnd w:id="397"/>
      <w:bookmarkEnd w:id="398"/>
    </w:p>
    <w:p w14:paraId="7C6906EC" w14:textId="77777777" w:rsidR="00E11869" w:rsidRPr="00207748" w:rsidRDefault="00E11869" w:rsidP="00FB33A2">
      <w:pPr>
        <w:pStyle w:val="KeinLeerraum"/>
        <w:rPr>
          <w:rStyle w:val="Ohne"/>
          <w:iCs/>
          <w:spacing w:val="-5"/>
        </w:rPr>
      </w:pP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02"/>
        <w:gridCol w:w="850"/>
      </w:tblGrid>
      <w:tr w:rsidR="00342FB3" w:rsidRPr="00207748" w14:paraId="7FD5833D" w14:textId="77777777" w:rsidTr="00385EF9">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43B9886" w14:textId="77777777" w:rsidR="00342FB3" w:rsidRPr="00207748" w:rsidRDefault="00342FB3" w:rsidP="008B1A6E">
            <w:pPr>
              <w:spacing w:after="0"/>
              <w:rPr>
                <w:rFonts w:ascii="Cambria" w:hAnsi="Cambria" w:cs="Arial"/>
                <w:b/>
                <w:bCs/>
                <w:sz w:val="20"/>
                <w:szCs w:val="20"/>
              </w:rPr>
            </w:pPr>
            <w:r w:rsidRPr="00207748">
              <w:rPr>
                <w:rFonts w:ascii="Cambria" w:hAnsi="Cambria" w:cs="Arial"/>
                <w:b/>
                <w:bCs/>
                <w:sz w:val="20"/>
                <w:szCs w:val="20"/>
              </w:rPr>
              <w:t>H.1</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D573235" w14:textId="77777777" w:rsidR="00342FB3" w:rsidRPr="00207748" w:rsidRDefault="00342FB3" w:rsidP="004454B6">
            <w:pPr>
              <w:spacing w:after="0"/>
              <w:rPr>
                <w:rFonts w:ascii="Cambria" w:hAnsi="Cambria" w:cs="Arial"/>
                <w:b/>
                <w:bCs/>
                <w:sz w:val="20"/>
                <w:szCs w:val="20"/>
              </w:rPr>
            </w:pPr>
            <w:r w:rsidRPr="00207748">
              <w:rPr>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752DF9CF" w14:textId="77777777" w:rsidR="00342FB3" w:rsidRPr="00207748" w:rsidRDefault="00342FB3" w:rsidP="004454B6">
            <w:pPr>
              <w:spacing w:after="0"/>
              <w:rPr>
                <w:rFonts w:ascii="Cambria" w:hAnsi="Cambria" w:cs="Arial"/>
                <w:b/>
                <w:bCs/>
                <w:sz w:val="20"/>
                <w:szCs w:val="20"/>
              </w:rPr>
            </w:pPr>
            <w:r w:rsidRPr="00207748">
              <w:rPr>
                <w:rFonts w:ascii="Cambria" w:hAnsi="Cambria" w:cs="Arial"/>
                <w:b/>
                <w:bCs/>
                <w:sz w:val="20"/>
                <w:szCs w:val="20"/>
              </w:rPr>
              <w:t>2018</w:t>
            </w:r>
          </w:p>
        </w:tc>
      </w:tr>
      <w:tr w:rsidR="00342FB3" w:rsidRPr="00207748" w14:paraId="389899E6" w14:textId="77777777" w:rsidTr="00334AF5">
        <w:trPr>
          <w:trHeight w:val="6157"/>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8C3E8" w14:textId="77777777" w:rsidR="00342FB3" w:rsidRPr="00207748" w:rsidRDefault="00342FB3" w:rsidP="004454B6">
            <w:pPr>
              <w:spacing w:after="0"/>
              <w:rPr>
                <w:rStyle w:val="Ohne"/>
                <w:rFonts w:ascii="Cambria" w:eastAsia="Arial" w:hAnsi="Cambria" w:cs="Arial"/>
                <w:sz w:val="20"/>
                <w:szCs w:val="20"/>
              </w:rPr>
            </w:pPr>
            <w:r w:rsidRPr="00207748">
              <w:rPr>
                <w:rStyle w:val="Ohne"/>
                <w:rFonts w:ascii="Cambria" w:hAnsi="Cambria" w:cs="Arial"/>
                <w:sz w:val="20"/>
                <w:szCs w:val="20"/>
              </w:rPr>
              <w:t>Empfehlungsgrad</w:t>
            </w:r>
          </w:p>
          <w:p w14:paraId="7A2061C9" w14:textId="77777777" w:rsidR="00342FB3" w:rsidRPr="00207748" w:rsidRDefault="00342FB3" w:rsidP="004454B6">
            <w:pPr>
              <w:spacing w:after="0"/>
              <w:rPr>
                <w:rStyle w:val="Ohne"/>
                <w:rFonts w:ascii="Cambria" w:eastAsia="Arial" w:hAnsi="Cambria" w:cs="Arial"/>
                <w:sz w:val="20"/>
                <w:szCs w:val="20"/>
              </w:rPr>
            </w:pPr>
          </w:p>
          <w:p w14:paraId="4754594D" w14:textId="77777777" w:rsidR="00342FB3" w:rsidRPr="00207748" w:rsidRDefault="00342FB3" w:rsidP="004454B6">
            <w:pPr>
              <w:spacing w:after="0"/>
              <w:rPr>
                <w:rStyle w:val="Ohne"/>
                <w:rFonts w:ascii="Cambria" w:eastAsia="Arial" w:hAnsi="Cambria" w:cs="Arial"/>
                <w:b/>
                <w:bCs/>
                <w:sz w:val="20"/>
                <w:szCs w:val="20"/>
              </w:rPr>
            </w:pPr>
            <w:r w:rsidRPr="00207748">
              <w:rPr>
                <w:rStyle w:val="Ohne"/>
                <w:rFonts w:ascii="Cambria" w:hAnsi="Cambria" w:cs="Arial"/>
                <w:b/>
                <w:bCs/>
                <w:sz w:val="20"/>
                <w:szCs w:val="20"/>
              </w:rPr>
              <w:t>schwach</w:t>
            </w:r>
          </w:p>
          <w:p w14:paraId="09F2AD6D" w14:textId="77777777" w:rsidR="00342FB3" w:rsidRPr="00207748" w:rsidRDefault="00342FB3" w:rsidP="004454B6">
            <w:pPr>
              <w:spacing w:after="0"/>
              <w:rPr>
                <w:rStyle w:val="Ohne"/>
                <w:rFonts w:ascii="Cambria" w:eastAsia="Arial" w:hAnsi="Cambria" w:cs="Arial"/>
                <w:b/>
                <w:bCs/>
                <w:sz w:val="20"/>
                <w:szCs w:val="20"/>
              </w:rPr>
            </w:pPr>
          </w:p>
          <w:p w14:paraId="3DF3E8E4" w14:textId="77777777" w:rsidR="00342FB3" w:rsidRPr="00207748" w:rsidRDefault="00342FB3" w:rsidP="004454B6">
            <w:pPr>
              <w:spacing w:after="0"/>
              <w:rPr>
                <w:rStyle w:val="Ohne"/>
                <w:rFonts w:ascii="Cambria" w:eastAsia="Arial" w:hAnsi="Cambria" w:cs="Arial"/>
                <w:sz w:val="20"/>
                <w:szCs w:val="20"/>
              </w:rPr>
            </w:pPr>
            <w:r w:rsidRPr="00207748">
              <w:rPr>
                <w:rStyle w:val="Ohne"/>
                <w:rFonts w:ascii="Cambria" w:hAnsi="Cambria" w:cs="Arial"/>
                <w:sz w:val="20"/>
                <w:szCs w:val="20"/>
              </w:rPr>
              <w:t>Evidenzqualität</w:t>
            </w:r>
          </w:p>
          <w:p w14:paraId="513A58CE" w14:textId="77777777" w:rsidR="00342FB3" w:rsidRPr="00207748" w:rsidRDefault="00342FB3" w:rsidP="004454B6">
            <w:pPr>
              <w:spacing w:after="0"/>
              <w:rPr>
                <w:rStyle w:val="Ohne"/>
                <w:rFonts w:ascii="Cambria" w:eastAsia="Arial" w:hAnsi="Cambria" w:cs="Arial"/>
                <w:sz w:val="20"/>
                <w:szCs w:val="20"/>
              </w:rPr>
            </w:pPr>
          </w:p>
          <w:p w14:paraId="466DB8D8" w14:textId="77777777" w:rsidR="00342FB3" w:rsidRPr="00207748" w:rsidRDefault="00342FB3" w:rsidP="004454B6">
            <w:pPr>
              <w:spacing w:after="0"/>
              <w:rPr>
                <w:rFonts w:ascii="Cambria" w:hAnsi="Cambria" w:cs="Arial"/>
                <w:sz w:val="20"/>
                <w:szCs w:val="20"/>
              </w:rPr>
            </w:pPr>
            <w:r w:rsidRPr="00207748">
              <w:rPr>
                <w:rStyle w:val="Ohne"/>
                <w:rFonts w:ascii="Cambria" w:hAnsi="Cambria" w:cs="Arial"/>
                <w:b/>
                <w:bCs/>
                <w:sz w:val="20"/>
                <w:szCs w:val="20"/>
              </w:rPr>
              <w:t>niedrig</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9006B" w14:textId="77777777" w:rsidR="00342FB3" w:rsidRPr="00207748" w:rsidRDefault="00342FB3" w:rsidP="004454B6">
            <w:pPr>
              <w:spacing w:after="0"/>
              <w:rPr>
                <w:rStyle w:val="Ohne"/>
                <w:rFonts w:ascii="Cambria" w:hAnsi="Cambria" w:cs="Arial"/>
                <w:b/>
                <w:bCs/>
                <w:sz w:val="20"/>
                <w:szCs w:val="20"/>
              </w:rPr>
            </w:pPr>
            <w:r w:rsidRPr="00207748">
              <w:rPr>
                <w:rStyle w:val="Ohne"/>
                <w:rFonts w:ascii="Cambria" w:hAnsi="Cambria" w:cs="Arial"/>
                <w:b/>
                <w:bCs/>
                <w:sz w:val="20"/>
                <w:szCs w:val="20"/>
              </w:rPr>
              <w:t>Wir schlagen vor, dass von einer Verwendung von intravenösem Hydrocortison bei der Behandlung von Patienten mit septischem Schock abgesehen wird, sofern eine adäquate Flüssigkeitstherapie und hoch dosierte Vasopressor-Therapie in der Lage sind, die hämodynamische Stabilität wiederherzustellen.</w:t>
            </w:r>
          </w:p>
          <w:p w14:paraId="437213CA" w14:textId="77777777" w:rsidR="00342FB3" w:rsidRPr="00207748" w:rsidRDefault="00342FB3" w:rsidP="004454B6">
            <w:pPr>
              <w:spacing w:after="0"/>
              <w:rPr>
                <w:rStyle w:val="Ohne"/>
                <w:rFonts w:ascii="Cambria" w:hAnsi="Cambria" w:cs="Arial"/>
                <w:b/>
                <w:bCs/>
                <w:sz w:val="20"/>
                <w:szCs w:val="20"/>
              </w:rPr>
            </w:pPr>
          </w:p>
          <w:p w14:paraId="0A6DFD3C" w14:textId="77777777" w:rsidR="00342FB3" w:rsidRPr="00207748" w:rsidRDefault="00342FB3" w:rsidP="004454B6">
            <w:pPr>
              <w:spacing w:after="0"/>
              <w:rPr>
                <w:rFonts w:ascii="Cambria" w:hAnsi="Cambria" w:cs="Arial"/>
                <w:sz w:val="20"/>
                <w:szCs w:val="20"/>
              </w:rPr>
            </w:pPr>
            <w:r w:rsidRPr="00207748">
              <w:rPr>
                <w:rStyle w:val="Ohne"/>
                <w:rFonts w:ascii="Cambria" w:hAnsi="Cambria" w:cs="Arial"/>
                <w:b/>
                <w:bCs/>
                <w:sz w:val="20"/>
                <w:szCs w:val="20"/>
              </w:rPr>
              <w:t>Für den Fall, dass dies nicht erreichbar sein sollte, schlagen wir den Einsatz von intravenösem Hydrocortison bei einer Dosis von 200 mg pro Tag vor.</w:t>
            </w:r>
          </w:p>
        </w:tc>
      </w:tr>
      <w:tr w:rsidR="00342FB3" w:rsidRPr="00207748" w14:paraId="08E35DF5" w14:textId="77777777" w:rsidTr="00385EF9">
        <w:trPr>
          <w:trHeight w:val="56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5154E1BF" w14:textId="77777777" w:rsidR="00342FB3" w:rsidRPr="00207748" w:rsidRDefault="00342FB3"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54A62" w14:textId="77777777" w:rsidR="00342FB3" w:rsidRPr="00207748" w:rsidRDefault="00B20D2B" w:rsidP="004454B6">
            <w:pPr>
              <w:spacing w:after="0"/>
              <w:rPr>
                <w:rFonts w:ascii="Cambria" w:hAnsi="Cambria" w:cs="Arial"/>
                <w:sz w:val="20"/>
                <w:szCs w:val="20"/>
              </w:rPr>
            </w:pPr>
            <w:r w:rsidRPr="00207748">
              <w:rPr>
                <w:rStyle w:val="Ohne"/>
                <w:rFonts w:ascii="Cambria" w:hAnsi="Cambria" w:cs="Arial"/>
                <w:b/>
                <w:bCs/>
                <w:sz w:val="20"/>
                <w:szCs w:val="20"/>
              </w:rPr>
              <w:t>SSC-</w:t>
            </w:r>
            <w:r w:rsidR="00342FB3" w:rsidRPr="00207748">
              <w:rPr>
                <w:rStyle w:val="Ohne"/>
                <w:rFonts w:ascii="Cambria" w:hAnsi="Cambria" w:cs="Arial"/>
                <w:b/>
                <w:bCs/>
                <w:sz w:val="20"/>
                <w:szCs w:val="20"/>
              </w:rPr>
              <w:t>Leitlinienadaptation</w:t>
            </w:r>
          </w:p>
        </w:tc>
      </w:tr>
      <w:tr w:rsidR="00342FB3" w:rsidRPr="00207748" w14:paraId="3709384F" w14:textId="77777777" w:rsidTr="00385EF9">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83701" w14:textId="77777777" w:rsidR="00342FB3" w:rsidRPr="00207748" w:rsidRDefault="00342FB3"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2E148" w14:textId="77777777" w:rsidR="00342FB3" w:rsidRPr="00207748" w:rsidRDefault="00342FB3" w:rsidP="004454B6">
            <w:pPr>
              <w:spacing w:after="0"/>
              <w:rPr>
                <w:rFonts w:ascii="Cambria" w:hAnsi="Cambria" w:cs="Arial"/>
                <w:sz w:val="20"/>
                <w:szCs w:val="20"/>
              </w:rPr>
            </w:pPr>
            <w:r w:rsidRPr="00207748">
              <w:rPr>
                <w:rStyle w:val="Ohne"/>
                <w:rFonts w:ascii="Cambria" w:hAnsi="Cambria" w:cs="Arial"/>
                <w:sz w:val="20"/>
                <w:szCs w:val="20"/>
              </w:rPr>
              <w:t>Konsensstärke: 100 %</w:t>
            </w:r>
          </w:p>
        </w:tc>
      </w:tr>
    </w:tbl>
    <w:p w14:paraId="77C20E88" w14:textId="444FE3AD" w:rsidR="00E11869" w:rsidRPr="00207748" w:rsidRDefault="00342FB3" w:rsidP="004454B6">
      <w:pPr>
        <w:spacing w:before="240"/>
        <w:rPr>
          <w:rStyle w:val="Ohne"/>
          <w:rFonts w:ascii="Cambria" w:eastAsia="Arial" w:hAnsi="Cambria" w:cs="Arial"/>
          <w:sz w:val="20"/>
          <w:szCs w:val="20"/>
        </w:rPr>
      </w:pPr>
      <w:r w:rsidRPr="00207748">
        <w:rPr>
          <w:rStyle w:val="Ohne"/>
          <w:rFonts w:ascii="Cambria" w:hAnsi="Cambria" w:cs="Arial"/>
          <w:b/>
          <w:bCs/>
          <w:spacing w:val="-4"/>
          <w:sz w:val="20"/>
          <w:szCs w:val="20"/>
        </w:rPr>
        <w:t>Begründung</w:t>
      </w:r>
      <w:r w:rsidR="00447357" w:rsidRPr="00207748">
        <w:rPr>
          <w:rStyle w:val="Ohne"/>
          <w:rFonts w:ascii="Cambria" w:hAnsi="Cambria" w:cs="Arial"/>
          <w:b/>
          <w:bCs/>
          <w:spacing w:val="-4"/>
          <w:sz w:val="20"/>
          <w:szCs w:val="20"/>
        </w:rPr>
        <w:t>:</w:t>
      </w:r>
      <w:r w:rsidR="00447357" w:rsidRPr="00207748">
        <w:rPr>
          <w:rStyle w:val="Ohne"/>
          <w:rFonts w:ascii="Cambria" w:hAnsi="Cambria" w:cs="Arial"/>
          <w:spacing w:val="-4"/>
          <w:sz w:val="20"/>
          <w:szCs w:val="20"/>
        </w:rPr>
        <w:t xml:space="preserve"> Die Reaktion von Patienten mit septischem Schock auf die Flüssigkeits- und Vasopressor-Therapie scheint ein wichtiger Faktor bei der Auswahl von Patienten für eine optionale Hydrocortison-Therapie zu sein. Eine französische multizentrische RCT an Patienten mit septischem Schock, die nicht auf eine Vasopressor-Therapie ansprachen (systolischer Blutdruck &lt; 90 mm Hg trotz Flüssigkeits- und Vasopressor-Therapie über einen Zeitraum von mehr als einer Stunde), zeigte einen signifikanten Schockrückgang und eine Reduzierung der Mortalitätsrate bei Patienten mit relativer Nebenniereninsuffizienz (definiert als ein maximaler Anstieg des post-adrenocorticotropen Hormons (ACTH) Cortisol ≤ 9 μg/dl)</w:t>
      </w:r>
      <w:r w:rsidR="00F939EE" w:rsidRPr="00207748">
        <w:rPr>
          <w:rStyle w:val="Ohne"/>
          <w:rFonts w:ascii="Cambria" w:hAnsi="Cambria" w:cs="Arial"/>
          <w:spacing w:val="-4"/>
          <w:sz w:val="20"/>
          <w:szCs w:val="20"/>
        </w:rPr>
        <w:t>.</w:t>
      </w:r>
      <w:bookmarkStart w:id="399" w:name="_Ref30587337"/>
      <w:r w:rsidR="00447357" w:rsidRPr="00207748">
        <w:rPr>
          <w:rStyle w:val="Ohne"/>
          <w:rFonts w:ascii="Cambria" w:eastAsia="Arial" w:hAnsi="Cambria" w:cs="Arial"/>
          <w:spacing w:val="-4"/>
          <w:sz w:val="20"/>
          <w:szCs w:val="20"/>
          <w:vertAlign w:val="superscript"/>
        </w:rPr>
        <w:endnoteReference w:id="321"/>
      </w:r>
      <w:bookmarkEnd w:id="399"/>
      <w:r w:rsidR="00447357" w:rsidRPr="00207748">
        <w:rPr>
          <w:rStyle w:val="Ohne"/>
          <w:rFonts w:ascii="Cambria" w:hAnsi="Cambria" w:cs="Arial"/>
          <w:spacing w:val="-4"/>
          <w:sz w:val="20"/>
          <w:szCs w:val="20"/>
        </w:rPr>
        <w:t xml:space="preserve"> Zwei kleinere RCTs zeigten ebenfalls signifikante Effekte in Bezug auf einen Schockrückgang mit einer </w:t>
      </w:r>
      <w:r w:rsidR="00447357" w:rsidRPr="00207748">
        <w:rPr>
          <w:rStyle w:val="Ohne"/>
          <w:rFonts w:ascii="Cambria" w:hAnsi="Cambria" w:cs="Arial"/>
          <w:spacing w:val="-4"/>
          <w:sz w:val="20"/>
          <w:szCs w:val="20"/>
        </w:rPr>
        <w:lastRenderedPageBreak/>
        <w:t>Steroidtherapie</w:t>
      </w:r>
      <w:r w:rsidR="00F939EE" w:rsidRPr="00207748">
        <w:rPr>
          <w:rStyle w:val="Ohne"/>
          <w:rFonts w:ascii="Cambria" w:hAnsi="Cambria" w:cs="Arial"/>
          <w:spacing w:val="-4"/>
          <w:sz w:val="20"/>
          <w:szCs w:val="20"/>
        </w:rPr>
        <w:t>.</w:t>
      </w:r>
      <w:bookmarkStart w:id="400" w:name="_Ref30588039"/>
      <w:r w:rsidR="00447357" w:rsidRPr="00207748">
        <w:rPr>
          <w:rStyle w:val="Ohne"/>
          <w:rFonts w:ascii="Cambria" w:eastAsia="Arial" w:hAnsi="Cambria" w:cs="Arial"/>
          <w:spacing w:val="-4"/>
          <w:sz w:val="20"/>
          <w:szCs w:val="20"/>
          <w:vertAlign w:val="superscript"/>
        </w:rPr>
        <w:endnoteReference w:id="322"/>
      </w:r>
      <w:bookmarkEnd w:id="400"/>
      <w:r w:rsidR="00447357" w:rsidRPr="00207748">
        <w:rPr>
          <w:rStyle w:val="Ohne"/>
          <w:rFonts w:ascii="Cambria" w:hAnsi="Cambria" w:cs="Arial"/>
          <w:spacing w:val="-4"/>
          <w:sz w:val="20"/>
          <w:szCs w:val="20"/>
        </w:rPr>
        <w:t xml:space="preserve"> </w:t>
      </w:r>
      <w:bookmarkStart w:id="401" w:name="_Ref30587726"/>
      <w:r w:rsidR="00447357" w:rsidRPr="00207748">
        <w:rPr>
          <w:rStyle w:val="Ohne"/>
          <w:rFonts w:ascii="Cambria" w:eastAsia="Arial" w:hAnsi="Cambria" w:cs="Arial"/>
          <w:spacing w:val="-4"/>
          <w:sz w:val="20"/>
          <w:szCs w:val="20"/>
          <w:vertAlign w:val="superscript"/>
        </w:rPr>
        <w:endnoteReference w:id="323"/>
      </w:r>
      <w:bookmarkEnd w:id="401"/>
      <w:r w:rsidR="00447357" w:rsidRPr="00207748">
        <w:rPr>
          <w:rStyle w:val="Ohne"/>
          <w:rFonts w:ascii="Cambria" w:hAnsi="Cambria" w:cs="Arial"/>
          <w:spacing w:val="-4"/>
          <w:sz w:val="20"/>
          <w:szCs w:val="20"/>
        </w:rPr>
        <w:t xml:space="preserve"> Im Gegensatz dazu wies eine große europäische multizentrische Studie (CORTICUS), </w:t>
      </w:r>
      <w:r w:rsidR="00447357" w:rsidRPr="00207748">
        <w:rPr>
          <w:rStyle w:val="Ohne"/>
          <w:rFonts w:ascii="Cambria" w:hAnsi="Cambria" w:cs="Arial"/>
          <w:sz w:val="20"/>
          <w:szCs w:val="20"/>
        </w:rPr>
        <w:t xml:space="preserve">in die Patienten mit einem systolischen Blutdruck von &lt; 90 mm Hg trotz einer angemessenen Flüssigkeitsersatztherapie oder einem Bedarf für Vasopressoren einbezogen wurden, ein geringeres Sterberisiko auf als die französische Studie und erbrachte keinen Nachweis für einen Mortalitätsvorteil bei Anwendung einer </w:t>
      </w:r>
      <w:r w:rsidR="005D6525">
        <w:rPr>
          <w:rStyle w:val="Ohne"/>
          <w:rFonts w:ascii="Cambria" w:hAnsi="Cambria" w:cs="Arial"/>
          <w:sz w:val="20"/>
          <w:szCs w:val="20"/>
        </w:rPr>
        <w:t>Hydrocortison</w:t>
      </w:r>
      <w:r w:rsidR="00447357" w:rsidRPr="00207748">
        <w:rPr>
          <w:rStyle w:val="Ohne"/>
          <w:rFonts w:ascii="Cambria" w:hAnsi="Cambria" w:cs="Arial"/>
          <w:sz w:val="20"/>
          <w:szCs w:val="20"/>
        </w:rPr>
        <w:t>-Therapie</w:t>
      </w:r>
      <w:r w:rsidR="00F939EE" w:rsidRPr="00207748">
        <w:rPr>
          <w:rStyle w:val="Ohne"/>
          <w:rFonts w:ascii="Cambria" w:hAnsi="Cambria" w:cs="Arial"/>
          <w:sz w:val="20"/>
          <w:szCs w:val="20"/>
        </w:rPr>
        <w:t>.</w:t>
      </w:r>
      <w:bookmarkStart w:id="402" w:name="_Ref30587465"/>
      <w:r w:rsidR="00447357" w:rsidRPr="00207748">
        <w:rPr>
          <w:rStyle w:val="Ohne"/>
          <w:rFonts w:ascii="Cambria" w:eastAsia="Arial" w:hAnsi="Cambria" w:cs="Arial"/>
          <w:sz w:val="20"/>
          <w:szCs w:val="20"/>
          <w:vertAlign w:val="superscript"/>
        </w:rPr>
        <w:endnoteReference w:id="324"/>
      </w:r>
      <w:bookmarkEnd w:id="402"/>
      <w:r w:rsidR="00447357" w:rsidRPr="00207748">
        <w:rPr>
          <w:rStyle w:val="Ohne"/>
          <w:rFonts w:ascii="Cambria" w:hAnsi="Cambria" w:cs="Arial"/>
          <w:sz w:val="20"/>
          <w:szCs w:val="20"/>
        </w:rPr>
        <w:t xml:space="preserve"> Es lag kein Unterschied in Bezug auf die Mortalität in </w:t>
      </w:r>
      <w:r w:rsidR="005D6525">
        <w:rPr>
          <w:rStyle w:val="Ohne"/>
          <w:rFonts w:ascii="Cambria" w:hAnsi="Cambria" w:cs="Arial"/>
          <w:sz w:val="20"/>
          <w:szCs w:val="20"/>
        </w:rPr>
        <w:t xml:space="preserve">den </w:t>
      </w:r>
      <w:r w:rsidR="00447357" w:rsidRPr="00207748">
        <w:rPr>
          <w:rStyle w:val="Ohne"/>
          <w:rFonts w:ascii="Cambria" w:hAnsi="Cambria" w:cs="Arial"/>
          <w:sz w:val="20"/>
          <w:szCs w:val="20"/>
        </w:rPr>
        <w:t>Gruppen vor, die entsprechend der ACTH-Reaktion stratifiziert wurden.</w:t>
      </w:r>
    </w:p>
    <w:p w14:paraId="6AB45D75" w14:textId="3B56AC16" w:rsidR="00E11869" w:rsidRPr="00207748" w:rsidRDefault="00447357" w:rsidP="004454B6">
      <w:pPr>
        <w:rPr>
          <w:rStyle w:val="Ohne"/>
          <w:rFonts w:ascii="Cambria" w:eastAsia="Arial" w:hAnsi="Cambria" w:cs="Arial"/>
          <w:spacing w:val="-2"/>
          <w:sz w:val="20"/>
          <w:szCs w:val="20"/>
        </w:rPr>
      </w:pPr>
      <w:r w:rsidRPr="00207748">
        <w:rPr>
          <w:rStyle w:val="Ohne"/>
          <w:rFonts w:ascii="Cambria" w:hAnsi="Cambria" w:cs="Arial"/>
          <w:spacing w:val="-2"/>
          <w:sz w:val="20"/>
          <w:szCs w:val="20"/>
        </w:rPr>
        <w:t>Diverse systematische Reviews haben die Nutzung von Niedrigdosis-Hydrocortison bei septischem Schock mit widersprüchlichen Ergebnissen untersucht. Annane et al</w:t>
      </w:r>
      <w:r w:rsidR="00F939EE" w:rsidRPr="00207748">
        <w:rPr>
          <w:rStyle w:val="Ohne"/>
          <w:rFonts w:ascii="Cambria" w:hAnsi="Cambria" w:cs="Arial"/>
          <w:spacing w:val="-2"/>
          <w:sz w:val="20"/>
          <w:szCs w:val="20"/>
        </w:rPr>
        <w:t>.</w:t>
      </w:r>
      <w:r w:rsidRPr="00207748">
        <w:rPr>
          <w:rStyle w:val="Ohne"/>
          <w:rFonts w:ascii="Cambria" w:hAnsi="Cambria" w:cs="Arial"/>
          <w:spacing w:val="-2"/>
          <w:sz w:val="20"/>
          <w:szCs w:val="20"/>
        </w:rPr>
        <w:t xml:space="preserve"> </w:t>
      </w:r>
      <w:r w:rsidR="006B2B71" w:rsidRPr="006B2B71">
        <w:rPr>
          <w:rStyle w:val="EndnoteRealZchn"/>
        </w:rPr>
        <w:fldChar w:fldCharType="begin"/>
      </w:r>
      <w:r w:rsidR="006B2B71" w:rsidRPr="006B2B71">
        <w:rPr>
          <w:rStyle w:val="EndnoteRealZchn"/>
        </w:rPr>
        <w:instrText xml:space="preserve"> NOTEREF _Ref30587337 \h </w:instrText>
      </w:r>
      <w:r w:rsidR="006B2B71">
        <w:rPr>
          <w:rStyle w:val="EndnoteRealZchn"/>
        </w:rPr>
        <w:instrText xml:space="preserve"> \* MERGEFORMAT </w:instrText>
      </w:r>
      <w:r w:rsidR="006B2B71" w:rsidRPr="006B2B71">
        <w:rPr>
          <w:rStyle w:val="EndnoteRealZchn"/>
        </w:rPr>
      </w:r>
      <w:r w:rsidR="006B2B71" w:rsidRPr="006B2B71">
        <w:rPr>
          <w:rStyle w:val="EndnoteRealZchn"/>
        </w:rPr>
        <w:fldChar w:fldCharType="separate"/>
      </w:r>
      <w:r w:rsidR="001A283B">
        <w:rPr>
          <w:rStyle w:val="EndnoteRealZchn"/>
        </w:rPr>
        <w:t>362</w:t>
      </w:r>
      <w:r w:rsidR="006B2B71" w:rsidRPr="006B2B71">
        <w:rPr>
          <w:rStyle w:val="EndnoteRealZchn"/>
        </w:rPr>
        <w:fldChar w:fldCharType="end"/>
      </w:r>
      <w:r w:rsidRPr="00207748">
        <w:rPr>
          <w:rStyle w:val="Ohne"/>
          <w:rFonts w:ascii="Cambria" w:hAnsi="Cambria" w:cs="Arial"/>
          <w:spacing w:val="-2"/>
          <w:sz w:val="20"/>
          <w:szCs w:val="20"/>
        </w:rPr>
        <w:t xml:space="preserve"> analysierten die Ergebnisse von 12 Studien und errechneten eine signifikante Reduzierung der 28-tägigen Mortalität bei einer längeren Niedrigdosis-Behandlung bei erwachsenen Patienten mit septischem Schock (RR, 0,84; 95 % CI, 0,72−0,97; </w:t>
      </w:r>
      <w:r w:rsidRPr="00207748">
        <w:rPr>
          <w:rStyle w:val="Ohne"/>
          <w:rFonts w:ascii="Cambria" w:hAnsi="Cambria" w:cs="Arial"/>
          <w:iCs/>
          <w:spacing w:val="-2"/>
          <w:sz w:val="20"/>
          <w:szCs w:val="20"/>
        </w:rPr>
        <w:t xml:space="preserve">p </w:t>
      </w:r>
      <w:r w:rsidRPr="00207748">
        <w:rPr>
          <w:rStyle w:val="Ohne"/>
          <w:rFonts w:ascii="Cambria" w:hAnsi="Cambria" w:cs="Arial"/>
          <w:spacing w:val="-2"/>
          <w:sz w:val="20"/>
          <w:szCs w:val="20"/>
        </w:rPr>
        <w:t xml:space="preserve">= 0,02). Parallel dazu nutzten Sligl et al </w:t>
      </w:r>
      <w:r w:rsidRPr="00207748">
        <w:rPr>
          <w:rStyle w:val="Ohne"/>
          <w:rFonts w:ascii="Cambria" w:eastAsia="Arial" w:hAnsi="Cambria" w:cs="Arial"/>
          <w:spacing w:val="-2"/>
          <w:sz w:val="20"/>
          <w:szCs w:val="20"/>
          <w:vertAlign w:val="superscript"/>
        </w:rPr>
        <w:endnoteReference w:id="325"/>
      </w:r>
      <w:r w:rsidRPr="00207748">
        <w:rPr>
          <w:rStyle w:val="Ohne"/>
          <w:rFonts w:ascii="Cambria" w:hAnsi="Cambria" w:cs="Arial"/>
          <w:spacing w:val="-2"/>
          <w:sz w:val="20"/>
          <w:szCs w:val="20"/>
        </w:rPr>
        <w:t xml:space="preserve"> eine ähnliche Technik, identifizierten allerdings nur acht Studien für ihre Meta-Analyse, von denen sechs Studien über ein High-Level-RCT-Design mit einem geringen Verzerrungspotenzial verfügten. Im Gegensatz zu de</w:t>
      </w:r>
      <w:r w:rsidR="005D6525">
        <w:rPr>
          <w:rStyle w:val="Ohne"/>
          <w:rFonts w:ascii="Cambria" w:hAnsi="Cambria" w:cs="Arial"/>
          <w:spacing w:val="-2"/>
          <w:sz w:val="20"/>
          <w:szCs w:val="20"/>
        </w:rPr>
        <w:t>m</w:t>
      </w:r>
      <w:r w:rsidRPr="00207748">
        <w:rPr>
          <w:rStyle w:val="Ohne"/>
          <w:rFonts w:ascii="Cambria" w:hAnsi="Cambria" w:cs="Arial"/>
          <w:spacing w:val="-2"/>
          <w:sz w:val="20"/>
          <w:szCs w:val="20"/>
        </w:rPr>
        <w:t xml:space="preserve"> zuvor erwähnten Review ergab diese Analyse keinen statistisch signifikanten Unterschied hinsichtlich der Mortalität (RR, 1,00; 95 % CI, 0,84−1,18). Beide Reviews bestätigten jedoch eine Verbesserung in Bezug auf den Schockrückgang bei der Verwendung von Niedrigdosis-Hydrocortison. </w:t>
      </w:r>
    </w:p>
    <w:p w14:paraId="24723AA1" w14:textId="3DB6985F" w:rsidR="00E11869" w:rsidRPr="00207748" w:rsidRDefault="00447357" w:rsidP="004454B6">
      <w:pPr>
        <w:rPr>
          <w:rStyle w:val="Ohne"/>
          <w:rFonts w:ascii="Cambria" w:eastAsia="Arial" w:hAnsi="Cambria" w:cs="Arial"/>
          <w:spacing w:val="-2"/>
          <w:sz w:val="20"/>
          <w:szCs w:val="20"/>
        </w:rPr>
      </w:pPr>
      <w:r w:rsidRPr="00207748">
        <w:rPr>
          <w:rStyle w:val="Ohne"/>
          <w:rFonts w:ascii="Cambria" w:hAnsi="Cambria" w:cs="Arial"/>
          <w:spacing w:val="-2"/>
          <w:sz w:val="20"/>
          <w:szCs w:val="20"/>
        </w:rPr>
        <w:t>In jüngerer Zeit bezogen Annane et al 33 geeignete Studien (n = 4.268) in ein neue</w:t>
      </w:r>
      <w:r w:rsidR="005D6525">
        <w:rPr>
          <w:rStyle w:val="Ohne"/>
          <w:rFonts w:ascii="Cambria" w:hAnsi="Cambria" w:cs="Arial"/>
          <w:spacing w:val="-2"/>
          <w:sz w:val="20"/>
          <w:szCs w:val="20"/>
        </w:rPr>
        <w:t>s</w:t>
      </w:r>
      <w:r w:rsidRPr="00207748">
        <w:rPr>
          <w:rStyle w:val="Ohne"/>
          <w:rFonts w:ascii="Cambria" w:hAnsi="Cambria" w:cs="Arial"/>
          <w:spacing w:val="-2"/>
          <w:sz w:val="20"/>
          <w:szCs w:val="20"/>
        </w:rPr>
        <w:t xml:space="preserve"> systematische Review ein</w:t>
      </w:r>
      <w:r w:rsidR="00F939EE" w:rsidRPr="00207748">
        <w:rPr>
          <w:rStyle w:val="Ohne"/>
          <w:rFonts w:ascii="Cambria" w:hAnsi="Cambria" w:cs="Arial"/>
          <w:spacing w:val="-2"/>
          <w:sz w:val="20"/>
          <w:szCs w:val="20"/>
        </w:rPr>
        <w:t>.</w:t>
      </w:r>
      <w:r w:rsidR="006B2B71" w:rsidRPr="006B2B71">
        <w:rPr>
          <w:rStyle w:val="EndnoteRealZchn"/>
        </w:rPr>
        <w:fldChar w:fldCharType="begin"/>
      </w:r>
      <w:r w:rsidR="006B2B71" w:rsidRPr="006B2B71">
        <w:rPr>
          <w:rStyle w:val="EndnoteRealZchn"/>
        </w:rPr>
        <w:instrText xml:space="preserve"> NOTEREF _Ref30587337 \h </w:instrText>
      </w:r>
      <w:r w:rsidR="006B2B71">
        <w:rPr>
          <w:rStyle w:val="EndnoteRealZchn"/>
        </w:rPr>
        <w:instrText xml:space="preserve"> \* MERGEFORMAT </w:instrText>
      </w:r>
      <w:r w:rsidR="006B2B71" w:rsidRPr="006B2B71">
        <w:rPr>
          <w:rStyle w:val="EndnoteRealZchn"/>
        </w:rPr>
      </w:r>
      <w:r w:rsidR="006B2B71" w:rsidRPr="006B2B71">
        <w:rPr>
          <w:rStyle w:val="EndnoteRealZchn"/>
        </w:rPr>
        <w:fldChar w:fldCharType="separate"/>
      </w:r>
      <w:r w:rsidR="001A283B">
        <w:rPr>
          <w:rStyle w:val="EndnoteRealZchn"/>
        </w:rPr>
        <w:t>362</w:t>
      </w:r>
      <w:r w:rsidR="006B2B71" w:rsidRPr="006B2B71">
        <w:rPr>
          <w:rStyle w:val="EndnoteRealZchn"/>
        </w:rPr>
        <w:fldChar w:fldCharType="end"/>
      </w:r>
      <w:r w:rsidR="006B2B71">
        <w:rPr>
          <w:rStyle w:val="Ohne"/>
          <w:rFonts w:ascii="Cambria" w:eastAsia="Arial" w:hAnsi="Cambria" w:cs="Arial"/>
          <w:spacing w:val="-2"/>
          <w:sz w:val="20"/>
          <w:szCs w:val="20"/>
          <w:vertAlign w:val="superscript"/>
        </w:rPr>
        <w:t xml:space="preserve"> </w:t>
      </w:r>
      <w:r w:rsidRPr="00207748">
        <w:rPr>
          <w:rStyle w:val="Ohne"/>
          <w:rFonts w:ascii="Cambria" w:hAnsi="Cambria" w:cs="Arial"/>
          <w:spacing w:val="-2"/>
          <w:sz w:val="20"/>
          <w:szCs w:val="20"/>
        </w:rPr>
        <w:t xml:space="preserve">Von diesen 33 Studien wiesen 23 Studien ein geringes Auswahlverzerrungspotenzial auf; 22 Studien verfügten über ein geringes Performance- und Detektionsverzerrungspotenzial; 27 Studien hatten ein geringes Attritionsverzerrungspotenzial und 14 Studien verfügten über ein geringes Risiko hinsichtlich einer selektiven Berichterstattung. Corticosteroide reduzierten die 28-Tage-Mortalität (27 Studien; n = 3.176; RR, 0,87; 95 % </w:t>
      </w:r>
      <w:r w:rsidRPr="00207748">
        <w:rPr>
          <w:rStyle w:val="Ohne"/>
          <w:rFonts w:ascii="Cambria" w:hAnsi="Cambria" w:cs="Arial"/>
          <w:spacing w:val="-2"/>
          <w:sz w:val="20"/>
          <w:szCs w:val="20"/>
        </w:rPr>
        <w:lastRenderedPageBreak/>
        <w:t>CI, 0,76–1,00). Eine lange Behandlungseinheit mit Niedrigdosis-Corticosteroiden reduzierte die 28-Tage-Mortalität signifikant (22 Studien; RR, 0,87; 95 % CI, 0,78–0,97). Corticosteroide reduzierten auch die ITS-Mortalität (13 Studien; RR, 0,82; 95 % CI, 0,68– 1,00) und die Krankenhaus-Mortalität (17 Studien; RR, 0,85; 95 % CI, 0,73–0,98). Corticosteroide erhöhten den Anteil der Schockrückgänge zum Tag 7 (12 Studien; RR, 1,31; 95 % CI, 1,14–1,51) und zum Tag 28 (sieben Studien; n = 1.013; RR, 1,11; 95 % CI, 1,02– 1,21). Und schließlich wurde eine zusätzliche systematische Review von Volbeda et al veröffentlicht, in die insgesamt 35 Studien mit 4.682 randomisierten Patienten einbezogen wurden (mit Ausnahme von zwei Studien bestand bei allen Studien ein hohes Verzerrungspotenzial)</w:t>
      </w:r>
      <w:r w:rsidR="00F939EE" w:rsidRPr="00207748">
        <w:rPr>
          <w:rStyle w:val="Ohne"/>
          <w:rFonts w:ascii="Cambria" w:hAnsi="Cambria" w:cs="Arial"/>
          <w:spacing w:val="-2"/>
          <w:sz w:val="20"/>
          <w:szCs w:val="20"/>
        </w:rPr>
        <w:t>.</w:t>
      </w:r>
      <w:r w:rsidRPr="00207748">
        <w:rPr>
          <w:rStyle w:val="Ohne"/>
          <w:rFonts w:ascii="Cambria" w:eastAsia="Arial" w:hAnsi="Cambria" w:cs="Arial"/>
          <w:spacing w:val="-2"/>
          <w:sz w:val="20"/>
          <w:szCs w:val="20"/>
          <w:vertAlign w:val="superscript"/>
        </w:rPr>
        <w:endnoteReference w:id="326"/>
      </w:r>
      <w:r w:rsidRPr="00207748">
        <w:rPr>
          <w:rStyle w:val="Ohne"/>
          <w:rFonts w:ascii="Cambria" w:hAnsi="Cambria" w:cs="Arial"/>
          <w:spacing w:val="-2"/>
          <w:sz w:val="20"/>
          <w:szCs w:val="20"/>
        </w:rPr>
        <w:t xml:space="preserve"> Konträr wurde in dieser Review kein statistisch signifikanter Effekt auf die Mortalität bei allen untersuchten Steroid-Dosen im Vergleich zum Placebo festgestellt, und auch bei keiner Intervention nach der maximalen Anzahl der Nachuntersuchungen. Die beiden Studien mit einem geringen Verzerrungspotenzial wiesen ebenfalls keinen statistisch signifikanten Unterschied nach (Zufallseffektmodell RR, 0,38; 95 % CI, 0,06–2,42). Ähnliche Ergebnisse wurden in Untergruppen von Studien festgestellt, die entsprechend der Nutzung von Hydrocortison (oder eines äquivalenten Medikaments) bei hoher Dosis (&gt; 500 mg) oder niedriger Dosis (≤ 500 mg) stratifiziert worden waren (RR, 0,87; Studien-Sequenzanalyse [TSA]-angepasstes CI; 0,38–1,99 bzw. RR, 0,90; TSA-angepasstes CI, 0,49–1,67). Keine statistisch signifikanten Auswirkungen auf die schwerwiegenden Nebenwirkungen (mit Ausnahme der Mortalität) wurden berichtet (RR, 1,02; TSA-angepasstes CI, 0,7–1,48). In Abwesenheit eines überzeugenden Nachweises für einen Nutzen sprechen wir eine schwache Empfehlung gegen die Nutzung von Corticosteroiden zur Behandlung von Patienten mit septischem Schock aus, sofern eine angemessene Flüssigkeits- und Vasopressor-Therapie in der Lage ist, die hämodynamische Stabilität wiederherzustellen.</w:t>
      </w:r>
    </w:p>
    <w:p w14:paraId="4D400642" w14:textId="534598FB" w:rsidR="00E11869" w:rsidRPr="00207748" w:rsidRDefault="00447357" w:rsidP="004454B6">
      <w:pPr>
        <w:rPr>
          <w:rStyle w:val="Ohne"/>
          <w:rFonts w:ascii="Cambria" w:eastAsia="Arial" w:hAnsi="Cambria" w:cs="Arial"/>
          <w:sz w:val="20"/>
          <w:szCs w:val="20"/>
        </w:rPr>
      </w:pPr>
      <w:r w:rsidRPr="00207748">
        <w:rPr>
          <w:rStyle w:val="Ohne"/>
          <w:rFonts w:ascii="Cambria" w:hAnsi="Cambria" w:cs="Arial"/>
          <w:sz w:val="20"/>
          <w:szCs w:val="20"/>
        </w:rPr>
        <w:t xml:space="preserve">In einer Studie war die Beobachtung einer potenziellen Interaktion zwischen der Steroidnutzung und einem ACTH-Test nicht </w:t>
      </w:r>
      <w:r w:rsidRPr="00207748">
        <w:rPr>
          <w:rStyle w:val="Ohne"/>
          <w:rFonts w:ascii="Cambria" w:hAnsi="Cambria" w:cs="Arial"/>
          <w:sz w:val="20"/>
          <w:szCs w:val="20"/>
        </w:rPr>
        <w:lastRenderedPageBreak/>
        <w:t>statistisch signifikant</w:t>
      </w:r>
      <w:r w:rsidR="00F939EE" w:rsidRPr="00207748">
        <w:rPr>
          <w:rStyle w:val="Ohne"/>
          <w:rFonts w:ascii="Cambria" w:hAnsi="Cambria" w:cs="Arial"/>
          <w:sz w:val="20"/>
          <w:szCs w:val="20"/>
        </w:rPr>
        <w:t>.</w:t>
      </w:r>
      <w:bookmarkStart w:id="403" w:name="_Ref30587580"/>
      <w:r w:rsidRPr="00207748">
        <w:rPr>
          <w:rStyle w:val="Ohne"/>
          <w:rFonts w:ascii="Cambria" w:eastAsia="Arial" w:hAnsi="Cambria" w:cs="Arial"/>
          <w:sz w:val="20"/>
          <w:szCs w:val="20"/>
          <w:vertAlign w:val="superscript"/>
        </w:rPr>
        <w:endnoteReference w:id="327"/>
      </w:r>
      <w:bookmarkEnd w:id="403"/>
      <w:r w:rsidRPr="00207748">
        <w:rPr>
          <w:rStyle w:val="Ohne"/>
          <w:rFonts w:ascii="Cambria" w:hAnsi="Cambria" w:cs="Arial"/>
          <w:sz w:val="20"/>
          <w:szCs w:val="20"/>
        </w:rPr>
        <w:t xml:space="preserve"> Des Weiteren wurde kein Nachweis für diese Differenzierung zwischen auf die Therapie ansprechenden und nicht darauf ansprechenden Patienten in einer aktuellen multizentrischen Studie erbracht</w:t>
      </w:r>
      <w:r w:rsidR="00F939EE" w:rsidRPr="00207748">
        <w:rPr>
          <w:rStyle w:val="Ohne"/>
          <w:rFonts w:ascii="Cambria" w:hAnsi="Cambria" w:cs="Arial"/>
          <w:sz w:val="20"/>
          <w:szCs w:val="20"/>
        </w:rPr>
        <w:t>.</w:t>
      </w:r>
      <w:r w:rsidR="006B2B71" w:rsidRPr="006B2B71">
        <w:rPr>
          <w:rStyle w:val="EndnoteRealZchn"/>
        </w:rPr>
        <w:fldChar w:fldCharType="begin"/>
      </w:r>
      <w:r w:rsidR="006B2B71" w:rsidRPr="006B2B71">
        <w:rPr>
          <w:rStyle w:val="EndnoteRealZchn"/>
        </w:rPr>
        <w:instrText xml:space="preserve"> NOTEREF _Ref30587465 \h </w:instrText>
      </w:r>
      <w:r w:rsidR="006B2B71">
        <w:rPr>
          <w:rStyle w:val="EndnoteRealZchn"/>
        </w:rPr>
        <w:instrText xml:space="preserve"> \* MERGEFORMAT </w:instrText>
      </w:r>
      <w:r w:rsidR="006B2B71" w:rsidRPr="006B2B71">
        <w:rPr>
          <w:rStyle w:val="EndnoteRealZchn"/>
        </w:rPr>
      </w:r>
      <w:r w:rsidR="006B2B71" w:rsidRPr="006B2B71">
        <w:rPr>
          <w:rStyle w:val="EndnoteRealZchn"/>
        </w:rPr>
        <w:fldChar w:fldCharType="separate"/>
      </w:r>
      <w:r w:rsidR="001A283B">
        <w:rPr>
          <w:rStyle w:val="EndnoteRealZchn"/>
        </w:rPr>
        <w:t>365</w:t>
      </w:r>
      <w:r w:rsidR="006B2B71" w:rsidRPr="006B2B71">
        <w:rPr>
          <w:rStyle w:val="EndnoteRealZchn"/>
        </w:rPr>
        <w:fldChar w:fldCharType="end"/>
      </w:r>
      <w:r w:rsidR="006B2B71">
        <w:rPr>
          <w:rStyle w:val="Ohne"/>
          <w:rFonts w:ascii="Cambria" w:eastAsia="Arial" w:hAnsi="Cambria" w:cs="Arial"/>
          <w:sz w:val="20"/>
          <w:szCs w:val="20"/>
          <w:vertAlign w:val="superscript"/>
        </w:rPr>
        <w:t xml:space="preserve"> </w:t>
      </w:r>
      <w:r w:rsidRPr="00207748">
        <w:rPr>
          <w:rStyle w:val="Ohne"/>
          <w:rFonts w:ascii="Cambria" w:hAnsi="Cambria" w:cs="Arial"/>
          <w:sz w:val="20"/>
          <w:szCs w:val="20"/>
        </w:rPr>
        <w:t>Stichprobenartige Überprüfungen des Cortisol</w:t>
      </w:r>
      <w:r w:rsidR="00701487" w:rsidRPr="00207748">
        <w:rPr>
          <w:rStyle w:val="Ohne"/>
          <w:rFonts w:ascii="Cambria" w:hAnsi="Cambria" w:cs="Arial"/>
          <w:sz w:val="20"/>
          <w:szCs w:val="20"/>
        </w:rPr>
        <w:t>-S</w:t>
      </w:r>
      <w:r w:rsidRPr="00207748">
        <w:rPr>
          <w:rStyle w:val="Ohne"/>
          <w:rFonts w:ascii="Cambria" w:hAnsi="Cambria" w:cs="Arial"/>
          <w:sz w:val="20"/>
          <w:szCs w:val="20"/>
        </w:rPr>
        <w:t>piegels könnten dennoch bei absoluter Nebenniereninsuffizienz hilfreich sein,</w:t>
      </w:r>
      <w:r w:rsidRPr="00207748">
        <w:rPr>
          <w:rStyle w:val="Ohne"/>
          <w:rFonts w:ascii="Cambria" w:hAnsi="Cambria" w:cs="Arial"/>
          <w:spacing w:val="3"/>
          <w:sz w:val="20"/>
          <w:szCs w:val="20"/>
        </w:rPr>
        <w:t xml:space="preserve"> es gibt jedoch keine Belege dafür, dass stichprobenartige Überprüfungen des Cortisolspiegels bei Patienten mit septischem Schock, bei denen eine relative Nebenniereninsuffizienz vorliegt (keine angemessene Stressreaktion), hilfreich sind. Cortisol-Immunoassays könnten den tatsächlichen Cortisol</w:t>
      </w:r>
      <w:r w:rsidR="00701487" w:rsidRPr="00207748">
        <w:rPr>
          <w:rStyle w:val="Ohne"/>
          <w:rFonts w:ascii="Cambria" w:hAnsi="Cambria" w:cs="Arial"/>
          <w:spacing w:val="3"/>
          <w:sz w:val="20"/>
          <w:szCs w:val="20"/>
        </w:rPr>
        <w:t>-S</w:t>
      </w:r>
      <w:r w:rsidRPr="00207748">
        <w:rPr>
          <w:rStyle w:val="Ohne"/>
          <w:rFonts w:ascii="Cambria" w:hAnsi="Cambria" w:cs="Arial"/>
          <w:spacing w:val="3"/>
          <w:sz w:val="20"/>
          <w:szCs w:val="20"/>
        </w:rPr>
        <w:t>piegel über- oder unterschätzen, was die Zuordnung der Patienten zu den auf die Therapie ansprechenden und nicht darauf ansprechenden Patienten beeinträchtigt</w:t>
      </w:r>
      <w:r w:rsidR="00F939EE" w:rsidRPr="00207748">
        <w:rPr>
          <w:rStyle w:val="Ohne"/>
          <w:rFonts w:ascii="Cambria" w:hAnsi="Cambria" w:cs="Arial"/>
          <w:spacing w:val="3"/>
          <w:sz w:val="20"/>
          <w:szCs w:val="20"/>
        </w:rPr>
        <w:t>.</w:t>
      </w:r>
      <w:r w:rsidRPr="00207748">
        <w:rPr>
          <w:rStyle w:val="Ohne"/>
          <w:rFonts w:ascii="Cambria" w:eastAsia="Arial" w:hAnsi="Cambria" w:cs="Arial"/>
          <w:spacing w:val="3"/>
          <w:sz w:val="20"/>
          <w:szCs w:val="20"/>
          <w:vertAlign w:val="superscript"/>
        </w:rPr>
        <w:endnoteReference w:id="328"/>
      </w:r>
      <w:r w:rsidRPr="00207748">
        <w:rPr>
          <w:rStyle w:val="Ohne"/>
          <w:rFonts w:ascii="Cambria" w:hAnsi="Cambria" w:cs="Arial"/>
          <w:spacing w:val="3"/>
          <w:sz w:val="20"/>
          <w:szCs w:val="20"/>
        </w:rPr>
        <w:t xml:space="preserve"> Obwohl die klinische Signifikanz nicht eindeutig geklärt ist, wird inzwischen anerkannt, dass Etomidat</w:t>
      </w:r>
      <w:r w:rsidR="005D6525">
        <w:rPr>
          <w:rStyle w:val="Ohne"/>
          <w:rFonts w:ascii="Cambria" w:hAnsi="Cambria" w:cs="Arial"/>
          <w:spacing w:val="3"/>
          <w:sz w:val="20"/>
          <w:szCs w:val="20"/>
        </w:rPr>
        <w:t>e</w:t>
      </w:r>
      <w:r w:rsidRPr="00207748">
        <w:rPr>
          <w:rStyle w:val="Ohne"/>
          <w:rFonts w:ascii="Cambria" w:hAnsi="Cambria" w:cs="Arial"/>
          <w:spacing w:val="3"/>
          <w:sz w:val="20"/>
          <w:szCs w:val="20"/>
        </w:rPr>
        <w:t xml:space="preserve"> die Hypothalamus-Nebennieren-Achse hemmt</w:t>
      </w:r>
      <w:r w:rsidR="00F939EE" w:rsidRPr="00207748">
        <w:rPr>
          <w:rStyle w:val="Ohne"/>
          <w:rFonts w:ascii="Cambria" w:hAnsi="Cambria" w:cs="Arial"/>
          <w:spacing w:val="3"/>
          <w:sz w:val="20"/>
          <w:szCs w:val="20"/>
        </w:rPr>
        <w:t>.</w:t>
      </w:r>
      <w:r w:rsidRPr="00207748">
        <w:rPr>
          <w:rStyle w:val="Ohne"/>
          <w:rFonts w:ascii="Cambria" w:eastAsia="Arial" w:hAnsi="Cambria" w:cs="Arial"/>
          <w:spacing w:val="3"/>
          <w:sz w:val="20"/>
          <w:szCs w:val="20"/>
          <w:vertAlign w:val="superscript"/>
        </w:rPr>
        <w:endnoteReference w:id="329"/>
      </w:r>
      <w:r w:rsidRPr="00207748">
        <w:rPr>
          <w:rStyle w:val="Ohne"/>
          <w:rFonts w:ascii="Cambria" w:hAnsi="Cambria" w:cs="Arial"/>
          <w:spacing w:val="3"/>
          <w:sz w:val="20"/>
          <w:szCs w:val="20"/>
        </w:rPr>
        <w:t xml:space="preserve"> </w:t>
      </w:r>
      <w:r w:rsidRPr="00207748">
        <w:rPr>
          <w:rStyle w:val="Ohne"/>
          <w:rFonts w:ascii="Cambria" w:eastAsia="Arial" w:hAnsi="Cambria" w:cs="Arial"/>
          <w:spacing w:val="3"/>
          <w:sz w:val="20"/>
          <w:szCs w:val="20"/>
          <w:vertAlign w:val="superscript"/>
        </w:rPr>
        <w:endnoteReference w:id="330"/>
      </w:r>
      <w:r w:rsidRPr="00207748">
        <w:rPr>
          <w:rStyle w:val="Ohne"/>
          <w:rFonts w:ascii="Cambria" w:hAnsi="Cambria" w:cs="Arial"/>
          <w:spacing w:val="3"/>
          <w:sz w:val="20"/>
          <w:szCs w:val="20"/>
        </w:rPr>
        <w:t xml:space="preserve"> Des Weiteren hat eine Unteranalyse der CORTICUS-Studie ergeben, dass die Nutzung von Etomidat</w:t>
      </w:r>
      <w:r w:rsidR="005D6525">
        <w:rPr>
          <w:rStyle w:val="Ohne"/>
          <w:rFonts w:ascii="Cambria" w:hAnsi="Cambria" w:cs="Arial"/>
          <w:spacing w:val="3"/>
          <w:sz w:val="20"/>
          <w:szCs w:val="20"/>
        </w:rPr>
        <w:t>e</w:t>
      </w:r>
      <w:r w:rsidRPr="00207748">
        <w:rPr>
          <w:rStyle w:val="Ohne"/>
          <w:rFonts w:ascii="Cambria" w:hAnsi="Cambria" w:cs="Arial"/>
          <w:spacing w:val="3"/>
          <w:sz w:val="20"/>
          <w:szCs w:val="20"/>
        </w:rPr>
        <w:t xml:space="preserve"> vor der Anwendung von Niedrigdosis-Steroiden mit einer Erhöhung der 28-Tage-Mortalitätsrate verbunden war</w:t>
      </w:r>
      <w:r w:rsidR="00F939EE" w:rsidRPr="00207748">
        <w:rPr>
          <w:rStyle w:val="Ohne"/>
          <w:rFonts w:ascii="Cambria" w:hAnsi="Cambria" w:cs="Arial"/>
          <w:spacing w:val="3"/>
          <w:sz w:val="20"/>
          <w:szCs w:val="20"/>
        </w:rPr>
        <w:t>.</w:t>
      </w:r>
      <w:r w:rsidR="006B2B71" w:rsidRPr="006B2B71">
        <w:rPr>
          <w:rStyle w:val="EndnoteRealZchn"/>
        </w:rPr>
        <w:fldChar w:fldCharType="begin"/>
      </w:r>
      <w:r w:rsidR="006B2B71" w:rsidRPr="006B2B71">
        <w:rPr>
          <w:rStyle w:val="EndnoteRealZchn"/>
        </w:rPr>
        <w:instrText xml:space="preserve"> NOTEREF _Ref30587465 \h </w:instrText>
      </w:r>
      <w:r w:rsidR="006B2B71">
        <w:rPr>
          <w:rStyle w:val="EndnoteRealZchn"/>
        </w:rPr>
        <w:instrText xml:space="preserve"> \* MERGEFORMAT </w:instrText>
      </w:r>
      <w:r w:rsidR="006B2B71" w:rsidRPr="006B2B71">
        <w:rPr>
          <w:rStyle w:val="EndnoteRealZchn"/>
        </w:rPr>
      </w:r>
      <w:r w:rsidR="006B2B71" w:rsidRPr="006B2B71">
        <w:rPr>
          <w:rStyle w:val="EndnoteRealZchn"/>
        </w:rPr>
        <w:fldChar w:fldCharType="separate"/>
      </w:r>
      <w:r w:rsidR="001A283B">
        <w:rPr>
          <w:rStyle w:val="EndnoteRealZchn"/>
        </w:rPr>
        <w:t>365</w:t>
      </w:r>
      <w:r w:rsidR="006B2B71" w:rsidRPr="006B2B71">
        <w:rPr>
          <w:rStyle w:val="EndnoteRealZchn"/>
        </w:rPr>
        <w:fldChar w:fldCharType="end"/>
      </w:r>
    </w:p>
    <w:p w14:paraId="2C3CEEAA" w14:textId="03750F32" w:rsidR="00E11869" w:rsidRPr="00207748" w:rsidRDefault="00447357" w:rsidP="004454B6">
      <w:pPr>
        <w:rPr>
          <w:rStyle w:val="Ohne"/>
          <w:rFonts w:ascii="Cambria" w:eastAsia="Arial" w:hAnsi="Cambria" w:cs="Arial"/>
          <w:spacing w:val="-4"/>
          <w:sz w:val="20"/>
          <w:szCs w:val="20"/>
        </w:rPr>
      </w:pPr>
      <w:r w:rsidRPr="00207748">
        <w:rPr>
          <w:rStyle w:val="Ohne"/>
          <w:rFonts w:ascii="Cambria" w:hAnsi="Cambria" w:cs="Arial"/>
          <w:spacing w:val="-4"/>
          <w:sz w:val="20"/>
          <w:szCs w:val="20"/>
        </w:rPr>
        <w:t xml:space="preserve">Es ist keine vergleichende Studie zwischen einem Behandlungsschema mit festgelegter Dauer und einem klinisch gesteuerten Behandlungsschema oder zwischen dem Ausschleichen und dem abrupten Absetzen von Steroiden vorhanden. Drei RCTs nutzten ein Behandlungsschema mit festgelegter Dauer </w:t>
      </w:r>
      <w:r w:rsidR="006B2B71" w:rsidRPr="006B2B71">
        <w:rPr>
          <w:rStyle w:val="EndnoteRealZchn"/>
          <w:sz w:val="20"/>
          <w:szCs w:val="20"/>
        </w:rPr>
        <w:fldChar w:fldCharType="begin"/>
      </w:r>
      <w:r w:rsidR="006B2B71" w:rsidRPr="006B2B71">
        <w:rPr>
          <w:rStyle w:val="EndnoteRealZchn"/>
          <w:sz w:val="20"/>
          <w:szCs w:val="20"/>
        </w:rPr>
        <w:instrText xml:space="preserve"> NOTEREF _Ref30588039 \h  \* MERGEFORMAT </w:instrText>
      </w:r>
      <w:r w:rsidR="006B2B71" w:rsidRPr="006B2B71">
        <w:rPr>
          <w:rStyle w:val="EndnoteRealZchn"/>
          <w:sz w:val="20"/>
          <w:szCs w:val="20"/>
        </w:rPr>
      </w:r>
      <w:r w:rsidR="006B2B71" w:rsidRPr="006B2B71">
        <w:rPr>
          <w:rStyle w:val="EndnoteRealZchn"/>
          <w:sz w:val="20"/>
          <w:szCs w:val="20"/>
        </w:rPr>
        <w:fldChar w:fldCharType="separate"/>
      </w:r>
      <w:r w:rsidR="001A283B">
        <w:rPr>
          <w:rStyle w:val="EndnoteRealZchn"/>
          <w:sz w:val="20"/>
          <w:szCs w:val="20"/>
        </w:rPr>
        <w:t>363</w:t>
      </w:r>
      <w:r w:rsidR="006B2B71" w:rsidRPr="006B2B71">
        <w:rPr>
          <w:rStyle w:val="EndnoteRealZchn"/>
          <w:sz w:val="20"/>
          <w:szCs w:val="20"/>
        </w:rPr>
        <w:fldChar w:fldCharType="end"/>
      </w:r>
      <w:r w:rsidR="006B2B71" w:rsidRPr="006B2B71">
        <w:rPr>
          <w:rStyle w:val="EndnoteRealZchn"/>
          <w:sz w:val="20"/>
          <w:szCs w:val="20"/>
        </w:rPr>
        <w:t xml:space="preserve"> </w:t>
      </w:r>
      <w:r w:rsidR="006B2B71" w:rsidRPr="006B2B71">
        <w:rPr>
          <w:rStyle w:val="EndnoteRealZchn"/>
          <w:sz w:val="20"/>
          <w:szCs w:val="20"/>
        </w:rPr>
        <w:fldChar w:fldCharType="begin"/>
      </w:r>
      <w:r w:rsidR="006B2B71" w:rsidRPr="006B2B71">
        <w:rPr>
          <w:rStyle w:val="EndnoteRealZchn"/>
          <w:sz w:val="20"/>
          <w:szCs w:val="20"/>
        </w:rPr>
        <w:instrText xml:space="preserve"> NOTEREF _Ref30587465 \h  \* MERGEFORMAT </w:instrText>
      </w:r>
      <w:r w:rsidR="006B2B71" w:rsidRPr="006B2B71">
        <w:rPr>
          <w:rStyle w:val="EndnoteRealZchn"/>
          <w:sz w:val="20"/>
          <w:szCs w:val="20"/>
        </w:rPr>
      </w:r>
      <w:r w:rsidR="006B2B71" w:rsidRPr="006B2B71">
        <w:rPr>
          <w:rStyle w:val="EndnoteRealZchn"/>
          <w:sz w:val="20"/>
          <w:szCs w:val="20"/>
        </w:rPr>
        <w:fldChar w:fldCharType="separate"/>
      </w:r>
      <w:r w:rsidR="001A283B">
        <w:rPr>
          <w:rStyle w:val="EndnoteRealZchn"/>
          <w:sz w:val="20"/>
          <w:szCs w:val="20"/>
        </w:rPr>
        <w:t>365</w:t>
      </w:r>
      <w:r w:rsidR="006B2B71" w:rsidRPr="006B2B71">
        <w:rPr>
          <w:rStyle w:val="EndnoteRealZchn"/>
          <w:sz w:val="20"/>
          <w:szCs w:val="20"/>
        </w:rPr>
        <w:fldChar w:fldCharType="end"/>
      </w:r>
      <w:r w:rsidR="006B2B71" w:rsidRPr="006B2B71">
        <w:rPr>
          <w:rStyle w:val="EndnoteRealZchn"/>
          <w:sz w:val="20"/>
          <w:szCs w:val="20"/>
        </w:rPr>
        <w:t xml:space="preserve"> </w:t>
      </w:r>
      <w:r w:rsidR="006B2B71" w:rsidRPr="006B2B71">
        <w:rPr>
          <w:rStyle w:val="Ohne"/>
          <w:rFonts w:ascii="Cambria" w:eastAsia="Arial" w:hAnsi="Cambria" w:cs="Arial"/>
          <w:spacing w:val="-4"/>
          <w:sz w:val="20"/>
          <w:szCs w:val="20"/>
          <w:vertAlign w:val="superscript"/>
        </w:rPr>
        <w:fldChar w:fldCharType="begin"/>
      </w:r>
      <w:r w:rsidR="006B2B71" w:rsidRPr="006B2B71">
        <w:rPr>
          <w:rStyle w:val="Ohne"/>
          <w:rFonts w:ascii="Cambria" w:eastAsia="Arial" w:hAnsi="Cambria" w:cs="Arial"/>
          <w:spacing w:val="-4"/>
          <w:sz w:val="20"/>
          <w:szCs w:val="20"/>
          <w:vertAlign w:val="superscript"/>
        </w:rPr>
        <w:instrText xml:space="preserve"> NOTEREF _Ref30587580 \h </w:instrText>
      </w:r>
      <w:r w:rsidR="006B2B71">
        <w:rPr>
          <w:rStyle w:val="Ohne"/>
          <w:rFonts w:ascii="Cambria" w:eastAsia="Arial" w:hAnsi="Cambria" w:cs="Arial"/>
          <w:spacing w:val="-4"/>
          <w:sz w:val="20"/>
          <w:szCs w:val="20"/>
          <w:vertAlign w:val="superscript"/>
        </w:rPr>
        <w:instrText xml:space="preserve"> \* MERGEFORMAT </w:instrText>
      </w:r>
      <w:r w:rsidR="006B2B71" w:rsidRPr="006B2B71">
        <w:rPr>
          <w:rStyle w:val="Ohne"/>
          <w:rFonts w:ascii="Cambria" w:eastAsia="Arial" w:hAnsi="Cambria" w:cs="Arial"/>
          <w:spacing w:val="-4"/>
          <w:sz w:val="20"/>
          <w:szCs w:val="20"/>
          <w:vertAlign w:val="superscript"/>
        </w:rPr>
      </w:r>
      <w:r w:rsidR="006B2B71" w:rsidRPr="006B2B71">
        <w:rPr>
          <w:rStyle w:val="Ohne"/>
          <w:rFonts w:ascii="Cambria" w:eastAsia="Arial" w:hAnsi="Cambria" w:cs="Arial"/>
          <w:spacing w:val="-4"/>
          <w:sz w:val="20"/>
          <w:szCs w:val="20"/>
          <w:vertAlign w:val="superscript"/>
        </w:rPr>
        <w:fldChar w:fldCharType="separate"/>
      </w:r>
      <w:r w:rsidR="001A283B">
        <w:rPr>
          <w:rStyle w:val="Ohne"/>
          <w:rFonts w:ascii="Cambria" w:eastAsia="Arial" w:hAnsi="Cambria" w:cs="Arial"/>
          <w:spacing w:val="-4"/>
          <w:sz w:val="20"/>
          <w:szCs w:val="20"/>
          <w:vertAlign w:val="superscript"/>
        </w:rPr>
        <w:t>368</w:t>
      </w:r>
      <w:r w:rsidR="006B2B71" w:rsidRPr="006B2B71">
        <w:rPr>
          <w:rStyle w:val="Ohne"/>
          <w:rFonts w:ascii="Cambria" w:eastAsia="Arial" w:hAnsi="Cambria" w:cs="Arial"/>
          <w:spacing w:val="-4"/>
          <w:sz w:val="20"/>
          <w:szCs w:val="20"/>
          <w:vertAlign w:val="superscript"/>
        </w:rPr>
        <w:fldChar w:fldCharType="end"/>
      </w:r>
      <w:r w:rsidR="006B2B71">
        <w:rPr>
          <w:rStyle w:val="Ohne"/>
          <w:rFonts w:ascii="Cambria" w:eastAsia="Arial" w:hAnsi="Cambria" w:cs="Arial"/>
          <w:spacing w:val="-4"/>
          <w:sz w:val="20"/>
          <w:szCs w:val="20"/>
          <w:vertAlign w:val="superscript"/>
        </w:rPr>
        <w:t xml:space="preserve"> </w:t>
      </w:r>
      <w:r w:rsidRPr="00207748">
        <w:rPr>
          <w:rStyle w:val="Ohne"/>
          <w:rFonts w:ascii="Cambria" w:hAnsi="Cambria" w:cs="Arial"/>
          <w:spacing w:val="-4"/>
          <w:sz w:val="20"/>
          <w:szCs w:val="20"/>
        </w:rPr>
        <w:t xml:space="preserve">und in zwei RCTs wurde die </w:t>
      </w:r>
      <w:r w:rsidR="005D6525">
        <w:rPr>
          <w:rStyle w:val="Ohne"/>
          <w:rFonts w:ascii="Cambria" w:hAnsi="Cambria" w:cs="Arial"/>
          <w:spacing w:val="-4"/>
          <w:sz w:val="20"/>
          <w:szCs w:val="20"/>
        </w:rPr>
        <w:t>Dosis</w:t>
      </w:r>
      <w:r w:rsidRPr="00207748">
        <w:rPr>
          <w:rStyle w:val="Ohne"/>
          <w:rFonts w:ascii="Cambria" w:hAnsi="Cambria" w:cs="Arial"/>
          <w:spacing w:val="-4"/>
          <w:sz w:val="20"/>
          <w:szCs w:val="20"/>
        </w:rPr>
        <w:t xml:space="preserve"> verringert, nachdem der Schock abgeklungen war</w:t>
      </w:r>
      <w:r w:rsidR="006B2B71">
        <w:rPr>
          <w:rStyle w:val="Ohne"/>
          <w:rFonts w:ascii="Cambria" w:hAnsi="Cambria" w:cs="Arial"/>
          <w:spacing w:val="-4"/>
          <w:sz w:val="20"/>
          <w:szCs w:val="20"/>
        </w:rPr>
        <w:t xml:space="preserve"> </w:t>
      </w:r>
      <w:r w:rsidR="006B2B71">
        <w:rPr>
          <w:rStyle w:val="Ohne"/>
          <w:rFonts w:ascii="Cambria" w:eastAsia="Arial" w:hAnsi="Cambria" w:cs="Arial"/>
          <w:spacing w:val="-4"/>
          <w:sz w:val="20"/>
          <w:szCs w:val="20"/>
          <w:vertAlign w:val="superscript"/>
        </w:rPr>
        <w:fldChar w:fldCharType="begin"/>
      </w:r>
      <w:r w:rsidR="006B2B71">
        <w:rPr>
          <w:rStyle w:val="Ohne"/>
          <w:rFonts w:ascii="Cambria" w:hAnsi="Cambria" w:cs="Arial"/>
          <w:spacing w:val="-4"/>
          <w:sz w:val="20"/>
          <w:szCs w:val="20"/>
        </w:rPr>
        <w:instrText xml:space="preserve"> NOTEREF _Ref30587726 \h </w:instrText>
      </w:r>
      <w:r w:rsidR="006B2B71">
        <w:rPr>
          <w:rStyle w:val="Ohne"/>
          <w:rFonts w:ascii="Cambria" w:eastAsia="Arial" w:hAnsi="Cambria" w:cs="Arial"/>
          <w:spacing w:val="-4"/>
          <w:sz w:val="20"/>
          <w:szCs w:val="20"/>
          <w:vertAlign w:val="superscript"/>
        </w:rPr>
      </w:r>
      <w:r w:rsidR="006B2B71">
        <w:rPr>
          <w:rStyle w:val="Ohne"/>
          <w:rFonts w:ascii="Cambria" w:eastAsia="Arial" w:hAnsi="Cambria" w:cs="Arial"/>
          <w:spacing w:val="-4"/>
          <w:sz w:val="20"/>
          <w:szCs w:val="20"/>
          <w:vertAlign w:val="superscript"/>
        </w:rPr>
        <w:fldChar w:fldCharType="separate"/>
      </w:r>
      <w:r w:rsidR="001A283B">
        <w:rPr>
          <w:rStyle w:val="Ohne"/>
          <w:rFonts w:ascii="Cambria" w:hAnsi="Cambria" w:cs="Arial"/>
          <w:spacing w:val="-4"/>
          <w:sz w:val="20"/>
          <w:szCs w:val="20"/>
        </w:rPr>
        <w:t>364</w:t>
      </w:r>
      <w:r w:rsidR="006B2B71">
        <w:rPr>
          <w:rStyle w:val="Ohne"/>
          <w:rFonts w:ascii="Cambria" w:eastAsia="Arial" w:hAnsi="Cambria" w:cs="Arial"/>
          <w:spacing w:val="-4"/>
          <w:sz w:val="20"/>
          <w:szCs w:val="20"/>
          <w:vertAlign w:val="superscript"/>
        </w:rPr>
        <w:fldChar w:fldCharType="end"/>
      </w:r>
      <w:r w:rsidRPr="00207748">
        <w:rPr>
          <w:rStyle w:val="Ohne"/>
          <w:rFonts w:ascii="Cambria" w:hAnsi="Cambria" w:cs="Arial"/>
          <w:spacing w:val="-4"/>
          <w:sz w:val="20"/>
          <w:szCs w:val="20"/>
        </w:rPr>
        <w:t xml:space="preserve"> </w:t>
      </w:r>
      <w:bookmarkStart w:id="404" w:name="_Ref30588801"/>
      <w:r w:rsidRPr="00207748">
        <w:rPr>
          <w:rStyle w:val="Ohne"/>
          <w:rFonts w:ascii="Cambria" w:eastAsia="Arial" w:hAnsi="Cambria" w:cs="Arial"/>
          <w:spacing w:val="-4"/>
          <w:sz w:val="20"/>
          <w:szCs w:val="20"/>
          <w:vertAlign w:val="superscript"/>
        </w:rPr>
        <w:endnoteReference w:id="331"/>
      </w:r>
      <w:bookmarkEnd w:id="404"/>
      <w:r w:rsidRPr="00207748">
        <w:rPr>
          <w:rStyle w:val="Ohne"/>
          <w:rFonts w:ascii="Cambria" w:hAnsi="Cambria" w:cs="Arial"/>
          <w:spacing w:val="-4"/>
          <w:sz w:val="20"/>
          <w:szCs w:val="20"/>
        </w:rPr>
        <w:t xml:space="preserve">. In vier Studien wurden die Steroide über einen Zeitraum von mehreren Tagen ausgeschlichen </w:t>
      </w:r>
      <w:r w:rsidR="006B2B71">
        <w:rPr>
          <w:rStyle w:val="Ohne"/>
          <w:rFonts w:ascii="Cambria" w:eastAsia="Arial" w:hAnsi="Cambria" w:cs="Arial"/>
          <w:spacing w:val="-4"/>
          <w:sz w:val="20"/>
          <w:szCs w:val="20"/>
          <w:vertAlign w:val="superscript"/>
        </w:rPr>
        <w:fldChar w:fldCharType="begin"/>
      </w:r>
      <w:r w:rsidR="006B2B71">
        <w:rPr>
          <w:rStyle w:val="Ohne"/>
          <w:rFonts w:ascii="Cambria" w:hAnsi="Cambria" w:cs="Arial"/>
          <w:spacing w:val="-4"/>
          <w:sz w:val="20"/>
          <w:szCs w:val="20"/>
        </w:rPr>
        <w:instrText xml:space="preserve"> NOTEREF _Ref30588039 \h </w:instrText>
      </w:r>
      <w:r w:rsidR="006B2B71">
        <w:rPr>
          <w:rStyle w:val="Ohne"/>
          <w:rFonts w:ascii="Cambria" w:eastAsia="Arial" w:hAnsi="Cambria" w:cs="Arial"/>
          <w:spacing w:val="-4"/>
          <w:sz w:val="20"/>
          <w:szCs w:val="20"/>
          <w:vertAlign w:val="superscript"/>
        </w:rPr>
      </w:r>
      <w:r w:rsidR="006B2B71">
        <w:rPr>
          <w:rStyle w:val="Ohne"/>
          <w:rFonts w:ascii="Cambria" w:eastAsia="Arial" w:hAnsi="Cambria" w:cs="Arial"/>
          <w:spacing w:val="-4"/>
          <w:sz w:val="20"/>
          <w:szCs w:val="20"/>
          <w:vertAlign w:val="superscript"/>
        </w:rPr>
        <w:fldChar w:fldCharType="separate"/>
      </w:r>
      <w:r w:rsidR="001A283B">
        <w:rPr>
          <w:rStyle w:val="Ohne"/>
          <w:rFonts w:ascii="Cambria" w:hAnsi="Cambria" w:cs="Arial"/>
          <w:spacing w:val="-4"/>
          <w:sz w:val="20"/>
          <w:szCs w:val="20"/>
        </w:rPr>
        <w:t>363</w:t>
      </w:r>
      <w:r w:rsidR="006B2B71">
        <w:rPr>
          <w:rStyle w:val="Ohne"/>
          <w:rFonts w:ascii="Cambria" w:eastAsia="Arial" w:hAnsi="Cambria" w:cs="Arial"/>
          <w:spacing w:val="-4"/>
          <w:sz w:val="20"/>
          <w:szCs w:val="20"/>
          <w:vertAlign w:val="superscript"/>
        </w:rPr>
        <w:fldChar w:fldCharType="end"/>
      </w:r>
      <w:r w:rsidRPr="00207748">
        <w:rPr>
          <w:rStyle w:val="Ohne"/>
          <w:rFonts w:ascii="Cambria" w:hAnsi="Cambria" w:cs="Arial"/>
          <w:spacing w:val="-4"/>
          <w:sz w:val="20"/>
          <w:szCs w:val="20"/>
        </w:rPr>
        <w:t xml:space="preserve"> </w:t>
      </w:r>
      <w:r w:rsidR="006B2B71" w:rsidRPr="006B2B71">
        <w:rPr>
          <w:rStyle w:val="EndnoteRealZchn"/>
          <w:sz w:val="20"/>
          <w:szCs w:val="20"/>
        </w:rPr>
        <w:fldChar w:fldCharType="begin"/>
      </w:r>
      <w:r w:rsidR="006B2B71" w:rsidRPr="006B2B71">
        <w:rPr>
          <w:rStyle w:val="EndnoteRealZchn"/>
          <w:sz w:val="20"/>
          <w:szCs w:val="20"/>
        </w:rPr>
        <w:instrText xml:space="preserve"> NOTEREF _Ref30587726 \h  \* MERGEFORMAT </w:instrText>
      </w:r>
      <w:r w:rsidR="006B2B71" w:rsidRPr="006B2B71">
        <w:rPr>
          <w:rStyle w:val="EndnoteRealZchn"/>
          <w:sz w:val="20"/>
          <w:szCs w:val="20"/>
        </w:rPr>
      </w:r>
      <w:r w:rsidR="006B2B71" w:rsidRPr="006B2B71">
        <w:rPr>
          <w:rStyle w:val="EndnoteRealZchn"/>
          <w:sz w:val="20"/>
          <w:szCs w:val="20"/>
        </w:rPr>
        <w:fldChar w:fldCharType="separate"/>
      </w:r>
      <w:r w:rsidR="001A283B">
        <w:rPr>
          <w:rStyle w:val="EndnoteRealZchn"/>
          <w:sz w:val="20"/>
          <w:szCs w:val="20"/>
        </w:rPr>
        <w:t>364</w:t>
      </w:r>
      <w:r w:rsidR="006B2B71" w:rsidRPr="006B2B71">
        <w:rPr>
          <w:rStyle w:val="EndnoteRealZchn"/>
          <w:sz w:val="20"/>
          <w:szCs w:val="20"/>
        </w:rPr>
        <w:fldChar w:fldCharType="end"/>
      </w:r>
      <w:r w:rsidR="006B2B71" w:rsidRPr="006B2B71">
        <w:rPr>
          <w:rStyle w:val="Ohne"/>
          <w:rFonts w:ascii="Cambria" w:eastAsia="Arial" w:hAnsi="Cambria" w:cs="Arial"/>
          <w:spacing w:val="-4"/>
          <w:sz w:val="20"/>
          <w:szCs w:val="20"/>
          <w:vertAlign w:val="superscript"/>
        </w:rPr>
        <w:t xml:space="preserve"> </w:t>
      </w:r>
      <w:r w:rsidR="006B2B71" w:rsidRPr="006B2B71">
        <w:rPr>
          <w:rStyle w:val="EndnoteRealZchn"/>
          <w:sz w:val="20"/>
          <w:szCs w:val="20"/>
        </w:rPr>
        <w:fldChar w:fldCharType="begin"/>
      </w:r>
      <w:r w:rsidR="006B2B71" w:rsidRPr="006B2B71">
        <w:rPr>
          <w:rStyle w:val="EndnoteRealZchn"/>
          <w:sz w:val="20"/>
          <w:szCs w:val="20"/>
        </w:rPr>
        <w:instrText xml:space="preserve"> NOTEREF _Ref30587465 \h  \* MERGEFORMAT </w:instrText>
      </w:r>
      <w:r w:rsidR="006B2B71" w:rsidRPr="006B2B71">
        <w:rPr>
          <w:rStyle w:val="EndnoteRealZchn"/>
          <w:sz w:val="20"/>
          <w:szCs w:val="20"/>
        </w:rPr>
      </w:r>
      <w:r w:rsidR="006B2B71" w:rsidRPr="006B2B71">
        <w:rPr>
          <w:rStyle w:val="EndnoteRealZchn"/>
          <w:sz w:val="20"/>
          <w:szCs w:val="20"/>
        </w:rPr>
        <w:fldChar w:fldCharType="separate"/>
      </w:r>
      <w:r w:rsidR="001A283B">
        <w:rPr>
          <w:rStyle w:val="EndnoteRealZchn"/>
          <w:sz w:val="20"/>
          <w:szCs w:val="20"/>
        </w:rPr>
        <w:t>365</w:t>
      </w:r>
      <w:r w:rsidR="006B2B71" w:rsidRPr="006B2B71">
        <w:rPr>
          <w:rStyle w:val="EndnoteRealZchn"/>
          <w:sz w:val="20"/>
          <w:szCs w:val="20"/>
        </w:rPr>
        <w:fldChar w:fldCharType="end"/>
      </w:r>
      <w:r w:rsidR="006B2B71">
        <w:rPr>
          <w:rStyle w:val="Ohne"/>
          <w:rFonts w:ascii="Cambria" w:eastAsia="Arial" w:hAnsi="Cambria" w:cs="Arial"/>
          <w:spacing w:val="-4"/>
          <w:sz w:val="20"/>
          <w:szCs w:val="20"/>
          <w:vertAlign w:val="superscript"/>
        </w:rPr>
        <w:t xml:space="preserve"> </w:t>
      </w:r>
      <w:r w:rsidR="006B2B71">
        <w:rPr>
          <w:rStyle w:val="Ohne"/>
          <w:rFonts w:ascii="Cambria" w:eastAsia="Arial" w:hAnsi="Cambria" w:cs="Arial"/>
          <w:spacing w:val="-4"/>
          <w:sz w:val="20"/>
          <w:szCs w:val="20"/>
          <w:vertAlign w:val="superscript"/>
        </w:rPr>
        <w:fldChar w:fldCharType="begin"/>
      </w:r>
      <w:r w:rsidR="006B2B71">
        <w:rPr>
          <w:rStyle w:val="Ohne"/>
          <w:rFonts w:ascii="Cambria" w:eastAsia="Arial" w:hAnsi="Cambria" w:cs="Arial"/>
          <w:spacing w:val="-4"/>
          <w:sz w:val="20"/>
          <w:szCs w:val="20"/>
          <w:vertAlign w:val="superscript"/>
        </w:rPr>
        <w:instrText xml:space="preserve"> NOTEREF _Ref30588801 \h </w:instrText>
      </w:r>
      <w:r w:rsidR="006B2B71">
        <w:rPr>
          <w:rStyle w:val="Ohne"/>
          <w:rFonts w:ascii="Cambria" w:eastAsia="Arial" w:hAnsi="Cambria" w:cs="Arial"/>
          <w:spacing w:val="-4"/>
          <w:sz w:val="20"/>
          <w:szCs w:val="20"/>
          <w:vertAlign w:val="superscript"/>
        </w:rPr>
      </w:r>
      <w:r w:rsidR="006B2B71">
        <w:rPr>
          <w:rStyle w:val="Ohne"/>
          <w:rFonts w:ascii="Cambria" w:eastAsia="Arial" w:hAnsi="Cambria" w:cs="Arial"/>
          <w:spacing w:val="-4"/>
          <w:sz w:val="20"/>
          <w:szCs w:val="20"/>
          <w:vertAlign w:val="superscript"/>
        </w:rPr>
        <w:fldChar w:fldCharType="separate"/>
      </w:r>
      <w:r w:rsidR="001A283B">
        <w:rPr>
          <w:rStyle w:val="Ohne"/>
          <w:rFonts w:ascii="Cambria" w:eastAsia="Arial" w:hAnsi="Cambria" w:cs="Arial"/>
          <w:spacing w:val="-4"/>
          <w:sz w:val="20"/>
          <w:szCs w:val="20"/>
          <w:vertAlign w:val="superscript"/>
        </w:rPr>
        <w:t>372</w:t>
      </w:r>
      <w:r w:rsidR="006B2B71">
        <w:rPr>
          <w:rStyle w:val="Ohne"/>
          <w:rFonts w:ascii="Cambria" w:eastAsia="Arial" w:hAnsi="Cambria" w:cs="Arial"/>
          <w:spacing w:val="-4"/>
          <w:sz w:val="20"/>
          <w:szCs w:val="20"/>
          <w:vertAlign w:val="superscript"/>
        </w:rPr>
        <w:fldChar w:fldCharType="end"/>
      </w:r>
      <w:r w:rsidRPr="00207748">
        <w:rPr>
          <w:rStyle w:val="Ohne"/>
          <w:rFonts w:ascii="Cambria" w:hAnsi="Cambria" w:cs="Arial"/>
          <w:spacing w:val="-4"/>
          <w:sz w:val="20"/>
          <w:szCs w:val="20"/>
        </w:rPr>
        <w:t xml:space="preserve"> und in zwei RCTs wurden die Steroide abrupt abgesetzt</w:t>
      </w:r>
      <w:r w:rsidR="006B2B71">
        <w:rPr>
          <w:rStyle w:val="Ohne"/>
          <w:rFonts w:ascii="Cambria" w:eastAsia="Arial" w:hAnsi="Cambria" w:cs="Arial"/>
          <w:spacing w:val="-4"/>
          <w:sz w:val="20"/>
          <w:szCs w:val="20"/>
          <w:vertAlign w:val="superscript"/>
        </w:rPr>
        <w:fldChar w:fldCharType="begin"/>
      </w:r>
      <w:r w:rsidR="006B2B71">
        <w:rPr>
          <w:rStyle w:val="Ohne"/>
          <w:rFonts w:ascii="Cambria" w:hAnsi="Cambria" w:cs="Arial"/>
          <w:spacing w:val="-4"/>
          <w:sz w:val="20"/>
          <w:szCs w:val="20"/>
        </w:rPr>
        <w:instrText xml:space="preserve"> NOTEREF _Ref30587580 \h </w:instrText>
      </w:r>
      <w:r w:rsidR="006B2B71">
        <w:rPr>
          <w:rStyle w:val="Ohne"/>
          <w:rFonts w:ascii="Cambria" w:eastAsia="Arial" w:hAnsi="Cambria" w:cs="Arial"/>
          <w:spacing w:val="-4"/>
          <w:sz w:val="20"/>
          <w:szCs w:val="20"/>
          <w:vertAlign w:val="superscript"/>
        </w:rPr>
      </w:r>
      <w:r w:rsidR="006B2B71">
        <w:rPr>
          <w:rStyle w:val="Ohne"/>
          <w:rFonts w:ascii="Cambria" w:eastAsia="Arial" w:hAnsi="Cambria" w:cs="Arial"/>
          <w:spacing w:val="-4"/>
          <w:sz w:val="20"/>
          <w:szCs w:val="20"/>
          <w:vertAlign w:val="superscript"/>
        </w:rPr>
        <w:fldChar w:fldCharType="separate"/>
      </w:r>
      <w:r w:rsidR="001A283B">
        <w:rPr>
          <w:rStyle w:val="Ohne"/>
          <w:rFonts w:ascii="Cambria" w:hAnsi="Cambria" w:cs="Arial"/>
          <w:spacing w:val="-4"/>
          <w:sz w:val="20"/>
          <w:szCs w:val="20"/>
        </w:rPr>
        <w:t>368</w:t>
      </w:r>
      <w:r w:rsidR="006B2B71">
        <w:rPr>
          <w:rStyle w:val="Ohne"/>
          <w:rFonts w:ascii="Cambria" w:eastAsia="Arial" w:hAnsi="Cambria" w:cs="Arial"/>
          <w:spacing w:val="-4"/>
          <w:sz w:val="20"/>
          <w:szCs w:val="20"/>
          <w:vertAlign w:val="superscript"/>
        </w:rPr>
        <w:fldChar w:fldCharType="end"/>
      </w:r>
      <w:r w:rsidR="006B2B71">
        <w:rPr>
          <w:rStyle w:val="Ohne"/>
          <w:rFonts w:ascii="Cambria" w:eastAsia="Arial" w:hAnsi="Cambria" w:cs="Arial"/>
          <w:spacing w:val="-4"/>
          <w:sz w:val="20"/>
          <w:szCs w:val="20"/>
          <w:vertAlign w:val="superscript"/>
        </w:rPr>
        <w:fldChar w:fldCharType="begin"/>
      </w:r>
      <w:r w:rsidR="006B2B71">
        <w:rPr>
          <w:rStyle w:val="Ohne"/>
          <w:rFonts w:ascii="Cambria" w:eastAsia="Arial" w:hAnsi="Cambria" w:cs="Arial"/>
          <w:spacing w:val="-4"/>
          <w:sz w:val="20"/>
          <w:szCs w:val="20"/>
          <w:vertAlign w:val="superscript"/>
        </w:rPr>
        <w:instrText xml:space="preserve"> NOTEREF _Ref30587580 \h </w:instrText>
      </w:r>
      <w:r w:rsidR="006B2B71">
        <w:rPr>
          <w:rStyle w:val="Ohne"/>
          <w:rFonts w:ascii="Cambria" w:eastAsia="Arial" w:hAnsi="Cambria" w:cs="Arial"/>
          <w:spacing w:val="-4"/>
          <w:sz w:val="20"/>
          <w:szCs w:val="20"/>
          <w:vertAlign w:val="superscript"/>
        </w:rPr>
      </w:r>
      <w:r w:rsidR="006B2B71">
        <w:rPr>
          <w:rStyle w:val="Ohne"/>
          <w:rFonts w:ascii="Cambria" w:eastAsia="Arial" w:hAnsi="Cambria" w:cs="Arial"/>
          <w:spacing w:val="-4"/>
          <w:sz w:val="20"/>
          <w:szCs w:val="20"/>
          <w:vertAlign w:val="superscript"/>
        </w:rPr>
        <w:fldChar w:fldCharType="separate"/>
      </w:r>
      <w:r w:rsidR="001A283B">
        <w:rPr>
          <w:rStyle w:val="Ohne"/>
          <w:rFonts w:ascii="Cambria" w:eastAsia="Arial" w:hAnsi="Cambria" w:cs="Arial"/>
          <w:spacing w:val="-4"/>
          <w:sz w:val="20"/>
          <w:szCs w:val="20"/>
          <w:vertAlign w:val="superscript"/>
        </w:rPr>
        <w:t>368</w:t>
      </w:r>
      <w:r w:rsidR="006B2B71">
        <w:rPr>
          <w:rStyle w:val="Ohne"/>
          <w:rFonts w:ascii="Cambria" w:eastAsia="Arial" w:hAnsi="Cambria" w:cs="Arial"/>
          <w:spacing w:val="-4"/>
          <w:sz w:val="20"/>
          <w:szCs w:val="20"/>
          <w:vertAlign w:val="superscript"/>
        </w:rPr>
        <w:fldChar w:fldCharType="end"/>
      </w:r>
      <w:r w:rsidRPr="00207748">
        <w:rPr>
          <w:rStyle w:val="Ohne"/>
          <w:rFonts w:ascii="Cambria" w:hAnsi="Cambria" w:cs="Arial"/>
          <w:spacing w:val="-4"/>
          <w:sz w:val="20"/>
          <w:szCs w:val="20"/>
        </w:rPr>
        <w:t xml:space="preserve"> </w:t>
      </w:r>
      <w:r w:rsidRPr="00207748">
        <w:rPr>
          <w:rStyle w:val="Ohne"/>
          <w:rFonts w:ascii="Cambria" w:eastAsia="Arial" w:hAnsi="Cambria" w:cs="Arial"/>
          <w:spacing w:val="-4"/>
          <w:sz w:val="20"/>
          <w:szCs w:val="20"/>
          <w:vertAlign w:val="superscript"/>
        </w:rPr>
        <w:endnoteReference w:id="332"/>
      </w:r>
      <w:r w:rsidRPr="00207748">
        <w:rPr>
          <w:rStyle w:val="Ohne"/>
          <w:rFonts w:ascii="Cambria" w:hAnsi="Cambria" w:cs="Arial"/>
          <w:spacing w:val="-4"/>
          <w:sz w:val="20"/>
          <w:szCs w:val="20"/>
        </w:rPr>
        <w:t>. Eine Crossover-Studie zeigte hämodynamische und immunologische Rebound-Effekte nach der abrupten Absetzung der Corticosteroide</w:t>
      </w:r>
      <w:r w:rsidR="00F939EE" w:rsidRPr="00207748">
        <w:rPr>
          <w:rStyle w:val="Ohne"/>
          <w:rFonts w:ascii="Cambria" w:hAnsi="Cambria" w:cs="Arial"/>
          <w:spacing w:val="-4"/>
          <w:sz w:val="20"/>
          <w:szCs w:val="20"/>
        </w:rPr>
        <w:t>.</w:t>
      </w:r>
      <w:r w:rsidRPr="00207748">
        <w:rPr>
          <w:rStyle w:val="Ohne"/>
          <w:rFonts w:ascii="Cambria" w:eastAsia="Arial" w:hAnsi="Cambria" w:cs="Arial"/>
          <w:spacing w:val="-4"/>
          <w:sz w:val="20"/>
          <w:szCs w:val="20"/>
          <w:vertAlign w:val="superscript"/>
        </w:rPr>
        <w:endnoteReference w:id="333"/>
      </w:r>
      <w:r w:rsidRPr="00207748">
        <w:rPr>
          <w:rStyle w:val="Ohne"/>
          <w:rFonts w:ascii="Cambria" w:hAnsi="Cambria" w:cs="Arial"/>
          <w:spacing w:val="-4"/>
          <w:sz w:val="20"/>
          <w:szCs w:val="20"/>
        </w:rPr>
        <w:t xml:space="preserve"> Eine Studie wies keinen Unterschied in Bezug auf das Ergebnis bei Patienten mit septischem Schock nach, wenn Niedrigdosis-Hydrocortison für 3 bis 7 Tage genutzt wurde, daher empfehlen wir das </w:t>
      </w:r>
      <w:r w:rsidRPr="00207748">
        <w:rPr>
          <w:rStyle w:val="Ohne"/>
          <w:rFonts w:ascii="Cambria" w:hAnsi="Cambria" w:cs="Arial"/>
          <w:spacing w:val="-4"/>
          <w:sz w:val="20"/>
          <w:szCs w:val="20"/>
        </w:rPr>
        <w:lastRenderedPageBreak/>
        <w:t>Ausschleichen der Steroide, wenn Vasopressoren nicht mehr benötigt werden</w:t>
      </w:r>
      <w:r w:rsidR="00F939EE" w:rsidRPr="00207748">
        <w:rPr>
          <w:rStyle w:val="Ohne"/>
          <w:rFonts w:ascii="Cambria" w:hAnsi="Cambria" w:cs="Arial"/>
          <w:spacing w:val="-4"/>
          <w:sz w:val="20"/>
          <w:szCs w:val="20"/>
        </w:rPr>
        <w:t>.</w:t>
      </w:r>
      <w:r w:rsidRPr="00207748">
        <w:rPr>
          <w:rStyle w:val="Ohne"/>
          <w:rFonts w:ascii="Cambria" w:eastAsia="Arial" w:hAnsi="Cambria" w:cs="Arial"/>
          <w:spacing w:val="-4"/>
          <w:sz w:val="20"/>
          <w:szCs w:val="20"/>
          <w:vertAlign w:val="superscript"/>
        </w:rPr>
        <w:endnoteReference w:id="334"/>
      </w:r>
    </w:p>
    <w:p w14:paraId="389CBDAF" w14:textId="77777777" w:rsidR="00E11869" w:rsidRPr="00207748" w:rsidRDefault="00447357" w:rsidP="004454B6">
      <w:pPr>
        <w:rPr>
          <w:rStyle w:val="Ohne"/>
          <w:rFonts w:ascii="Cambria" w:eastAsia="Arial" w:hAnsi="Cambria" w:cs="Arial"/>
          <w:sz w:val="20"/>
          <w:szCs w:val="20"/>
        </w:rPr>
      </w:pPr>
      <w:r w:rsidRPr="00207748">
        <w:rPr>
          <w:rStyle w:val="Ohne"/>
          <w:rFonts w:ascii="Cambria" w:hAnsi="Cambria" w:cs="Arial"/>
          <w:sz w:val="20"/>
          <w:szCs w:val="20"/>
        </w:rPr>
        <w:t>Die Nutzung von Steroiden kann indiziert sein, wenn in der medizinischen Vorgeschichte eine Steroidtherapie oder eine Nebennierendysfunktion vorliegt, ob jedoch Niedrigdosis-Steroide eine präventive Wirkung in Bezug auf die Reduzierung der Inzidenz von Sepsis und septischem Schock bei kritisch erkrankten Patienten haben, kann nicht beantwortet werden. Eine aktuelle große multizentrische Studie wies keine Reduzierung der Entwicklung von septischem Schock bei septischen Patienten nach, die Hydrocortison im Vergleich zu einem Placebo erhielten</w:t>
      </w:r>
      <w:r w:rsidRPr="00207748">
        <w:rPr>
          <w:rStyle w:val="Ohne"/>
          <w:rFonts w:ascii="Cambria" w:eastAsia="Arial" w:hAnsi="Cambria" w:cs="Arial"/>
          <w:sz w:val="20"/>
          <w:szCs w:val="20"/>
          <w:vertAlign w:val="superscript"/>
        </w:rPr>
        <w:endnoteReference w:id="335"/>
      </w:r>
      <w:r w:rsidRPr="00207748">
        <w:rPr>
          <w:rStyle w:val="Ohne"/>
          <w:rFonts w:ascii="Cambria" w:hAnsi="Cambria" w:cs="Arial"/>
          <w:sz w:val="20"/>
          <w:szCs w:val="20"/>
        </w:rPr>
        <w:t>, daher sollten Steroide nicht bei septischen Patienten genutzt werden, um einem septischen Schock vorzubeugen. Derzeit laufen zusätzliche Studien, die möglicherweise zusätzliche Informationen liefern, welche künftig in der klinischen Praxis genutzt werden können.</w:t>
      </w:r>
    </w:p>
    <w:p w14:paraId="6895DB7D" w14:textId="44EDD70D" w:rsidR="00665775" w:rsidRPr="00207748" w:rsidRDefault="00447357" w:rsidP="00FB33A2">
      <w:pPr>
        <w:rPr>
          <w:rStyle w:val="Ohne"/>
          <w:rFonts w:ascii="Cambria" w:eastAsia="Arial" w:hAnsi="Cambria" w:cs="Arial"/>
          <w:sz w:val="20"/>
          <w:szCs w:val="20"/>
        </w:rPr>
      </w:pPr>
      <w:r w:rsidRPr="00207748">
        <w:rPr>
          <w:rStyle w:val="Ohne"/>
          <w:rFonts w:ascii="Cambria" w:hAnsi="Cambria" w:cs="Arial"/>
          <w:spacing w:val="-3"/>
          <w:sz w:val="20"/>
          <w:szCs w:val="20"/>
        </w:rPr>
        <w:t>Diverse randomisierte Studien zur Nutzung von Niedrigdosis Hydrocortison bei Patienten mit septischem Schock meldeten einen signifikanten Anstieg von Hyperglykämien und Hypernatriämien</w:t>
      </w:r>
      <w:r w:rsidR="006B2B71">
        <w:rPr>
          <w:rStyle w:val="Ohne"/>
          <w:rFonts w:ascii="Cambria" w:hAnsi="Cambria" w:cs="Arial"/>
          <w:spacing w:val="-3"/>
          <w:sz w:val="20"/>
          <w:szCs w:val="20"/>
        </w:rPr>
        <w:t xml:space="preserve"> </w:t>
      </w:r>
      <w:r w:rsidR="006B2B71" w:rsidRPr="006B2B71">
        <w:rPr>
          <w:rStyle w:val="EndnoteRealZchn"/>
        </w:rPr>
        <w:fldChar w:fldCharType="begin"/>
      </w:r>
      <w:r w:rsidR="006B2B71" w:rsidRPr="006B2B71">
        <w:rPr>
          <w:rStyle w:val="EndnoteRealZchn"/>
        </w:rPr>
        <w:instrText xml:space="preserve"> NOTEREF _Ref30587580 \h </w:instrText>
      </w:r>
      <w:r w:rsidR="006B2B71">
        <w:rPr>
          <w:rStyle w:val="EndnoteRealZchn"/>
        </w:rPr>
        <w:instrText xml:space="preserve"> \* MERGEFORMAT </w:instrText>
      </w:r>
      <w:r w:rsidR="006B2B71" w:rsidRPr="006B2B71">
        <w:rPr>
          <w:rStyle w:val="EndnoteRealZchn"/>
        </w:rPr>
      </w:r>
      <w:r w:rsidR="006B2B71" w:rsidRPr="006B2B71">
        <w:rPr>
          <w:rStyle w:val="EndnoteRealZchn"/>
        </w:rPr>
        <w:fldChar w:fldCharType="separate"/>
      </w:r>
      <w:r w:rsidR="001A283B">
        <w:rPr>
          <w:rStyle w:val="EndnoteRealZchn"/>
        </w:rPr>
        <w:t>368</w:t>
      </w:r>
      <w:r w:rsidR="006B2B71" w:rsidRPr="006B2B71">
        <w:rPr>
          <w:rStyle w:val="EndnoteRealZchn"/>
        </w:rPr>
        <w:fldChar w:fldCharType="end"/>
      </w:r>
      <w:r w:rsidR="006B2B71">
        <w:rPr>
          <w:rStyle w:val="Ohne"/>
          <w:rFonts w:ascii="Cambria" w:eastAsia="Arial" w:hAnsi="Cambria" w:cs="Arial"/>
          <w:spacing w:val="-3"/>
          <w:sz w:val="20"/>
          <w:szCs w:val="20"/>
          <w:vertAlign w:val="superscript"/>
        </w:rPr>
        <w:t xml:space="preserve"> </w:t>
      </w:r>
      <w:r w:rsidRPr="00207748">
        <w:rPr>
          <w:rStyle w:val="Ohne"/>
          <w:rFonts w:ascii="Cambria" w:hAnsi="Cambria" w:cs="Arial"/>
          <w:spacing w:val="-3"/>
          <w:sz w:val="20"/>
          <w:szCs w:val="20"/>
        </w:rPr>
        <w:t>als Nebenwirkungen. Eine kleine prospektive Studie ergab, dass wiederholte Bolus-Anwendungen von Hydrocortison zu einem signifikanten Anstieg des Blutzuckers führten; dieser Spitzenwert-Effekt war während einer kontinuierlichen Infusion nicht feststellbar gewesen. Des Weiteren wurde eine beträchtliche inter-individuelle Variabilität in Bezug auf diesen Blutzucker-Spitzenwert nach der Hydrocortison-Bolus-Therapie festgestellt</w:t>
      </w:r>
      <w:r w:rsidR="00F939EE" w:rsidRPr="00207748">
        <w:rPr>
          <w:rStyle w:val="Ohne"/>
          <w:rFonts w:ascii="Cambria" w:hAnsi="Cambria" w:cs="Arial"/>
          <w:spacing w:val="-3"/>
          <w:sz w:val="20"/>
          <w:szCs w:val="20"/>
        </w:rPr>
        <w:t>.</w:t>
      </w:r>
      <w:r w:rsidRPr="00207748">
        <w:rPr>
          <w:rStyle w:val="Ohne"/>
          <w:rFonts w:ascii="Cambria" w:eastAsia="Arial" w:hAnsi="Cambria" w:cs="Arial"/>
          <w:spacing w:val="-3"/>
          <w:sz w:val="20"/>
          <w:szCs w:val="20"/>
          <w:vertAlign w:val="superscript"/>
        </w:rPr>
        <w:endnoteReference w:id="336"/>
      </w:r>
      <w:r w:rsidRPr="00207748">
        <w:rPr>
          <w:rStyle w:val="Ohne"/>
          <w:rFonts w:ascii="Cambria" w:hAnsi="Cambria" w:cs="Arial"/>
          <w:spacing w:val="-3"/>
          <w:sz w:val="20"/>
          <w:szCs w:val="20"/>
        </w:rPr>
        <w:t xml:space="preserve"> Obwohl kein Zusammenhang zwischen einer Hyperglykämie und Hypernatriämie und den gemessenen Ergebnissen beim Patienten nachgewiesen werden konnte, beinhaltet eine gute Praxis Strategien zur Vermeidung und/oder Detektion dieser Nebenwirkungen.</w:t>
      </w:r>
      <w:bookmarkStart w:id="405" w:name="_Toc25845116"/>
    </w:p>
    <w:p w14:paraId="72300662" w14:textId="77777777" w:rsidR="00E11869" w:rsidRPr="00182D07" w:rsidRDefault="00447357" w:rsidP="004454B6">
      <w:pPr>
        <w:pStyle w:val="berschrift2"/>
        <w:rPr>
          <w:b w:val="0"/>
          <w:lang w:val="en-US"/>
        </w:rPr>
      </w:pPr>
      <w:bookmarkStart w:id="406" w:name="_Toc437861464"/>
      <w:bookmarkStart w:id="407" w:name="_Toc31278502"/>
      <w:r w:rsidRPr="00182D07">
        <w:rPr>
          <w:rStyle w:val="Ohne"/>
          <w:lang w:val="en-US"/>
        </w:rPr>
        <w:t>I. Blutprodukte</w:t>
      </w:r>
      <w:bookmarkEnd w:id="405"/>
      <w:bookmarkEnd w:id="406"/>
      <w:bookmarkEnd w:id="407"/>
    </w:p>
    <w:p w14:paraId="3771E380" w14:textId="77777777" w:rsidR="00E11869" w:rsidRPr="00207748" w:rsidRDefault="00E11869" w:rsidP="00FB33A2">
      <w:pPr>
        <w:pStyle w:val="KeinLeerraum"/>
        <w:rPr>
          <w:rStyle w:val="Ohne"/>
          <w:iCs/>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66"/>
        <w:gridCol w:w="1770"/>
        <w:gridCol w:w="797"/>
      </w:tblGrid>
      <w:tr w:rsidR="00E11869" w:rsidRPr="00207748" w14:paraId="20548620" w14:textId="77777777" w:rsidTr="002B1061">
        <w:trPr>
          <w:trHeight w:val="282"/>
        </w:trPr>
        <w:tc>
          <w:tcPr>
            <w:tcW w:w="2037"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27316FC1" w14:textId="77777777" w:rsidR="00E11869" w:rsidRPr="00207748" w:rsidRDefault="00447357" w:rsidP="008B1A6E">
            <w:pPr>
              <w:spacing w:after="0"/>
              <w:rPr>
                <w:rFonts w:ascii="Cambria" w:hAnsi="Cambria" w:cs="Arial"/>
                <w:b/>
                <w:bCs/>
                <w:sz w:val="20"/>
                <w:szCs w:val="20"/>
              </w:rPr>
            </w:pPr>
            <w:r w:rsidRPr="00207748">
              <w:rPr>
                <w:rFonts w:ascii="Cambria" w:hAnsi="Cambria"/>
                <w:b/>
                <w:sz w:val="20"/>
                <w:szCs w:val="20"/>
              </w:rPr>
              <w:t>I.1</w:t>
            </w:r>
          </w:p>
        </w:tc>
        <w:tc>
          <w:tcPr>
            <w:tcW w:w="2043"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2E99192E" w14:textId="77777777" w:rsidR="00E11869" w:rsidRPr="00207748" w:rsidRDefault="00447357" w:rsidP="008B1A6E">
            <w:pPr>
              <w:spacing w:after="0"/>
              <w:rPr>
                <w:rFonts w:ascii="Cambria" w:hAnsi="Cambria" w:cs="Arial"/>
                <w:b/>
                <w:bCs/>
                <w:sz w:val="20"/>
                <w:szCs w:val="20"/>
              </w:rPr>
            </w:pPr>
            <w:r w:rsidRPr="00207748">
              <w:rPr>
                <w:rFonts w:ascii="Cambria" w:hAnsi="Cambria"/>
                <w:b/>
                <w:sz w:val="20"/>
                <w:szCs w:val="20"/>
              </w:rPr>
              <w:t xml:space="preserve">Empfehlung </w:t>
            </w:r>
          </w:p>
        </w:tc>
        <w:tc>
          <w:tcPr>
            <w:tcW w:w="920"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4267B9ED" w14:textId="77777777" w:rsidR="00E11869" w:rsidRPr="00207748" w:rsidRDefault="00447357" w:rsidP="008B1A6E">
            <w:pPr>
              <w:spacing w:after="0"/>
              <w:rPr>
                <w:rFonts w:ascii="Cambria" w:hAnsi="Cambria" w:cs="Arial"/>
                <w:b/>
                <w:bCs/>
                <w:sz w:val="20"/>
                <w:szCs w:val="20"/>
              </w:rPr>
            </w:pPr>
            <w:r w:rsidRPr="00207748">
              <w:rPr>
                <w:rFonts w:ascii="Cambria" w:hAnsi="Cambria"/>
                <w:b/>
                <w:sz w:val="20"/>
                <w:szCs w:val="20"/>
              </w:rPr>
              <w:t>2018</w:t>
            </w:r>
          </w:p>
        </w:tc>
      </w:tr>
      <w:tr w:rsidR="00E11869" w:rsidRPr="00207748" w14:paraId="32790E83" w14:textId="77777777" w:rsidTr="002B1061">
        <w:trPr>
          <w:trHeight w:val="5873"/>
        </w:trPr>
        <w:tc>
          <w:tcPr>
            <w:tcW w:w="2037"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A48F9" w14:textId="77777777" w:rsidR="00E11869" w:rsidRPr="00207748" w:rsidRDefault="00447357" w:rsidP="004454B6">
            <w:pPr>
              <w:keepLines/>
              <w:widowControl w:val="0"/>
              <w:spacing w:after="0"/>
              <w:rPr>
                <w:rStyle w:val="Ohne"/>
                <w:rFonts w:ascii="Cambria" w:eastAsia="Arial" w:hAnsi="Cambria" w:cs="Arial"/>
                <w:sz w:val="20"/>
                <w:szCs w:val="20"/>
              </w:rPr>
            </w:pPr>
            <w:r w:rsidRPr="00207748">
              <w:rPr>
                <w:rStyle w:val="Ohne"/>
                <w:rFonts w:ascii="Cambria" w:hAnsi="Cambria" w:cs="Arial"/>
                <w:sz w:val="20"/>
                <w:szCs w:val="20"/>
              </w:rPr>
              <w:lastRenderedPageBreak/>
              <w:t>Empfehlungsgrad</w:t>
            </w:r>
          </w:p>
          <w:p w14:paraId="50BE6002" w14:textId="77777777" w:rsidR="00E11869" w:rsidRPr="00207748" w:rsidRDefault="00E11869" w:rsidP="004454B6">
            <w:pPr>
              <w:keepLines/>
              <w:widowControl w:val="0"/>
              <w:spacing w:after="0"/>
              <w:rPr>
                <w:rStyle w:val="Ohne"/>
                <w:rFonts w:ascii="Cambria" w:eastAsia="Arial" w:hAnsi="Cambria" w:cs="Arial"/>
                <w:sz w:val="20"/>
                <w:szCs w:val="20"/>
              </w:rPr>
            </w:pPr>
          </w:p>
          <w:p w14:paraId="3276079E" w14:textId="77777777" w:rsidR="00E11869" w:rsidRPr="00207748" w:rsidRDefault="00447357" w:rsidP="004454B6">
            <w:pPr>
              <w:keepLines/>
              <w:widowControl w:val="0"/>
              <w:spacing w:after="0"/>
              <w:rPr>
                <w:rStyle w:val="Ohne"/>
                <w:rFonts w:ascii="Cambria" w:eastAsia="Arial" w:hAnsi="Cambria" w:cs="Arial"/>
                <w:b/>
                <w:bCs/>
                <w:sz w:val="20"/>
                <w:szCs w:val="20"/>
              </w:rPr>
            </w:pPr>
            <w:r w:rsidRPr="00207748">
              <w:rPr>
                <w:rStyle w:val="Ohne"/>
                <w:rFonts w:ascii="Cambria" w:hAnsi="Cambria" w:cs="Arial"/>
                <w:b/>
                <w:bCs/>
                <w:sz w:val="20"/>
                <w:szCs w:val="20"/>
              </w:rPr>
              <w:t>stark</w:t>
            </w:r>
          </w:p>
          <w:p w14:paraId="750EF889" w14:textId="77777777" w:rsidR="00E11869" w:rsidRPr="00207748" w:rsidRDefault="00E11869" w:rsidP="004454B6">
            <w:pPr>
              <w:keepLines/>
              <w:widowControl w:val="0"/>
              <w:spacing w:after="0"/>
              <w:rPr>
                <w:rStyle w:val="Ohne"/>
                <w:rFonts w:ascii="Cambria" w:eastAsia="Arial" w:hAnsi="Cambria" w:cs="Arial"/>
                <w:b/>
                <w:bCs/>
                <w:sz w:val="20"/>
                <w:szCs w:val="20"/>
              </w:rPr>
            </w:pPr>
          </w:p>
          <w:p w14:paraId="5A618C31" w14:textId="77777777" w:rsidR="00E11869" w:rsidRPr="00207748" w:rsidRDefault="00447357" w:rsidP="004454B6">
            <w:pPr>
              <w:keepLines/>
              <w:widowControl w:val="0"/>
              <w:spacing w:after="0"/>
              <w:rPr>
                <w:rStyle w:val="Ohne"/>
                <w:rFonts w:ascii="Cambria" w:eastAsia="Arial" w:hAnsi="Cambria" w:cs="Arial"/>
                <w:sz w:val="20"/>
                <w:szCs w:val="20"/>
              </w:rPr>
            </w:pPr>
            <w:r w:rsidRPr="00207748">
              <w:rPr>
                <w:rStyle w:val="Ohne"/>
                <w:rFonts w:ascii="Cambria" w:hAnsi="Cambria" w:cs="Arial"/>
                <w:sz w:val="20"/>
                <w:szCs w:val="20"/>
              </w:rPr>
              <w:t>Evidenzgrad</w:t>
            </w:r>
          </w:p>
          <w:p w14:paraId="6B4C0758" w14:textId="77777777" w:rsidR="00E11869" w:rsidRPr="00207748" w:rsidRDefault="00E11869" w:rsidP="004454B6">
            <w:pPr>
              <w:keepLines/>
              <w:widowControl w:val="0"/>
              <w:spacing w:after="0"/>
              <w:rPr>
                <w:rStyle w:val="Ohne"/>
                <w:rFonts w:ascii="Cambria" w:eastAsia="Arial" w:hAnsi="Cambria" w:cs="Arial"/>
                <w:sz w:val="20"/>
                <w:szCs w:val="20"/>
              </w:rPr>
            </w:pPr>
          </w:p>
          <w:p w14:paraId="5EC2A91D" w14:textId="77777777" w:rsidR="00E11869" w:rsidRPr="00207748" w:rsidRDefault="00447357" w:rsidP="004454B6">
            <w:pPr>
              <w:keepLines/>
              <w:widowControl w:val="0"/>
              <w:spacing w:after="0"/>
              <w:rPr>
                <w:rFonts w:ascii="Cambria" w:hAnsi="Cambria" w:cs="Arial"/>
                <w:sz w:val="20"/>
                <w:szCs w:val="20"/>
              </w:rPr>
            </w:pPr>
            <w:r w:rsidRPr="00207748">
              <w:rPr>
                <w:rStyle w:val="Ohne"/>
                <w:rFonts w:ascii="Cambria" w:hAnsi="Cambria" w:cs="Arial"/>
                <w:b/>
                <w:bCs/>
                <w:sz w:val="20"/>
                <w:szCs w:val="20"/>
              </w:rPr>
              <w:t>moderat</w:t>
            </w:r>
          </w:p>
        </w:tc>
        <w:tc>
          <w:tcPr>
            <w:tcW w:w="2963"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E97F9" w14:textId="77777777" w:rsidR="00E11869" w:rsidRPr="00207748" w:rsidRDefault="00447357" w:rsidP="004454B6">
            <w:pPr>
              <w:keepLines/>
              <w:widowControl w:val="0"/>
              <w:spacing w:after="0"/>
              <w:rPr>
                <w:rFonts w:ascii="Cambria" w:hAnsi="Cambria" w:cs="Arial"/>
                <w:sz w:val="20"/>
                <w:szCs w:val="20"/>
              </w:rPr>
            </w:pPr>
            <w:r w:rsidRPr="00207748">
              <w:rPr>
                <w:rStyle w:val="Ohne"/>
                <w:rFonts w:ascii="Cambria" w:hAnsi="Cambria" w:cs="Arial"/>
                <w:b/>
                <w:bCs/>
                <w:spacing w:val="-2"/>
                <w:sz w:val="20"/>
                <w:szCs w:val="20"/>
              </w:rPr>
              <w:t>Wir empfehlen, dass Transfusionen von Erythrozytenkonzentraten bei septischen Patienten nur dann durchgeführt werden, wenn die Hämoglobin-Konzentration bei Erwachsenen auf einen Wert von &lt; 7,0 g/dl sinkt und keine Hinweise auf eine anämische Hypoxie wie z.B. Tachykardie, Hypotension, EKG-Ischämie, Laktazidose, eingeschränkte Kompensationsmöglichkeiten wie z.B. koronare Herzerkrankung, Herzinsuffizienz, oder eine cerebrovaskuläre Insuffizienz oder eine akute Hamorrhagie vorliegen.</w:t>
            </w:r>
          </w:p>
        </w:tc>
      </w:tr>
      <w:tr w:rsidR="00E11869" w:rsidRPr="00207748" w14:paraId="3E8912CE" w14:textId="77777777" w:rsidTr="002B1061">
        <w:trPr>
          <w:trHeight w:val="757"/>
        </w:trPr>
        <w:tc>
          <w:tcPr>
            <w:tcW w:w="2037" w:type="pct"/>
            <w:vMerge/>
            <w:tcBorders>
              <w:top w:val="single" w:sz="4" w:space="0" w:color="000000"/>
              <w:left w:val="single" w:sz="4" w:space="0" w:color="000000"/>
              <w:bottom w:val="single" w:sz="4" w:space="0" w:color="000000"/>
              <w:right w:val="single" w:sz="4" w:space="0" w:color="000000"/>
            </w:tcBorders>
            <w:shd w:val="clear" w:color="auto" w:fill="auto"/>
          </w:tcPr>
          <w:p w14:paraId="692E9686" w14:textId="77777777" w:rsidR="00E11869" w:rsidRPr="00207748" w:rsidRDefault="00E11869" w:rsidP="004454B6">
            <w:pPr>
              <w:keepLines/>
              <w:widowControl w:val="0"/>
              <w:rPr>
                <w:rFonts w:ascii="Cambria" w:hAnsi="Cambria" w:cs="Arial"/>
                <w:sz w:val="20"/>
                <w:szCs w:val="20"/>
              </w:rPr>
            </w:pPr>
          </w:p>
        </w:tc>
        <w:tc>
          <w:tcPr>
            <w:tcW w:w="2963"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171D7" w14:textId="3C1AF151" w:rsidR="00E11869" w:rsidRPr="00207748" w:rsidRDefault="00447357" w:rsidP="004454B6">
            <w:pPr>
              <w:keepLines/>
              <w:widowControl w:val="0"/>
              <w:spacing w:after="0"/>
              <w:rPr>
                <w:rFonts w:ascii="Cambria" w:hAnsi="Cambria" w:cs="Arial"/>
                <w:sz w:val="20"/>
                <w:szCs w:val="20"/>
              </w:rPr>
            </w:pPr>
            <w:r w:rsidRPr="00207748">
              <w:rPr>
                <w:rStyle w:val="Ohne"/>
                <w:rFonts w:ascii="Cambria" w:hAnsi="Cambria" w:cs="Arial"/>
                <w:b/>
                <w:bCs/>
                <w:sz w:val="20"/>
                <w:szCs w:val="20"/>
              </w:rPr>
              <w:t>SSC</w:t>
            </w:r>
            <w:r w:rsidR="001A58EF" w:rsidRPr="00207748">
              <w:rPr>
                <w:rStyle w:val="Ohne"/>
                <w:rFonts w:ascii="Cambria" w:hAnsi="Cambria" w:cs="Arial"/>
                <w:b/>
                <w:bCs/>
                <w:sz w:val="20"/>
                <w:szCs w:val="20"/>
              </w:rPr>
              <w:t>-</w:t>
            </w:r>
            <w:r w:rsidRPr="00207748">
              <w:rPr>
                <w:rStyle w:val="Ohne"/>
                <w:rFonts w:ascii="Cambria" w:hAnsi="Cambria" w:cs="Arial"/>
                <w:b/>
                <w:bCs/>
                <w:sz w:val="20"/>
                <w:szCs w:val="20"/>
              </w:rPr>
              <w:t>Leitlinien</w:t>
            </w:r>
            <w:r w:rsidR="00B26F79">
              <w:rPr>
                <w:rStyle w:val="Ohne"/>
                <w:rFonts w:ascii="Cambria" w:hAnsi="Cambria" w:cs="Arial"/>
                <w:b/>
                <w:bCs/>
                <w:sz w:val="20"/>
                <w:szCs w:val="20"/>
              </w:rPr>
              <w:t>-</w:t>
            </w:r>
            <w:r w:rsidRPr="00207748">
              <w:rPr>
                <w:rStyle w:val="Ohne"/>
                <w:rFonts w:ascii="Cambria" w:hAnsi="Cambria" w:cs="Arial"/>
                <w:b/>
                <w:bCs/>
                <w:sz w:val="20"/>
                <w:szCs w:val="20"/>
              </w:rPr>
              <w:t xml:space="preserve">adaptation; </w:t>
            </w:r>
            <w:r w:rsidR="002F45C9" w:rsidRPr="00207748">
              <w:rPr>
                <w:rStyle w:val="Ohne"/>
                <w:rFonts w:ascii="Cambria" w:hAnsi="Cambria" w:cs="Arial"/>
                <w:b/>
                <w:bCs/>
                <w:sz w:val="20"/>
                <w:szCs w:val="20"/>
              </w:rPr>
              <w:t xml:space="preserve">Abweichung des Evidenzgrades </w:t>
            </w:r>
          </w:p>
        </w:tc>
      </w:tr>
      <w:tr w:rsidR="00E11869" w:rsidRPr="00207748" w14:paraId="7233257A" w14:textId="77777777" w:rsidTr="002B1061">
        <w:trPr>
          <w:trHeight w:val="282"/>
        </w:trPr>
        <w:tc>
          <w:tcPr>
            <w:tcW w:w="20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3508A" w14:textId="77777777" w:rsidR="00E11869" w:rsidRPr="00207748" w:rsidRDefault="00E11869" w:rsidP="004454B6">
            <w:pPr>
              <w:rPr>
                <w:rFonts w:ascii="Cambria" w:hAnsi="Cambria" w:cs="Arial"/>
                <w:sz w:val="20"/>
                <w:szCs w:val="20"/>
              </w:rPr>
            </w:pPr>
          </w:p>
        </w:tc>
        <w:tc>
          <w:tcPr>
            <w:tcW w:w="2963"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58098"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Konsensstärke: 100 %</w:t>
            </w:r>
          </w:p>
        </w:tc>
      </w:tr>
    </w:tbl>
    <w:p w14:paraId="2F31A67E" w14:textId="50D1BE62" w:rsidR="00E11869" w:rsidRPr="00207748" w:rsidRDefault="00342FB3" w:rsidP="004454B6">
      <w:pPr>
        <w:spacing w:before="240"/>
        <w:rPr>
          <w:rStyle w:val="Ohne"/>
          <w:rFonts w:ascii="Cambria" w:hAnsi="Cambria" w:cs="Arial"/>
          <w:spacing w:val="-1"/>
          <w:sz w:val="20"/>
          <w:szCs w:val="20"/>
        </w:rPr>
      </w:pPr>
      <w:r w:rsidRPr="00207748">
        <w:rPr>
          <w:rStyle w:val="Ohne"/>
          <w:rFonts w:ascii="Cambria" w:hAnsi="Cambria" w:cs="Arial"/>
          <w:b/>
          <w:bCs/>
          <w:spacing w:val="-1"/>
          <w:sz w:val="20"/>
          <w:szCs w:val="20"/>
        </w:rPr>
        <w:t>Begründung</w:t>
      </w:r>
      <w:r w:rsidR="00447357" w:rsidRPr="00207748">
        <w:rPr>
          <w:rStyle w:val="Ohne"/>
          <w:rFonts w:ascii="Cambria" w:hAnsi="Cambria" w:cs="Arial"/>
          <w:b/>
          <w:bCs/>
          <w:spacing w:val="-1"/>
          <w:sz w:val="20"/>
          <w:szCs w:val="20"/>
        </w:rPr>
        <w:t xml:space="preserve">: </w:t>
      </w:r>
      <w:r w:rsidR="00447357" w:rsidRPr="00207748">
        <w:rPr>
          <w:rStyle w:val="Ohne"/>
          <w:rFonts w:ascii="Cambria" w:hAnsi="Cambria" w:cs="Arial"/>
          <w:spacing w:val="-1"/>
          <w:sz w:val="20"/>
          <w:szCs w:val="20"/>
        </w:rPr>
        <w:t>Nur eine große randomisierte, kontrollierte, multizentrische Studie evaluierte unterschiedliche Transfusionstrigger bei septischen Patienten. Diese TRISS-Studie (Transfusion Requirements In Septic Shock Trial) untersuchte eine Transfusionsschwelle von 7 g/dl gegenüber 9 g/dl bei Patienten mit septischem Schock nach der Aufnahme auf der ITS</w:t>
      </w:r>
      <w:r w:rsidR="00FA2A03" w:rsidRPr="00207748">
        <w:rPr>
          <w:rStyle w:val="Ohne"/>
          <w:rFonts w:ascii="Cambria" w:hAnsi="Cambria" w:cs="Arial"/>
          <w:spacing w:val="-1"/>
          <w:sz w:val="20"/>
          <w:szCs w:val="20"/>
        </w:rPr>
        <w:t>.</w:t>
      </w:r>
      <w:r w:rsidR="00447357" w:rsidRPr="00207748">
        <w:rPr>
          <w:rStyle w:val="Ohne"/>
          <w:rFonts w:ascii="Cambria" w:eastAsia="Arial" w:hAnsi="Cambria" w:cs="Arial"/>
          <w:spacing w:val="-1"/>
          <w:sz w:val="20"/>
          <w:szCs w:val="20"/>
          <w:vertAlign w:val="superscript"/>
        </w:rPr>
        <w:endnoteReference w:id="337"/>
      </w:r>
      <w:r w:rsidR="00447357" w:rsidRPr="00207748">
        <w:rPr>
          <w:rStyle w:val="Ohne"/>
          <w:rFonts w:ascii="Cambria" w:hAnsi="Cambria" w:cs="Arial"/>
          <w:spacing w:val="-1"/>
          <w:sz w:val="20"/>
          <w:szCs w:val="20"/>
        </w:rPr>
        <w:t xml:space="preserve"> Die Ergebnisse zeigten eine ähnliche 90-Tage-Mortalität, ischämische Ereignisse und Nutzung von lebenserhaltenden Maßnahmen in beiden Behandlungsgruppen bei einer geringeren Anzahl von Transfusionen in der Gruppe mit der niedrigeren Transfusionsschwelle. Bei Nachuntersuchungen ein Jahr nach Intensivaufenthalt fanden sich keine signifikanten Unterschiede zwischen beiden Gruppen bzgl. Mortalität und Lebensqualität</w:t>
      </w:r>
      <w:r w:rsidR="00FA2A03" w:rsidRPr="006B2B71">
        <w:rPr>
          <w:rStyle w:val="EndnoteRealZchn"/>
        </w:rPr>
        <w:t>.</w:t>
      </w:r>
      <w:r w:rsidR="00447357" w:rsidRPr="006B2B71">
        <w:rPr>
          <w:rStyle w:val="EndnoteRealZchn"/>
        </w:rPr>
        <w:endnoteReference w:id="338"/>
      </w:r>
      <w:r w:rsidR="00447357" w:rsidRPr="00207748">
        <w:rPr>
          <w:rStyle w:val="Ohne"/>
          <w:rFonts w:ascii="Cambria" w:hAnsi="Cambria" w:cs="Arial"/>
          <w:spacing w:val="-1"/>
          <w:sz w:val="20"/>
          <w:szCs w:val="20"/>
        </w:rPr>
        <w:t xml:space="preserve"> In einer Post-hoc-Analyse der </w:t>
      </w:r>
      <w:r w:rsidR="00447357" w:rsidRPr="00207748">
        <w:rPr>
          <w:rStyle w:val="Ohne"/>
          <w:rFonts w:ascii="Cambria" w:hAnsi="Cambria" w:cs="Arial"/>
          <w:spacing w:val="-1"/>
          <w:sz w:val="20"/>
          <w:szCs w:val="20"/>
        </w:rPr>
        <w:lastRenderedPageBreak/>
        <w:t>Patienten des TRISS-Trials zeigte sich auch bei Patienten mit schweren Begleiterkrankungen wie z.B. schwerer Lungenerkrankung oder malignen Erkrankungen kein Outcome-Unterschied zwischen beiden Transfusionstriggern. In der Post-hoc-Analyse fanden sich auch keine Outcome-Unterschiede bei Patienten mit elektiver vs. Notfall-Operationen und bei Patienten, die auch nach den neuen Sepsis 3-Definitionen einen septischen Schock aufwiesen.</w:t>
      </w:r>
    </w:p>
    <w:p w14:paraId="1ECCFC47" w14:textId="77777777" w:rsidR="00E11869" w:rsidRPr="006B2B71" w:rsidRDefault="00447357" w:rsidP="004454B6">
      <w:pPr>
        <w:rPr>
          <w:rStyle w:val="EndnoteRealZchn"/>
        </w:rPr>
      </w:pPr>
      <w:r w:rsidRPr="00207748">
        <w:rPr>
          <w:rStyle w:val="Ohne"/>
          <w:rFonts w:ascii="Cambria" w:hAnsi="Cambria" w:cs="Arial"/>
          <w:spacing w:val="-1"/>
          <w:sz w:val="20"/>
          <w:szCs w:val="20"/>
        </w:rPr>
        <w:t xml:space="preserve">In einer Meta-Analyse, die neben der TRISS-Studie noch </w:t>
      </w:r>
      <w:r w:rsidR="00FA2A03" w:rsidRPr="00207748">
        <w:rPr>
          <w:rStyle w:val="Ohne"/>
          <w:rFonts w:ascii="Cambria" w:hAnsi="Cambria" w:cs="Arial"/>
          <w:spacing w:val="-1"/>
          <w:sz w:val="20"/>
          <w:szCs w:val="20"/>
        </w:rPr>
        <w:t>zwölf</w:t>
      </w:r>
      <w:r w:rsidRPr="00207748">
        <w:rPr>
          <w:rStyle w:val="Ohne"/>
          <w:rFonts w:ascii="Cambria" w:hAnsi="Cambria" w:cs="Arial"/>
          <w:spacing w:val="-1"/>
          <w:sz w:val="20"/>
          <w:szCs w:val="20"/>
        </w:rPr>
        <w:t xml:space="preserve"> Kohorten-Studien in die Auswertung einschloss, fanden sich auch keine Outcome-Unterschiede zwischen einer restriktiven und einer liberalen Transfusionsstrategie bei septischen Patienten</w:t>
      </w:r>
      <w:r w:rsidR="00FA2A03" w:rsidRPr="006B2B71">
        <w:rPr>
          <w:rStyle w:val="EndnoteRealZchn"/>
        </w:rPr>
        <w:t>.</w:t>
      </w:r>
      <w:r w:rsidRPr="006B2B71">
        <w:rPr>
          <w:rStyle w:val="EndnoteRealZchn"/>
        </w:rPr>
        <w:endnoteReference w:id="339"/>
      </w:r>
    </w:p>
    <w:p w14:paraId="38F6F4BA" w14:textId="77777777" w:rsidR="00E11869" w:rsidRPr="00207748" w:rsidRDefault="00447357" w:rsidP="004454B6">
      <w:pPr>
        <w:rPr>
          <w:rStyle w:val="Ohne"/>
          <w:rFonts w:ascii="Cambria" w:hAnsi="Cambria" w:cs="Arial"/>
          <w:spacing w:val="-1"/>
          <w:sz w:val="20"/>
          <w:szCs w:val="20"/>
        </w:rPr>
      </w:pPr>
      <w:r w:rsidRPr="00207748">
        <w:rPr>
          <w:rStyle w:val="Ohne"/>
          <w:rFonts w:ascii="Cambria" w:hAnsi="Cambria" w:cs="Arial"/>
          <w:spacing w:val="-1"/>
          <w:sz w:val="20"/>
          <w:szCs w:val="20"/>
        </w:rPr>
        <w:t>Eine einzelne Observationsstudie mit insgesamt 6.016 septischen Patienten fand sogar bei fehlender Mortalitätsreduktion eine vermehrte Häufung von nosokomialen Infektionen und schweren Hypoxämien bei einer liberaleren Transfusionsstrategie während der Intensivtherapie</w:t>
      </w:r>
      <w:r w:rsidR="00FA2A03" w:rsidRPr="006B2B71">
        <w:rPr>
          <w:rStyle w:val="EndnoteRealZchn"/>
        </w:rPr>
        <w:t>.</w:t>
      </w:r>
      <w:r w:rsidRPr="006B2B71">
        <w:rPr>
          <w:rStyle w:val="EndnoteRealZchn"/>
        </w:rPr>
        <w:endnoteReference w:id="340"/>
      </w:r>
    </w:p>
    <w:p w14:paraId="7517619A" w14:textId="2624D20E" w:rsidR="00E11869" w:rsidRPr="00207748" w:rsidRDefault="00447357" w:rsidP="004454B6">
      <w:pPr>
        <w:rPr>
          <w:rStyle w:val="Ohne"/>
          <w:rFonts w:ascii="Cambria" w:hAnsi="Cambria" w:cs="Arial"/>
          <w:spacing w:val="-1"/>
          <w:sz w:val="20"/>
          <w:szCs w:val="20"/>
        </w:rPr>
      </w:pPr>
      <w:r w:rsidRPr="00207748">
        <w:rPr>
          <w:rStyle w:val="Ohne"/>
          <w:rFonts w:ascii="Cambria" w:hAnsi="Cambria" w:cs="Arial"/>
          <w:spacing w:val="-1"/>
          <w:sz w:val="20"/>
          <w:szCs w:val="20"/>
        </w:rPr>
        <w:t>In drei großen RCTs, die die Effektivität einer Early-Goal-Therapie bei septischen Patienten untersuchten, waren Erythrozytentransfusionen mit unterschiedlichen Hämatokritwerten ein Bestandteil einer umfassenderen Sepsis-Managementstrategie</w:t>
      </w:r>
      <w:r w:rsidR="00FA2A03" w:rsidRPr="00207748">
        <w:rPr>
          <w:rStyle w:val="Ohne"/>
          <w:rFonts w:ascii="Cambria" w:hAnsi="Cambria" w:cs="Arial"/>
          <w:spacing w:val="-1"/>
          <w:sz w:val="20"/>
          <w:szCs w:val="20"/>
        </w:rPr>
        <w:t>.</w:t>
      </w:r>
      <w:r w:rsidRPr="006B2B71">
        <w:rPr>
          <w:rStyle w:val="EndnoteRealZchn"/>
        </w:rPr>
        <w:endnoteReference w:id="341"/>
      </w:r>
      <w:r w:rsidRPr="006B2B71">
        <w:rPr>
          <w:rStyle w:val="EndnoteRealZchn"/>
        </w:rPr>
        <w:t xml:space="preserve"> </w:t>
      </w:r>
      <w:r w:rsidRPr="00207748">
        <w:rPr>
          <w:rStyle w:val="Ohne"/>
          <w:rFonts w:ascii="Cambria" w:hAnsi="Cambria" w:cs="Arial"/>
          <w:spacing w:val="-1"/>
          <w:sz w:val="20"/>
          <w:szCs w:val="20"/>
        </w:rPr>
        <w:t xml:space="preserve">Weder in den einzelnen Studien, noch in </w:t>
      </w:r>
      <w:r w:rsidR="004F680D">
        <w:rPr>
          <w:rStyle w:val="Ohne"/>
          <w:rFonts w:ascii="Cambria" w:hAnsi="Cambria" w:cs="Arial"/>
          <w:spacing w:val="-1"/>
          <w:sz w:val="20"/>
          <w:szCs w:val="20"/>
        </w:rPr>
        <w:t>einer Meta</w:t>
      </w:r>
      <w:r w:rsidRPr="00207748">
        <w:rPr>
          <w:rStyle w:val="Ohne"/>
          <w:rFonts w:ascii="Cambria" w:hAnsi="Cambria" w:cs="Arial"/>
          <w:spacing w:val="-1"/>
          <w:sz w:val="20"/>
          <w:szCs w:val="20"/>
        </w:rPr>
        <w:t xml:space="preserve">-Analyse fand sich ein Hinweis auf eine Mortalitätsreduktion durch das Maßnahmenbündel, bei dem u.a. Erythrozytentransfusion um eine Hämatokritkonzentration von über 30 % zu erreichen mit enthalten waren. </w:t>
      </w:r>
    </w:p>
    <w:p w14:paraId="1D084F94" w14:textId="77777777" w:rsidR="00E11869" w:rsidRPr="00207748" w:rsidRDefault="00447357" w:rsidP="004454B6">
      <w:pPr>
        <w:rPr>
          <w:rStyle w:val="Ohne"/>
          <w:rFonts w:ascii="Cambria" w:hAnsi="Cambria" w:cs="Arial"/>
          <w:spacing w:val="-1"/>
          <w:sz w:val="20"/>
          <w:szCs w:val="20"/>
        </w:rPr>
      </w:pPr>
      <w:r w:rsidRPr="00207748">
        <w:rPr>
          <w:rStyle w:val="Ohne"/>
          <w:rFonts w:ascii="Cambria" w:hAnsi="Cambria" w:cs="Arial"/>
          <w:spacing w:val="-1"/>
          <w:sz w:val="20"/>
          <w:szCs w:val="20"/>
        </w:rPr>
        <w:t>Die Querschnitts-Leitlinien der Bundesärztekammer (BÄK) zur Therapie mit Blutkomponenten und Plasmaderivaten haben eine besondere rechtliche Stellung, da in den Richtlinien zur Therapie mit Blutkomponenten und Plasmaderivaten (Hämotherapie) nach § 18 TFG auf die vorliegenden Querschnitts-Leitlinien verwiesen wird</w:t>
      </w:r>
      <w:r w:rsidR="00FA2A03" w:rsidRPr="006B2B71">
        <w:rPr>
          <w:rStyle w:val="EndnoteRealZchn"/>
        </w:rPr>
        <w:t>.</w:t>
      </w:r>
      <w:bookmarkStart w:id="408" w:name="_Ref30589155"/>
      <w:r w:rsidRPr="006B2B71">
        <w:rPr>
          <w:rStyle w:val="EndnoteRealZchn"/>
        </w:rPr>
        <w:endnoteReference w:id="342"/>
      </w:r>
      <w:bookmarkEnd w:id="408"/>
      <w:r w:rsidRPr="006B2B71">
        <w:rPr>
          <w:rStyle w:val="EndnoteRealZchn"/>
        </w:rPr>
        <w:t xml:space="preserve"> </w:t>
      </w:r>
      <w:r w:rsidRPr="00207748">
        <w:rPr>
          <w:rStyle w:val="Ohne"/>
          <w:rFonts w:ascii="Cambria" w:hAnsi="Cambria" w:cs="Arial"/>
          <w:spacing w:val="-1"/>
          <w:sz w:val="20"/>
          <w:szCs w:val="20"/>
        </w:rPr>
        <w:t>Auch bei septischen Patienten sollten die Empfehlungen der deutschen Querschnitts-Leitlinie beachtet werden.</w:t>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06"/>
        <w:gridCol w:w="846"/>
      </w:tblGrid>
      <w:tr w:rsidR="00E11869" w:rsidRPr="00207748" w14:paraId="6FEBCE61"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2E19357" w14:textId="77777777" w:rsidR="00E11869" w:rsidRPr="00207748" w:rsidRDefault="00447357" w:rsidP="008B1A6E">
            <w:pPr>
              <w:spacing w:after="0"/>
              <w:rPr>
                <w:rFonts w:ascii="Cambria" w:hAnsi="Cambria" w:cs="Arial"/>
                <w:b/>
                <w:bCs/>
                <w:sz w:val="20"/>
                <w:szCs w:val="20"/>
              </w:rPr>
            </w:pPr>
            <w:r w:rsidRPr="00207748">
              <w:rPr>
                <w:rFonts w:ascii="Cambria" w:hAnsi="Cambria" w:cs="Arial"/>
                <w:b/>
                <w:bCs/>
                <w:sz w:val="20"/>
                <w:szCs w:val="20"/>
              </w:rPr>
              <w:lastRenderedPageBreak/>
              <w:t>I.2</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02DE61C0"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2858C0DE" w14:textId="77777777" w:rsidR="00E11869" w:rsidRPr="00207748" w:rsidRDefault="00447357" w:rsidP="004454B6">
            <w:pPr>
              <w:spacing w:after="0"/>
              <w:rPr>
                <w:rFonts w:ascii="Cambria" w:hAnsi="Cambria" w:cs="Arial"/>
                <w:b/>
                <w:bCs/>
                <w:sz w:val="20"/>
                <w:szCs w:val="20"/>
              </w:rPr>
            </w:pPr>
            <w:r w:rsidRPr="00207748">
              <w:rPr>
                <w:rFonts w:ascii="Cambria" w:hAnsi="Cambria" w:cs="Arial"/>
                <w:b/>
                <w:bCs/>
                <w:sz w:val="20"/>
                <w:szCs w:val="20"/>
              </w:rPr>
              <w:t>2018</w:t>
            </w:r>
          </w:p>
        </w:tc>
      </w:tr>
      <w:tr w:rsidR="00E11869" w:rsidRPr="00207748" w14:paraId="4A47A178" w14:textId="77777777" w:rsidTr="00334AF5">
        <w:trPr>
          <w:trHeight w:val="2577"/>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945E4"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Empfehlungsgrad</w:t>
            </w:r>
          </w:p>
          <w:p w14:paraId="2FDB0FF9" w14:textId="77777777" w:rsidR="00E11869" w:rsidRPr="00207748" w:rsidRDefault="00E11869" w:rsidP="004454B6">
            <w:pPr>
              <w:spacing w:after="0"/>
              <w:rPr>
                <w:rStyle w:val="Ohne"/>
                <w:rFonts w:ascii="Cambria" w:eastAsia="Arial" w:hAnsi="Cambria" w:cs="Arial"/>
                <w:sz w:val="20"/>
                <w:szCs w:val="20"/>
              </w:rPr>
            </w:pPr>
          </w:p>
          <w:p w14:paraId="02009CA0" w14:textId="77777777" w:rsidR="00E11869" w:rsidRPr="00207748" w:rsidRDefault="00447357" w:rsidP="004454B6">
            <w:pPr>
              <w:spacing w:after="0"/>
              <w:rPr>
                <w:rStyle w:val="Ohne"/>
                <w:rFonts w:ascii="Cambria" w:eastAsia="Arial" w:hAnsi="Cambria" w:cs="Arial"/>
                <w:b/>
                <w:bCs/>
                <w:sz w:val="20"/>
                <w:szCs w:val="20"/>
              </w:rPr>
            </w:pPr>
            <w:r w:rsidRPr="00207748">
              <w:rPr>
                <w:rStyle w:val="Ohne"/>
                <w:rFonts w:ascii="Cambria" w:hAnsi="Cambria" w:cs="Arial"/>
                <w:b/>
                <w:bCs/>
                <w:sz w:val="20"/>
                <w:szCs w:val="20"/>
              </w:rPr>
              <w:t>stark</w:t>
            </w:r>
          </w:p>
          <w:p w14:paraId="6C855F71" w14:textId="77777777" w:rsidR="00E11869" w:rsidRPr="00207748" w:rsidRDefault="00E11869" w:rsidP="004454B6">
            <w:pPr>
              <w:spacing w:after="0"/>
              <w:rPr>
                <w:rStyle w:val="Ohne"/>
                <w:rFonts w:ascii="Cambria" w:eastAsia="Arial" w:hAnsi="Cambria" w:cs="Arial"/>
                <w:b/>
                <w:bCs/>
                <w:sz w:val="20"/>
                <w:szCs w:val="20"/>
              </w:rPr>
            </w:pPr>
          </w:p>
          <w:p w14:paraId="53AB7088"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Evidenzgrad</w:t>
            </w:r>
          </w:p>
          <w:p w14:paraId="7308F356" w14:textId="77777777" w:rsidR="00E11869" w:rsidRPr="00207748" w:rsidRDefault="00E11869" w:rsidP="004454B6">
            <w:pPr>
              <w:spacing w:after="0"/>
              <w:rPr>
                <w:rStyle w:val="Ohne"/>
                <w:rFonts w:ascii="Cambria" w:eastAsia="Arial" w:hAnsi="Cambria" w:cs="Arial"/>
                <w:sz w:val="20"/>
                <w:szCs w:val="20"/>
              </w:rPr>
            </w:pPr>
          </w:p>
          <w:p w14:paraId="396C1398"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moderat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tcPr>
          <w:p w14:paraId="023870AF" w14:textId="77777777" w:rsidR="00E11869" w:rsidRPr="00207748" w:rsidRDefault="00447357" w:rsidP="004454B6">
            <w:pPr>
              <w:spacing w:after="0"/>
              <w:ind w:right="288"/>
              <w:rPr>
                <w:rFonts w:ascii="Cambria" w:hAnsi="Cambria" w:cs="Arial"/>
                <w:sz w:val="20"/>
                <w:szCs w:val="20"/>
              </w:rPr>
            </w:pPr>
            <w:r w:rsidRPr="00207748">
              <w:rPr>
                <w:rStyle w:val="Ohne"/>
                <w:rFonts w:ascii="Cambria" w:hAnsi="Cambria" w:cs="Arial"/>
                <w:b/>
                <w:bCs/>
                <w:spacing w:val="-2"/>
                <w:sz w:val="20"/>
                <w:szCs w:val="20"/>
              </w:rPr>
              <w:t>Wir empfehlen, dass von der Verwendung von Erythropoetin zur Behandlung einer Anämie bei septischen Patienten abgesehen wird.</w:t>
            </w:r>
          </w:p>
        </w:tc>
      </w:tr>
      <w:tr w:rsidR="00E11869" w:rsidRPr="00207748" w14:paraId="1005691E" w14:textId="77777777" w:rsidTr="00342FB3">
        <w:trPr>
          <w:trHeight w:val="56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390A65C4"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EF3A2" w14:textId="77777777" w:rsidR="00E11869" w:rsidRPr="00207748" w:rsidRDefault="00342FB3" w:rsidP="004454B6">
            <w:pPr>
              <w:spacing w:after="0"/>
              <w:rPr>
                <w:rFonts w:ascii="Cambria" w:hAnsi="Cambria" w:cs="Arial"/>
                <w:sz w:val="20"/>
                <w:szCs w:val="20"/>
              </w:rPr>
            </w:pPr>
            <w:r w:rsidRPr="00207748">
              <w:rPr>
                <w:rStyle w:val="Ohne"/>
                <w:rFonts w:ascii="Cambria" w:hAnsi="Cambria" w:cs="Arial"/>
                <w:b/>
                <w:bCs/>
                <w:sz w:val="20"/>
                <w:szCs w:val="20"/>
              </w:rPr>
              <w:t>SSC-</w:t>
            </w:r>
            <w:r w:rsidR="00447357" w:rsidRPr="00207748">
              <w:rPr>
                <w:rStyle w:val="Ohne"/>
                <w:rFonts w:ascii="Cambria" w:hAnsi="Cambria" w:cs="Arial"/>
                <w:b/>
                <w:bCs/>
                <w:sz w:val="20"/>
                <w:szCs w:val="20"/>
              </w:rPr>
              <w:t xml:space="preserve">Leitlinienadaptation </w:t>
            </w:r>
          </w:p>
        </w:tc>
      </w:tr>
      <w:tr w:rsidR="00E11869" w:rsidRPr="00207748" w14:paraId="46062936" w14:textId="77777777" w:rsidTr="00342FB3">
        <w:trPr>
          <w:trHeight w:val="56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E6084"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97FC4"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 xml:space="preserve">Konsensstärke: </w:t>
            </w:r>
            <w:r w:rsidR="00420A45" w:rsidRPr="00207748">
              <w:rPr>
                <w:rStyle w:val="Ohne"/>
                <w:rFonts w:ascii="Cambria" w:hAnsi="Cambria" w:cs="Arial"/>
                <w:sz w:val="20"/>
                <w:szCs w:val="20"/>
              </w:rPr>
              <w:t>100%</w:t>
            </w:r>
            <w:r w:rsidR="00E873A9" w:rsidRPr="00207748">
              <w:rPr>
                <w:rStyle w:val="Ohne"/>
                <w:rFonts w:ascii="Cambria" w:hAnsi="Cambria" w:cs="Arial"/>
                <w:sz w:val="20"/>
                <w:szCs w:val="20"/>
              </w:rPr>
              <w:t>;</w:t>
            </w:r>
          </w:p>
          <w:p w14:paraId="60D77DE8" w14:textId="77777777" w:rsidR="00E11869" w:rsidRPr="00207748" w:rsidRDefault="00E11869" w:rsidP="004454B6">
            <w:pPr>
              <w:spacing w:after="0"/>
              <w:rPr>
                <w:rFonts w:ascii="Cambria" w:hAnsi="Cambria" w:cs="Arial"/>
                <w:sz w:val="20"/>
                <w:szCs w:val="20"/>
              </w:rPr>
            </w:pPr>
          </w:p>
        </w:tc>
      </w:tr>
    </w:tbl>
    <w:p w14:paraId="2E193B78" w14:textId="30079ED3" w:rsidR="00E11869" w:rsidRPr="00207748" w:rsidRDefault="00420A45" w:rsidP="00963061">
      <w:pPr>
        <w:spacing w:before="240" w:after="240"/>
        <w:rPr>
          <w:rStyle w:val="Ohne"/>
          <w:rFonts w:ascii="Cambria" w:eastAsia="Arial" w:hAnsi="Cambria" w:cs="Arial"/>
          <w:sz w:val="20"/>
          <w:szCs w:val="20"/>
        </w:rPr>
      </w:pPr>
      <w:r w:rsidRPr="00207748">
        <w:rPr>
          <w:rStyle w:val="Ohne"/>
          <w:rFonts w:ascii="Cambria" w:hAnsi="Cambria" w:cs="Arial"/>
          <w:b/>
          <w:bCs/>
          <w:sz w:val="20"/>
          <w:szCs w:val="20"/>
        </w:rPr>
        <w:t>Begründung</w:t>
      </w:r>
      <w:r w:rsidR="00447357" w:rsidRPr="00207748">
        <w:rPr>
          <w:rStyle w:val="Ohne"/>
          <w:rFonts w:ascii="Cambria" w:hAnsi="Cambria" w:cs="Arial"/>
          <w:b/>
          <w:bCs/>
          <w:sz w:val="20"/>
          <w:szCs w:val="20"/>
        </w:rPr>
        <w:t xml:space="preserve">: </w:t>
      </w:r>
      <w:r w:rsidR="00447357" w:rsidRPr="00207748">
        <w:rPr>
          <w:rStyle w:val="Ohne"/>
          <w:rFonts w:ascii="Cambria" w:hAnsi="Cambria" w:cs="Arial"/>
          <w:sz w:val="20"/>
          <w:szCs w:val="20"/>
        </w:rPr>
        <w:t>Es gibt bislang keine klinische Studie zur Nutzung von Erythropoietin speziell bei septischen Patienten. Die klinischen Studien zur Erythropoietin-Verabreichung an dem größeren Kollektiv an kritisch erkrankten Patienten zeigten einen kleinen Rückgang des Bedarfs für Erythrozyten</w:t>
      </w:r>
      <w:r w:rsidR="00701487" w:rsidRPr="00207748">
        <w:rPr>
          <w:rStyle w:val="Ohne"/>
          <w:rFonts w:ascii="Cambria" w:hAnsi="Cambria" w:cs="Arial"/>
          <w:sz w:val="20"/>
          <w:szCs w:val="20"/>
        </w:rPr>
        <w:t>-T</w:t>
      </w:r>
      <w:r w:rsidR="00447357" w:rsidRPr="00207748">
        <w:rPr>
          <w:rStyle w:val="Ohne"/>
          <w:rFonts w:ascii="Cambria" w:hAnsi="Cambria" w:cs="Arial"/>
          <w:sz w:val="20"/>
          <w:szCs w:val="20"/>
        </w:rPr>
        <w:t>ransfusionen, ohne dass dies Auswirkung auf die Mortalität hatte</w:t>
      </w:r>
      <w:r w:rsidR="00FA2A03" w:rsidRPr="00207748">
        <w:rPr>
          <w:rStyle w:val="Ohne"/>
          <w:rFonts w:ascii="Cambria" w:hAnsi="Cambria" w:cs="Arial"/>
          <w:sz w:val="20"/>
          <w:szCs w:val="20"/>
        </w:rPr>
        <w:t>.</w:t>
      </w:r>
      <w:r w:rsidR="00447357" w:rsidRPr="00207748">
        <w:rPr>
          <w:rStyle w:val="Ohne"/>
          <w:rFonts w:ascii="Cambria" w:eastAsia="Arial" w:hAnsi="Cambria" w:cs="Arial"/>
          <w:sz w:val="20"/>
          <w:szCs w:val="20"/>
          <w:vertAlign w:val="superscript"/>
        </w:rPr>
        <w:endnoteReference w:id="343"/>
      </w:r>
      <w:r w:rsidR="00447357" w:rsidRPr="00207748">
        <w:rPr>
          <w:rStyle w:val="Ohne"/>
          <w:rFonts w:ascii="Cambria" w:hAnsi="Cambria" w:cs="Arial"/>
          <w:sz w:val="20"/>
          <w:szCs w:val="20"/>
        </w:rPr>
        <w:t xml:space="preserve"> </w:t>
      </w:r>
      <w:r w:rsidR="00447357" w:rsidRPr="00207748">
        <w:rPr>
          <w:rStyle w:val="Ohne"/>
          <w:rFonts w:ascii="Cambria" w:eastAsia="Arial" w:hAnsi="Cambria" w:cs="Arial"/>
          <w:sz w:val="20"/>
          <w:szCs w:val="20"/>
          <w:vertAlign w:val="superscript"/>
        </w:rPr>
        <w:endnoteReference w:id="344"/>
      </w:r>
      <w:r w:rsidR="00447357" w:rsidRPr="00207748">
        <w:rPr>
          <w:rStyle w:val="Ohne"/>
          <w:rFonts w:ascii="Cambria" w:hAnsi="Cambria" w:cs="Arial"/>
          <w:sz w:val="20"/>
          <w:szCs w:val="20"/>
        </w:rPr>
        <w:t xml:space="preserve"> Der Effekt von Erythropoietin bei Sepsis und septischem Schock wird mit hoher Wahrscheinlichkeit nicht vorteilhafter sein als bei anderen kritischen Erkrankungen. Die Verabreichung von Erythropoietin könnte aber mit einer erhöhten Inzidenz von thrombotischen Ereignissen bei kritisch erkrankten Patienten verbunden sein. Unabhängig von einer vorliegenden Sepsis oder einem septische</w:t>
      </w:r>
      <w:r w:rsidR="001A58EF" w:rsidRPr="00207748">
        <w:rPr>
          <w:rStyle w:val="Ohne"/>
          <w:rFonts w:ascii="Cambria" w:hAnsi="Cambria" w:cs="Arial"/>
          <w:sz w:val="20"/>
          <w:szCs w:val="20"/>
        </w:rPr>
        <w:t>n</w:t>
      </w:r>
      <w:r w:rsidR="00447357" w:rsidRPr="00207748">
        <w:rPr>
          <w:rStyle w:val="Ohne"/>
          <w:rFonts w:ascii="Cambria" w:hAnsi="Cambria" w:cs="Arial"/>
          <w:sz w:val="20"/>
          <w:szCs w:val="20"/>
        </w:rPr>
        <w:t xml:space="preserve"> Schock können aber ggf. Grunderkrankungen des septischen Patienten vorliegen, bei denen eine Indikation zur Verwendung von Erythropoietin vorliegt.</w:t>
      </w: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65"/>
        <w:gridCol w:w="1624"/>
        <w:gridCol w:w="944"/>
      </w:tblGrid>
      <w:tr w:rsidR="00E11869" w:rsidRPr="00207748" w14:paraId="112F708E" w14:textId="77777777" w:rsidTr="002B1061">
        <w:trPr>
          <w:trHeight w:val="282"/>
        </w:trPr>
        <w:tc>
          <w:tcPr>
            <w:tcW w:w="2037"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190B2378" w14:textId="77777777" w:rsidR="00E11869" w:rsidRPr="00207748" w:rsidRDefault="00447357" w:rsidP="008B1A6E">
            <w:pPr>
              <w:spacing w:after="0"/>
              <w:rPr>
                <w:rFonts w:ascii="Cambria" w:hAnsi="Cambria" w:cs="Arial"/>
                <w:b/>
                <w:bCs/>
                <w:sz w:val="20"/>
                <w:szCs w:val="20"/>
              </w:rPr>
            </w:pPr>
            <w:r w:rsidRPr="00207748">
              <w:rPr>
                <w:rFonts w:ascii="Cambria" w:hAnsi="Cambria"/>
                <w:b/>
                <w:sz w:val="20"/>
                <w:szCs w:val="20"/>
              </w:rPr>
              <w:t>I.3</w:t>
            </w:r>
          </w:p>
        </w:tc>
        <w:tc>
          <w:tcPr>
            <w:tcW w:w="1874"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B5C60E6" w14:textId="77777777" w:rsidR="00E11869" w:rsidRPr="00207748" w:rsidRDefault="00447357" w:rsidP="004454B6">
            <w:pPr>
              <w:spacing w:after="0"/>
              <w:rPr>
                <w:rFonts w:ascii="Cambria" w:hAnsi="Cambria" w:cs="Arial"/>
                <w:b/>
                <w:bCs/>
                <w:sz w:val="20"/>
                <w:szCs w:val="20"/>
              </w:rPr>
            </w:pPr>
            <w:r w:rsidRPr="00207748">
              <w:rPr>
                <w:rFonts w:ascii="Cambria" w:hAnsi="Cambria"/>
                <w:b/>
                <w:sz w:val="20"/>
                <w:szCs w:val="20"/>
              </w:rPr>
              <w:t xml:space="preserve">Empfehlung </w:t>
            </w:r>
          </w:p>
        </w:tc>
        <w:tc>
          <w:tcPr>
            <w:tcW w:w="1089"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01FE3B23" w14:textId="77777777" w:rsidR="00E11869" w:rsidRPr="00207748" w:rsidRDefault="00447357" w:rsidP="004454B6">
            <w:pPr>
              <w:spacing w:after="0"/>
              <w:rPr>
                <w:rFonts w:ascii="Cambria" w:hAnsi="Cambria" w:cs="Arial"/>
                <w:b/>
                <w:bCs/>
                <w:sz w:val="20"/>
                <w:szCs w:val="20"/>
              </w:rPr>
            </w:pPr>
            <w:r w:rsidRPr="00207748">
              <w:rPr>
                <w:rFonts w:ascii="Cambria" w:hAnsi="Cambria"/>
                <w:b/>
                <w:sz w:val="20"/>
                <w:szCs w:val="20"/>
              </w:rPr>
              <w:t>2018</w:t>
            </w:r>
          </w:p>
        </w:tc>
      </w:tr>
      <w:tr w:rsidR="00E11869" w:rsidRPr="00207748" w14:paraId="6BC7E59F" w14:textId="77777777" w:rsidTr="002B1061">
        <w:trPr>
          <w:trHeight w:val="3811"/>
        </w:trPr>
        <w:tc>
          <w:tcPr>
            <w:tcW w:w="2037"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DABF6"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lastRenderedPageBreak/>
              <w:t>Empfehlungsgrad</w:t>
            </w:r>
          </w:p>
          <w:p w14:paraId="15BAEBF0" w14:textId="77777777" w:rsidR="00E11869" w:rsidRPr="00207748" w:rsidRDefault="00E11869" w:rsidP="004454B6">
            <w:pPr>
              <w:spacing w:after="0"/>
              <w:rPr>
                <w:rStyle w:val="Ohne"/>
                <w:rFonts w:ascii="Cambria" w:eastAsia="Arial" w:hAnsi="Cambria" w:cs="Arial"/>
                <w:sz w:val="20"/>
                <w:szCs w:val="20"/>
              </w:rPr>
            </w:pPr>
          </w:p>
          <w:p w14:paraId="3EFA1B6C" w14:textId="77777777" w:rsidR="00E11869" w:rsidRPr="00207748" w:rsidRDefault="00447357" w:rsidP="004454B6">
            <w:pPr>
              <w:spacing w:after="0"/>
              <w:rPr>
                <w:rStyle w:val="Ohne"/>
                <w:rFonts w:ascii="Cambria" w:eastAsia="Arial" w:hAnsi="Cambria" w:cs="Arial"/>
                <w:b/>
                <w:bCs/>
                <w:sz w:val="20"/>
                <w:szCs w:val="20"/>
              </w:rPr>
            </w:pPr>
            <w:r w:rsidRPr="00207748">
              <w:rPr>
                <w:rStyle w:val="Ohne"/>
                <w:rFonts w:ascii="Cambria" w:hAnsi="Cambria" w:cs="Arial"/>
                <w:b/>
                <w:bCs/>
                <w:sz w:val="20"/>
                <w:szCs w:val="20"/>
              </w:rPr>
              <w:t>schwach</w:t>
            </w:r>
          </w:p>
          <w:p w14:paraId="1BFAD1C8" w14:textId="77777777" w:rsidR="00E11869" w:rsidRPr="00207748" w:rsidRDefault="00E11869" w:rsidP="004454B6">
            <w:pPr>
              <w:spacing w:after="0"/>
              <w:rPr>
                <w:rStyle w:val="Ohne"/>
                <w:rFonts w:ascii="Cambria" w:eastAsia="Arial" w:hAnsi="Cambria" w:cs="Arial"/>
                <w:b/>
                <w:bCs/>
                <w:sz w:val="20"/>
                <w:szCs w:val="20"/>
              </w:rPr>
            </w:pPr>
          </w:p>
          <w:p w14:paraId="004EAD71"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Evidenzgrad</w:t>
            </w:r>
          </w:p>
          <w:p w14:paraId="65607BF9" w14:textId="77777777" w:rsidR="00E11869" w:rsidRPr="00207748" w:rsidRDefault="00E11869" w:rsidP="004454B6">
            <w:pPr>
              <w:spacing w:after="0"/>
              <w:rPr>
                <w:rStyle w:val="Ohne"/>
                <w:rFonts w:ascii="Cambria" w:eastAsia="Arial" w:hAnsi="Cambria" w:cs="Arial"/>
                <w:sz w:val="20"/>
                <w:szCs w:val="20"/>
              </w:rPr>
            </w:pPr>
          </w:p>
          <w:p w14:paraId="4180FAF1"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sehr niedrig</w:t>
            </w:r>
          </w:p>
        </w:tc>
        <w:tc>
          <w:tcPr>
            <w:tcW w:w="2963"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tcPr>
          <w:p w14:paraId="0C27BE9B" w14:textId="75060528" w:rsidR="00E11869" w:rsidRPr="00207748" w:rsidRDefault="00E873A9" w:rsidP="00B26F79">
            <w:pPr>
              <w:spacing w:after="0"/>
              <w:ind w:right="288"/>
              <w:rPr>
                <w:rFonts w:ascii="Cambria" w:hAnsi="Cambria" w:cs="Arial"/>
                <w:sz w:val="20"/>
                <w:szCs w:val="20"/>
              </w:rPr>
            </w:pPr>
            <w:r w:rsidRPr="00207748">
              <w:rPr>
                <w:rStyle w:val="Ohne"/>
                <w:rFonts w:ascii="Cambria" w:hAnsi="Cambria" w:cs="Arial"/>
                <w:b/>
                <w:bCs/>
                <w:sz w:val="20"/>
                <w:szCs w:val="20"/>
              </w:rPr>
              <w:t>Wir schlagen vor, dass Plasma</w:t>
            </w:r>
            <w:r w:rsidR="00B26F79">
              <w:rPr>
                <w:rStyle w:val="Ohne"/>
                <w:rFonts w:ascii="Cambria" w:hAnsi="Cambria" w:cs="Arial"/>
                <w:b/>
                <w:bCs/>
                <w:sz w:val="20"/>
                <w:szCs w:val="20"/>
              </w:rPr>
              <w:t>-</w:t>
            </w:r>
            <w:r w:rsidRPr="00207748">
              <w:rPr>
                <w:rStyle w:val="Ohne"/>
                <w:rFonts w:ascii="Cambria" w:hAnsi="Cambria" w:cs="Arial"/>
                <w:b/>
                <w:bCs/>
                <w:sz w:val="20"/>
                <w:szCs w:val="20"/>
              </w:rPr>
              <w:t>präparate zur Korrektur von Gerinnungsanomali</w:t>
            </w:r>
            <w:r w:rsidR="00B26F79">
              <w:rPr>
                <w:rStyle w:val="Ohne"/>
                <w:rFonts w:ascii="Cambria" w:hAnsi="Cambria" w:cs="Arial"/>
                <w:b/>
                <w:bCs/>
                <w:sz w:val="20"/>
                <w:szCs w:val="20"/>
              </w:rPr>
              <w:t>en bei septischen Patienten NICHT</w:t>
            </w:r>
            <w:r w:rsidRPr="00207748">
              <w:rPr>
                <w:rStyle w:val="Ohne"/>
                <w:rFonts w:ascii="Cambria" w:hAnsi="Cambria" w:cs="Arial"/>
                <w:b/>
                <w:bCs/>
                <w:sz w:val="20"/>
                <w:szCs w:val="20"/>
              </w:rPr>
              <w:t xml:space="preserve"> genutzt werden, es sei denn es liegen aktive Blutungen vor oder es sind invasive Eingriffe geplant.</w:t>
            </w:r>
          </w:p>
        </w:tc>
      </w:tr>
      <w:tr w:rsidR="00E11869" w:rsidRPr="00207748" w14:paraId="12E0B027" w14:textId="77777777" w:rsidTr="002B1061">
        <w:trPr>
          <w:trHeight w:val="562"/>
        </w:trPr>
        <w:tc>
          <w:tcPr>
            <w:tcW w:w="2037" w:type="pct"/>
            <w:vMerge/>
            <w:tcBorders>
              <w:top w:val="single" w:sz="4" w:space="0" w:color="000000"/>
              <w:left w:val="single" w:sz="4" w:space="0" w:color="000000"/>
              <w:bottom w:val="single" w:sz="4" w:space="0" w:color="000000"/>
              <w:right w:val="single" w:sz="4" w:space="0" w:color="000000"/>
            </w:tcBorders>
            <w:shd w:val="clear" w:color="auto" w:fill="auto"/>
          </w:tcPr>
          <w:p w14:paraId="6EC0F022" w14:textId="77777777" w:rsidR="00E11869" w:rsidRPr="00207748" w:rsidRDefault="00E11869" w:rsidP="004454B6">
            <w:pPr>
              <w:rPr>
                <w:rFonts w:ascii="Cambria" w:hAnsi="Cambria" w:cs="Arial"/>
                <w:sz w:val="20"/>
                <w:szCs w:val="20"/>
              </w:rPr>
            </w:pPr>
          </w:p>
        </w:tc>
        <w:tc>
          <w:tcPr>
            <w:tcW w:w="2963"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92D6D"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SSC</w:t>
            </w:r>
            <w:r w:rsidR="001A58EF" w:rsidRPr="00207748">
              <w:rPr>
                <w:rStyle w:val="Ohne"/>
                <w:rFonts w:ascii="Cambria" w:hAnsi="Cambria" w:cs="Arial"/>
                <w:b/>
                <w:bCs/>
                <w:sz w:val="20"/>
                <w:szCs w:val="20"/>
              </w:rPr>
              <w:t>-</w:t>
            </w:r>
            <w:r w:rsidRPr="00207748">
              <w:rPr>
                <w:rStyle w:val="Ohne"/>
                <w:rFonts w:ascii="Cambria" w:hAnsi="Cambria" w:cs="Arial"/>
                <w:b/>
                <w:bCs/>
                <w:sz w:val="20"/>
                <w:szCs w:val="20"/>
              </w:rPr>
              <w:t xml:space="preserve">Leitlinienmodifikation </w:t>
            </w:r>
          </w:p>
        </w:tc>
      </w:tr>
      <w:tr w:rsidR="00E11869" w:rsidRPr="00207748" w14:paraId="15BBDB26" w14:textId="77777777" w:rsidTr="002B1061">
        <w:trPr>
          <w:trHeight w:val="282"/>
        </w:trPr>
        <w:tc>
          <w:tcPr>
            <w:tcW w:w="20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27DE4" w14:textId="77777777" w:rsidR="00E11869" w:rsidRPr="00207748" w:rsidRDefault="00E11869" w:rsidP="004454B6">
            <w:pPr>
              <w:rPr>
                <w:rFonts w:ascii="Cambria" w:hAnsi="Cambria" w:cs="Arial"/>
                <w:sz w:val="20"/>
                <w:szCs w:val="20"/>
              </w:rPr>
            </w:pPr>
          </w:p>
        </w:tc>
        <w:tc>
          <w:tcPr>
            <w:tcW w:w="2963"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476BC"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Konsensstärke: 100 %</w:t>
            </w:r>
          </w:p>
        </w:tc>
      </w:tr>
    </w:tbl>
    <w:p w14:paraId="51E3E079" w14:textId="4231E640" w:rsidR="00E11869" w:rsidRPr="00207748" w:rsidRDefault="00420A45" w:rsidP="00665775">
      <w:pPr>
        <w:spacing w:before="240"/>
        <w:rPr>
          <w:rStyle w:val="Ohne"/>
          <w:rFonts w:ascii="Cambria" w:hAnsi="Cambria" w:cs="Arial"/>
          <w:sz w:val="20"/>
          <w:szCs w:val="20"/>
        </w:rPr>
      </w:pPr>
      <w:r w:rsidRPr="00207748">
        <w:rPr>
          <w:rStyle w:val="Ohne"/>
          <w:rFonts w:ascii="Cambria" w:hAnsi="Cambria" w:cs="Arial"/>
          <w:b/>
          <w:bCs/>
          <w:sz w:val="20"/>
          <w:szCs w:val="20"/>
        </w:rPr>
        <w:t>Begründung</w:t>
      </w:r>
      <w:r w:rsidRPr="00207748">
        <w:rPr>
          <w:rStyle w:val="Ohne"/>
          <w:rFonts w:ascii="Cambria" w:hAnsi="Cambria" w:cs="Arial"/>
          <w:sz w:val="20"/>
          <w:szCs w:val="20"/>
        </w:rPr>
        <w:t>:</w:t>
      </w:r>
      <w:r w:rsidR="00447357" w:rsidRPr="00207748">
        <w:rPr>
          <w:rStyle w:val="Ohne"/>
          <w:rFonts w:ascii="Cambria" w:hAnsi="Cambria" w:cs="Arial"/>
          <w:sz w:val="20"/>
          <w:szCs w:val="20"/>
        </w:rPr>
        <w:t xml:space="preserve"> In Deutschland stehen vier verschiedene Plasmapräparationen zur klinischen Anwendung zur Verfügung (gefrorene Frischplasma (GFP), das Solvent-Detergent (SD)-behandelte Plasma (SDP), das Methylenblau-Licht-behandelte Plasma (MLP) sowie das lyophilisierte Humanplasma (LHP). Es finden sich in der medizinischen Literatur keine randomisierten klinischen Studien, die unterschiedliche Plasmasubstitutionsregime bzw. die Anwendung der unterschiedlichen Plasmapräparationen bei kritisch kranken Patienten untersucht haben. Aktuelle Empfehlungen basieren hauptsächlich auf Expertenmeinungen, die besagen, dass Plasmapräparationen gegeben werden können, wenn eine dokumentierte Störung der plasmatischen Gerinnung vorhanden ist (Koagulopathie mit Quickwerten &lt; 50% oder APTT &gt; 45 s und/oder Fibrinogenspiegel &lt; 1 g/l) und eine aktive Blutung vorliegt bzw. wenn invasive Prozeduren oder Operationen geplant werden. Plasma sollte bei Vorliegen dieser Vorraussetzungen in einer Dosierung von 15-20 ml/kg Körpergewicht rasch transfundiert werden</w:t>
      </w:r>
      <w:r w:rsidR="006B2B71">
        <w:rPr>
          <w:rStyle w:val="Ohne"/>
          <w:rFonts w:ascii="Cambria" w:hAnsi="Cambria" w:cs="Arial"/>
          <w:sz w:val="20"/>
          <w:szCs w:val="20"/>
        </w:rPr>
        <w:t>.</w:t>
      </w:r>
      <w:r w:rsidR="006B2B71" w:rsidRPr="006B2B71">
        <w:rPr>
          <w:rStyle w:val="EndnoteRealZchn"/>
        </w:rPr>
        <w:fldChar w:fldCharType="begin"/>
      </w:r>
      <w:r w:rsidR="006B2B71" w:rsidRPr="006B2B71">
        <w:rPr>
          <w:rStyle w:val="EndnoteRealZchn"/>
        </w:rPr>
        <w:instrText xml:space="preserve"> NOTEREF _Ref30589155 \h </w:instrText>
      </w:r>
      <w:r w:rsidR="006B2B71">
        <w:rPr>
          <w:rStyle w:val="EndnoteRealZchn"/>
        </w:rPr>
        <w:instrText xml:space="preserve"> \* MERGEFORMAT </w:instrText>
      </w:r>
      <w:r w:rsidR="006B2B71" w:rsidRPr="006B2B71">
        <w:rPr>
          <w:rStyle w:val="EndnoteRealZchn"/>
        </w:rPr>
      </w:r>
      <w:r w:rsidR="006B2B71" w:rsidRPr="006B2B71">
        <w:rPr>
          <w:rStyle w:val="EndnoteRealZchn"/>
        </w:rPr>
        <w:fldChar w:fldCharType="separate"/>
      </w:r>
      <w:r w:rsidR="001A283B">
        <w:rPr>
          <w:rStyle w:val="EndnoteRealZchn"/>
        </w:rPr>
        <w:t>383</w:t>
      </w:r>
      <w:r w:rsidR="006B2B71" w:rsidRPr="006B2B71">
        <w:rPr>
          <w:rStyle w:val="EndnoteRealZchn"/>
        </w:rPr>
        <w:fldChar w:fldCharType="end"/>
      </w: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66"/>
        <w:gridCol w:w="1770"/>
        <w:gridCol w:w="797"/>
      </w:tblGrid>
      <w:tr w:rsidR="00E11869" w:rsidRPr="00207748" w14:paraId="2CFDAD21" w14:textId="77777777" w:rsidTr="002B1061">
        <w:trPr>
          <w:trHeight w:val="282"/>
        </w:trPr>
        <w:tc>
          <w:tcPr>
            <w:tcW w:w="2037"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2E276FF4" w14:textId="77777777" w:rsidR="00E11869" w:rsidRPr="00207748" w:rsidRDefault="00447357" w:rsidP="008B1A6E">
            <w:pPr>
              <w:spacing w:after="0"/>
              <w:rPr>
                <w:rFonts w:ascii="Cambria" w:hAnsi="Cambria" w:cs="Arial"/>
                <w:b/>
                <w:bCs/>
                <w:sz w:val="20"/>
                <w:szCs w:val="20"/>
              </w:rPr>
            </w:pPr>
            <w:r w:rsidRPr="00207748">
              <w:rPr>
                <w:rFonts w:ascii="Cambria" w:hAnsi="Cambria"/>
                <w:b/>
                <w:sz w:val="20"/>
                <w:szCs w:val="20"/>
              </w:rPr>
              <w:t>I.4</w:t>
            </w:r>
          </w:p>
        </w:tc>
        <w:tc>
          <w:tcPr>
            <w:tcW w:w="2043"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39FEAFFE" w14:textId="77777777" w:rsidR="00E11869" w:rsidRPr="00207748" w:rsidRDefault="00447357" w:rsidP="004454B6">
            <w:pPr>
              <w:spacing w:after="0"/>
              <w:rPr>
                <w:rFonts w:ascii="Cambria" w:hAnsi="Cambria" w:cs="Arial"/>
                <w:b/>
                <w:bCs/>
                <w:sz w:val="20"/>
                <w:szCs w:val="20"/>
              </w:rPr>
            </w:pPr>
            <w:r w:rsidRPr="00207748">
              <w:rPr>
                <w:rFonts w:ascii="Cambria" w:hAnsi="Cambria"/>
                <w:b/>
                <w:sz w:val="20"/>
                <w:szCs w:val="20"/>
              </w:rPr>
              <w:t xml:space="preserve">Empfehlung </w:t>
            </w:r>
          </w:p>
        </w:tc>
        <w:tc>
          <w:tcPr>
            <w:tcW w:w="920"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7AB280A1" w14:textId="77777777" w:rsidR="00E11869" w:rsidRPr="00207748" w:rsidRDefault="00447357" w:rsidP="004454B6">
            <w:pPr>
              <w:spacing w:after="0"/>
              <w:rPr>
                <w:rFonts w:ascii="Cambria" w:hAnsi="Cambria" w:cs="Arial"/>
                <w:b/>
                <w:bCs/>
                <w:sz w:val="20"/>
                <w:szCs w:val="20"/>
              </w:rPr>
            </w:pPr>
            <w:r w:rsidRPr="00207748">
              <w:rPr>
                <w:rFonts w:ascii="Cambria" w:hAnsi="Cambria"/>
                <w:b/>
                <w:sz w:val="20"/>
                <w:szCs w:val="20"/>
              </w:rPr>
              <w:t>2018</w:t>
            </w:r>
          </w:p>
        </w:tc>
      </w:tr>
      <w:tr w:rsidR="00E11869" w:rsidRPr="00207748" w14:paraId="6B9D5FD1" w14:textId="77777777" w:rsidTr="002B1061">
        <w:trPr>
          <w:trHeight w:val="7340"/>
        </w:trPr>
        <w:tc>
          <w:tcPr>
            <w:tcW w:w="2037"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7A295"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lastRenderedPageBreak/>
              <w:t>Empfehlungsgrad</w:t>
            </w:r>
          </w:p>
          <w:p w14:paraId="4354EE91" w14:textId="77777777" w:rsidR="00E11869" w:rsidRPr="00207748" w:rsidRDefault="00E11869" w:rsidP="004454B6">
            <w:pPr>
              <w:spacing w:after="0"/>
              <w:rPr>
                <w:rStyle w:val="Ohne"/>
                <w:rFonts w:ascii="Cambria" w:eastAsia="Arial" w:hAnsi="Cambria" w:cs="Arial"/>
                <w:sz w:val="20"/>
                <w:szCs w:val="20"/>
              </w:rPr>
            </w:pPr>
          </w:p>
          <w:p w14:paraId="2C51129C" w14:textId="77777777" w:rsidR="00E11869" w:rsidRPr="00207748" w:rsidRDefault="00447357" w:rsidP="004454B6">
            <w:pPr>
              <w:spacing w:after="0"/>
              <w:rPr>
                <w:rStyle w:val="Ohne"/>
                <w:rFonts w:ascii="Cambria" w:eastAsia="Arial" w:hAnsi="Cambria" w:cs="Arial"/>
                <w:b/>
                <w:bCs/>
                <w:sz w:val="20"/>
                <w:szCs w:val="20"/>
              </w:rPr>
            </w:pPr>
            <w:r w:rsidRPr="00207748">
              <w:rPr>
                <w:rStyle w:val="Ohne"/>
                <w:rFonts w:ascii="Cambria" w:hAnsi="Cambria" w:cs="Arial"/>
                <w:b/>
                <w:bCs/>
                <w:sz w:val="20"/>
                <w:szCs w:val="20"/>
              </w:rPr>
              <w:t>schwach</w:t>
            </w:r>
          </w:p>
          <w:p w14:paraId="3D43ADA9" w14:textId="77777777" w:rsidR="00E11869" w:rsidRPr="00207748" w:rsidRDefault="00E11869" w:rsidP="004454B6">
            <w:pPr>
              <w:spacing w:after="0"/>
              <w:rPr>
                <w:rStyle w:val="Ohne"/>
                <w:rFonts w:ascii="Cambria" w:eastAsia="Arial" w:hAnsi="Cambria" w:cs="Arial"/>
                <w:b/>
                <w:bCs/>
                <w:sz w:val="20"/>
                <w:szCs w:val="20"/>
              </w:rPr>
            </w:pPr>
          </w:p>
          <w:p w14:paraId="6869EEB4"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Evidenzgrad</w:t>
            </w:r>
          </w:p>
          <w:p w14:paraId="42F76614" w14:textId="77777777" w:rsidR="00E11869" w:rsidRPr="00207748" w:rsidRDefault="00E11869" w:rsidP="004454B6">
            <w:pPr>
              <w:spacing w:after="0"/>
              <w:rPr>
                <w:rStyle w:val="Ohne"/>
                <w:rFonts w:ascii="Cambria" w:eastAsia="Arial" w:hAnsi="Cambria" w:cs="Arial"/>
                <w:sz w:val="20"/>
                <w:szCs w:val="20"/>
              </w:rPr>
            </w:pPr>
          </w:p>
          <w:p w14:paraId="2813DC51"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sehr niedrig</w:t>
            </w:r>
          </w:p>
        </w:tc>
        <w:tc>
          <w:tcPr>
            <w:tcW w:w="2963"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5" w:type="dxa"/>
            </w:tcMar>
          </w:tcPr>
          <w:p w14:paraId="1CF7DB1B" w14:textId="7FDC21F2" w:rsidR="00E11869" w:rsidRPr="00207748" w:rsidRDefault="00447357" w:rsidP="004454B6">
            <w:pPr>
              <w:spacing w:after="0"/>
              <w:ind w:right="215"/>
              <w:rPr>
                <w:rFonts w:ascii="Cambria" w:hAnsi="Cambria" w:cs="Arial"/>
                <w:sz w:val="20"/>
                <w:szCs w:val="20"/>
              </w:rPr>
            </w:pPr>
            <w:r w:rsidRPr="00207748">
              <w:rPr>
                <w:rStyle w:val="Ohne"/>
                <w:rFonts w:ascii="Cambria" w:hAnsi="Cambria" w:cs="Arial"/>
                <w:b/>
                <w:bCs/>
                <w:spacing w:val="-2"/>
                <w:sz w:val="20"/>
                <w:szCs w:val="20"/>
              </w:rPr>
              <w:t>Wir schlagen eine prophylaktische Thrombozyten</w:t>
            </w:r>
            <w:r w:rsidR="00B26F79">
              <w:rPr>
                <w:rStyle w:val="Ohne"/>
                <w:rFonts w:ascii="Cambria" w:hAnsi="Cambria" w:cs="Arial"/>
                <w:b/>
                <w:bCs/>
                <w:spacing w:val="-2"/>
                <w:sz w:val="20"/>
                <w:szCs w:val="20"/>
              </w:rPr>
              <w:t>-</w:t>
            </w:r>
            <w:r w:rsidRPr="00207748">
              <w:rPr>
                <w:rStyle w:val="Ohne"/>
                <w:rFonts w:ascii="Cambria" w:hAnsi="Cambria" w:cs="Arial"/>
                <w:b/>
                <w:bCs/>
                <w:spacing w:val="-2"/>
                <w:sz w:val="20"/>
                <w:szCs w:val="20"/>
              </w:rPr>
              <w:t>transfusion bei fehlenden weiteren Blutungsrisiken erst bei Thrombozyten</w:t>
            </w:r>
            <w:r w:rsidR="00B26F79">
              <w:rPr>
                <w:rStyle w:val="Ohne"/>
                <w:rFonts w:ascii="Cambria" w:hAnsi="Cambria" w:cs="Arial"/>
                <w:b/>
                <w:bCs/>
                <w:spacing w:val="-2"/>
                <w:sz w:val="20"/>
                <w:szCs w:val="20"/>
              </w:rPr>
              <w:t>-</w:t>
            </w:r>
            <w:r w:rsidRPr="00207748">
              <w:rPr>
                <w:rStyle w:val="Ohne"/>
                <w:rFonts w:ascii="Cambria" w:hAnsi="Cambria" w:cs="Arial"/>
                <w:b/>
                <w:bCs/>
                <w:spacing w:val="-2"/>
                <w:sz w:val="20"/>
                <w:szCs w:val="20"/>
              </w:rPr>
              <w:t>zahlen &lt; 10.000/μl vor. In Abhängigkeit von geplanten Operationen oder anderen invasiven Maßnahmen, dem Vorliegen einer aktiven Blutung oder der Einnahme von Medikamenten, die die Thrombo</w:t>
            </w:r>
            <w:r w:rsidR="00B26F79">
              <w:rPr>
                <w:rStyle w:val="Ohne"/>
                <w:rFonts w:ascii="Cambria" w:hAnsi="Cambria" w:cs="Arial"/>
                <w:b/>
                <w:bCs/>
                <w:spacing w:val="-2"/>
                <w:sz w:val="20"/>
                <w:szCs w:val="20"/>
              </w:rPr>
              <w:t>-</w:t>
            </w:r>
            <w:r w:rsidRPr="00207748">
              <w:rPr>
                <w:rStyle w:val="Ohne"/>
                <w:rFonts w:ascii="Cambria" w:hAnsi="Cambria" w:cs="Arial"/>
                <w:b/>
                <w:bCs/>
                <w:spacing w:val="-2"/>
                <w:sz w:val="20"/>
                <w:szCs w:val="20"/>
              </w:rPr>
              <w:t>zytenfunktion beeinträchtigen, kann eine Thrombozyten</w:t>
            </w:r>
            <w:r w:rsidR="00B26F79">
              <w:rPr>
                <w:rStyle w:val="Ohne"/>
                <w:rFonts w:ascii="Cambria" w:hAnsi="Cambria" w:cs="Arial"/>
                <w:b/>
                <w:bCs/>
                <w:spacing w:val="-2"/>
                <w:sz w:val="20"/>
                <w:szCs w:val="20"/>
              </w:rPr>
              <w:t>-</w:t>
            </w:r>
            <w:r w:rsidRPr="00207748">
              <w:rPr>
                <w:rStyle w:val="Ohne"/>
                <w:rFonts w:ascii="Cambria" w:hAnsi="Cambria" w:cs="Arial"/>
                <w:b/>
                <w:bCs/>
                <w:spacing w:val="-2"/>
                <w:sz w:val="20"/>
                <w:szCs w:val="20"/>
              </w:rPr>
              <w:t>transfusion aber auch schon bei Thrombozyten</w:t>
            </w:r>
            <w:r w:rsidR="00B26F79">
              <w:rPr>
                <w:rStyle w:val="Ohne"/>
                <w:rFonts w:ascii="Cambria" w:hAnsi="Cambria" w:cs="Arial"/>
                <w:b/>
                <w:bCs/>
                <w:spacing w:val="-2"/>
                <w:sz w:val="20"/>
                <w:szCs w:val="20"/>
              </w:rPr>
              <w:t>-</w:t>
            </w:r>
            <w:r w:rsidRPr="00207748">
              <w:rPr>
                <w:rStyle w:val="Ohne"/>
                <w:rFonts w:ascii="Cambria" w:hAnsi="Cambria" w:cs="Arial"/>
                <w:b/>
                <w:bCs/>
                <w:spacing w:val="-2"/>
                <w:sz w:val="20"/>
                <w:szCs w:val="20"/>
              </w:rPr>
              <w:t xml:space="preserve">zahlen von 20.000/µl bis zu 100.000/µl erforderlich sein. </w:t>
            </w:r>
          </w:p>
        </w:tc>
      </w:tr>
      <w:tr w:rsidR="00E11869" w:rsidRPr="00207748" w14:paraId="4B551A79" w14:textId="77777777" w:rsidTr="002B1061">
        <w:trPr>
          <w:trHeight w:val="282"/>
        </w:trPr>
        <w:tc>
          <w:tcPr>
            <w:tcW w:w="2037" w:type="pct"/>
            <w:vMerge/>
            <w:tcBorders>
              <w:top w:val="single" w:sz="4" w:space="0" w:color="000000"/>
              <w:left w:val="single" w:sz="4" w:space="0" w:color="000000"/>
              <w:bottom w:val="single" w:sz="4" w:space="0" w:color="000000"/>
              <w:right w:val="single" w:sz="4" w:space="0" w:color="000000"/>
            </w:tcBorders>
            <w:shd w:val="clear" w:color="auto" w:fill="auto"/>
          </w:tcPr>
          <w:p w14:paraId="0F71B9EF" w14:textId="77777777" w:rsidR="00E11869" w:rsidRPr="00207748" w:rsidRDefault="00E11869" w:rsidP="004454B6">
            <w:pPr>
              <w:rPr>
                <w:rFonts w:ascii="Cambria" w:hAnsi="Cambria" w:cs="Arial"/>
                <w:sz w:val="20"/>
                <w:szCs w:val="20"/>
              </w:rPr>
            </w:pPr>
          </w:p>
        </w:tc>
        <w:tc>
          <w:tcPr>
            <w:tcW w:w="2963"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6B39C" w14:textId="77777777" w:rsidR="00E11869" w:rsidRPr="00207748" w:rsidRDefault="00342FB3" w:rsidP="004454B6">
            <w:pPr>
              <w:spacing w:after="0"/>
              <w:rPr>
                <w:rFonts w:ascii="Cambria" w:hAnsi="Cambria" w:cs="Arial"/>
                <w:sz w:val="20"/>
                <w:szCs w:val="20"/>
              </w:rPr>
            </w:pPr>
            <w:r w:rsidRPr="00207748">
              <w:rPr>
                <w:rStyle w:val="Ohne"/>
                <w:rFonts w:ascii="Cambria" w:hAnsi="Cambria" w:cs="Arial"/>
                <w:b/>
                <w:bCs/>
                <w:sz w:val="20"/>
                <w:szCs w:val="20"/>
              </w:rPr>
              <w:t>SSC-</w:t>
            </w:r>
            <w:r w:rsidR="00447357" w:rsidRPr="00207748">
              <w:rPr>
                <w:rStyle w:val="Ohne"/>
                <w:rFonts w:ascii="Cambria" w:hAnsi="Cambria" w:cs="Arial"/>
                <w:b/>
                <w:bCs/>
                <w:sz w:val="20"/>
                <w:szCs w:val="20"/>
              </w:rPr>
              <w:t xml:space="preserve">Leitlinienmodifikation </w:t>
            </w:r>
          </w:p>
        </w:tc>
      </w:tr>
      <w:tr w:rsidR="00E11869" w:rsidRPr="00207748" w14:paraId="56AFA184" w14:textId="77777777" w:rsidTr="002B1061">
        <w:trPr>
          <w:trHeight w:val="282"/>
        </w:trPr>
        <w:tc>
          <w:tcPr>
            <w:tcW w:w="20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573A5" w14:textId="77777777" w:rsidR="00E11869" w:rsidRPr="00207748" w:rsidRDefault="00E11869" w:rsidP="004454B6">
            <w:pPr>
              <w:rPr>
                <w:rFonts w:ascii="Cambria" w:hAnsi="Cambria" w:cs="Arial"/>
                <w:sz w:val="20"/>
                <w:szCs w:val="20"/>
              </w:rPr>
            </w:pPr>
          </w:p>
        </w:tc>
        <w:tc>
          <w:tcPr>
            <w:tcW w:w="2963"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232B1"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Konsensstärke: 100 %</w:t>
            </w:r>
          </w:p>
        </w:tc>
      </w:tr>
    </w:tbl>
    <w:p w14:paraId="504C8023" w14:textId="3166221D" w:rsidR="00665775" w:rsidRPr="00207748" w:rsidRDefault="00420A45" w:rsidP="00FB33A2">
      <w:pPr>
        <w:spacing w:before="240"/>
        <w:rPr>
          <w:rStyle w:val="Ohne"/>
          <w:rFonts w:ascii="Cambria" w:hAnsi="Cambria" w:cs="Arial"/>
          <w:spacing w:val="1"/>
          <w:sz w:val="20"/>
          <w:szCs w:val="20"/>
        </w:rPr>
      </w:pPr>
      <w:r w:rsidRPr="00207748">
        <w:rPr>
          <w:rStyle w:val="Ohne"/>
          <w:rFonts w:ascii="Cambria" w:hAnsi="Cambria" w:cs="Arial"/>
          <w:b/>
          <w:bCs/>
          <w:spacing w:val="1"/>
          <w:sz w:val="20"/>
          <w:szCs w:val="20"/>
        </w:rPr>
        <w:t>Begründung:</w:t>
      </w:r>
      <w:r w:rsidR="00447357" w:rsidRPr="00207748">
        <w:rPr>
          <w:rStyle w:val="Ohne"/>
          <w:rFonts w:ascii="Cambria" w:hAnsi="Cambria" w:cs="Arial"/>
          <w:b/>
          <w:bCs/>
          <w:iCs/>
          <w:spacing w:val="1"/>
          <w:sz w:val="20"/>
          <w:szCs w:val="20"/>
        </w:rPr>
        <w:t xml:space="preserve"> </w:t>
      </w:r>
      <w:r w:rsidR="00447357" w:rsidRPr="00207748">
        <w:rPr>
          <w:rStyle w:val="Ohne"/>
          <w:rFonts w:ascii="Cambria" w:hAnsi="Cambria" w:cs="Arial"/>
          <w:spacing w:val="1"/>
          <w:sz w:val="20"/>
          <w:szCs w:val="20"/>
        </w:rPr>
        <w:t>Es sind keine RCTs zu prophylaktischen Thrombozytentransfusionen bei septischen oder kritisch erkrankten Patienten bekannt. Spezifische Empfehlungen zur prophylaktischen oder therapeutischen Gabe von Thrombozytenkonzentraten bei septischen Patienten können deswegen nicht ausgesprochen werden. Wir empfehlen auf der Basis der Querschnitts-Leitlinien der BÄK zur Therapie mit Blutkomponenten eine prophylaktische bzw. therapeutische Thrombozytentransfusion bei septischen Patienten durchzuführen</w:t>
      </w:r>
      <w:r w:rsidR="00FA2A03" w:rsidRPr="00207748">
        <w:rPr>
          <w:rStyle w:val="Ohne"/>
          <w:rFonts w:ascii="Cambria" w:hAnsi="Cambria" w:cs="Arial"/>
          <w:spacing w:val="1"/>
          <w:sz w:val="20"/>
          <w:szCs w:val="20"/>
        </w:rPr>
        <w:t>.</w:t>
      </w:r>
      <w:bookmarkStart w:id="409" w:name="_Toc25845117"/>
      <w:r w:rsidR="006B2B71" w:rsidRPr="006B2B71">
        <w:rPr>
          <w:rStyle w:val="EndnoteRealZchn"/>
        </w:rPr>
        <w:fldChar w:fldCharType="begin"/>
      </w:r>
      <w:r w:rsidR="006B2B71" w:rsidRPr="006B2B71">
        <w:rPr>
          <w:rStyle w:val="EndnoteRealZchn"/>
        </w:rPr>
        <w:instrText xml:space="preserve"> NOTEREF _Ref30589155 \h </w:instrText>
      </w:r>
      <w:r w:rsidR="006B2B71">
        <w:rPr>
          <w:rStyle w:val="EndnoteRealZchn"/>
        </w:rPr>
        <w:instrText xml:space="preserve"> \* MERGEFORMAT </w:instrText>
      </w:r>
      <w:r w:rsidR="006B2B71" w:rsidRPr="006B2B71">
        <w:rPr>
          <w:rStyle w:val="EndnoteRealZchn"/>
        </w:rPr>
      </w:r>
      <w:r w:rsidR="006B2B71" w:rsidRPr="006B2B71">
        <w:rPr>
          <w:rStyle w:val="EndnoteRealZchn"/>
        </w:rPr>
        <w:fldChar w:fldCharType="separate"/>
      </w:r>
      <w:r w:rsidR="001A283B">
        <w:rPr>
          <w:rStyle w:val="EndnoteRealZchn"/>
        </w:rPr>
        <w:t>383</w:t>
      </w:r>
      <w:r w:rsidR="006B2B71" w:rsidRPr="006B2B71">
        <w:rPr>
          <w:rStyle w:val="EndnoteRealZchn"/>
        </w:rPr>
        <w:fldChar w:fldCharType="end"/>
      </w:r>
    </w:p>
    <w:p w14:paraId="295484E6" w14:textId="7E9A025A" w:rsidR="00E11869" w:rsidRPr="00182D07" w:rsidRDefault="00447357" w:rsidP="004454B6">
      <w:pPr>
        <w:pStyle w:val="berschrift2"/>
        <w:rPr>
          <w:b w:val="0"/>
        </w:rPr>
      </w:pPr>
      <w:bookmarkStart w:id="410" w:name="_Toc437861465"/>
      <w:bookmarkStart w:id="411" w:name="_Toc31278503"/>
      <w:r w:rsidRPr="00182D07">
        <w:rPr>
          <w:rStyle w:val="Ohne"/>
        </w:rPr>
        <w:t>J. Immunglobuline</w:t>
      </w:r>
      <w:bookmarkEnd w:id="409"/>
      <w:bookmarkEnd w:id="410"/>
      <w:bookmarkEnd w:id="411"/>
    </w:p>
    <w:p w14:paraId="2A7B3775" w14:textId="77777777" w:rsidR="00E11869" w:rsidRPr="00207748" w:rsidRDefault="00E11869" w:rsidP="00FB33A2">
      <w:pPr>
        <w:pStyle w:val="KeinLeerraum"/>
        <w:rPr>
          <w:rStyle w:val="Ohne"/>
        </w:rPr>
      </w:pP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18"/>
        <w:gridCol w:w="834"/>
      </w:tblGrid>
      <w:tr w:rsidR="00E11869" w:rsidRPr="00207748" w14:paraId="6E271E85"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40B5D6B" w14:textId="77777777" w:rsidR="00E11869" w:rsidRPr="00207748" w:rsidRDefault="00447357" w:rsidP="004454B6">
            <w:pPr>
              <w:rPr>
                <w:rFonts w:ascii="Cambria" w:hAnsi="Cambria" w:cs="Arial"/>
                <w:sz w:val="20"/>
                <w:szCs w:val="20"/>
              </w:rPr>
            </w:pPr>
            <w:r w:rsidRPr="00207748">
              <w:rPr>
                <w:rStyle w:val="Ohne"/>
                <w:rFonts w:ascii="Cambria" w:hAnsi="Cambria" w:cs="Arial"/>
                <w:b/>
                <w:bCs/>
                <w:sz w:val="20"/>
                <w:szCs w:val="20"/>
              </w:rPr>
              <w:lastRenderedPageBreak/>
              <w:t>J.1</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30BAA83"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019938DD"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2018</w:t>
            </w:r>
          </w:p>
        </w:tc>
      </w:tr>
      <w:tr w:rsidR="00E11869" w:rsidRPr="00207748" w14:paraId="3CF04BAC" w14:textId="77777777" w:rsidTr="00334AF5">
        <w:trPr>
          <w:trHeight w:val="209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AC2E9"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Empfehlungsgrad</w:t>
            </w:r>
          </w:p>
          <w:p w14:paraId="16A44DEC" w14:textId="77777777" w:rsidR="00E11869" w:rsidRPr="00207748" w:rsidRDefault="00E11869" w:rsidP="004454B6">
            <w:pPr>
              <w:spacing w:after="0"/>
              <w:rPr>
                <w:rStyle w:val="Ohne"/>
                <w:rFonts w:ascii="Cambria" w:eastAsia="Arial" w:hAnsi="Cambria" w:cs="Arial"/>
                <w:sz w:val="20"/>
                <w:szCs w:val="20"/>
              </w:rPr>
            </w:pPr>
          </w:p>
          <w:p w14:paraId="384E1227" w14:textId="77777777" w:rsidR="00E11869" w:rsidRPr="00207748" w:rsidRDefault="00447357" w:rsidP="004454B6">
            <w:pPr>
              <w:spacing w:after="0"/>
              <w:rPr>
                <w:rStyle w:val="Ohne"/>
                <w:rFonts w:ascii="Cambria" w:eastAsia="Arial" w:hAnsi="Cambria" w:cs="Arial"/>
                <w:b/>
                <w:bCs/>
                <w:sz w:val="20"/>
                <w:szCs w:val="20"/>
              </w:rPr>
            </w:pPr>
            <w:r w:rsidRPr="00207748">
              <w:rPr>
                <w:rStyle w:val="Ohne"/>
                <w:rFonts w:ascii="Cambria" w:hAnsi="Cambria" w:cs="Arial"/>
                <w:b/>
                <w:bCs/>
                <w:sz w:val="20"/>
                <w:szCs w:val="20"/>
              </w:rPr>
              <w:t>schwach</w:t>
            </w:r>
          </w:p>
          <w:p w14:paraId="261B3D95" w14:textId="77777777" w:rsidR="00E11869" w:rsidRPr="00207748" w:rsidRDefault="00E11869" w:rsidP="004454B6">
            <w:pPr>
              <w:spacing w:after="0"/>
              <w:rPr>
                <w:rStyle w:val="Ohne"/>
                <w:rFonts w:ascii="Cambria" w:eastAsia="Arial" w:hAnsi="Cambria" w:cs="Arial"/>
                <w:b/>
                <w:bCs/>
                <w:sz w:val="20"/>
                <w:szCs w:val="20"/>
              </w:rPr>
            </w:pPr>
          </w:p>
          <w:p w14:paraId="7E1647AE"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Evidenzgrad</w:t>
            </w:r>
          </w:p>
          <w:p w14:paraId="37C8D426" w14:textId="77777777" w:rsidR="00E11869" w:rsidRPr="00207748" w:rsidRDefault="00E11869" w:rsidP="004454B6">
            <w:pPr>
              <w:spacing w:after="0"/>
              <w:rPr>
                <w:rStyle w:val="Ohne"/>
                <w:rFonts w:ascii="Cambria" w:eastAsia="Arial" w:hAnsi="Cambria" w:cs="Arial"/>
                <w:sz w:val="20"/>
                <w:szCs w:val="20"/>
              </w:rPr>
            </w:pPr>
          </w:p>
          <w:p w14:paraId="2E7F8C0C"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niedrig</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C84D2"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Wir schlagen vor, dass von der Verwendung von intravenösen Immunglobulinen bei Patienten mit Sepsis oder septischem Schock abgesehen wird.</w:t>
            </w:r>
          </w:p>
        </w:tc>
      </w:tr>
      <w:tr w:rsidR="00E11869" w:rsidRPr="00207748" w14:paraId="7930FB23" w14:textId="77777777" w:rsidTr="00342FB3">
        <w:trPr>
          <w:trHeight w:val="56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6993E82A"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E7590"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SSC</w:t>
            </w:r>
            <w:r w:rsidR="00705719" w:rsidRPr="00207748">
              <w:rPr>
                <w:rStyle w:val="Ohne"/>
                <w:rFonts w:ascii="Cambria" w:hAnsi="Cambria" w:cs="Arial"/>
                <w:b/>
                <w:bCs/>
                <w:sz w:val="20"/>
                <w:szCs w:val="20"/>
              </w:rPr>
              <w:t>-</w:t>
            </w:r>
            <w:r w:rsidRPr="00207748">
              <w:rPr>
                <w:rStyle w:val="Ohne"/>
                <w:rFonts w:ascii="Cambria" w:hAnsi="Cambria" w:cs="Arial"/>
                <w:b/>
                <w:bCs/>
                <w:sz w:val="20"/>
                <w:szCs w:val="20"/>
              </w:rPr>
              <w:t>Leitlinienadaptation</w:t>
            </w:r>
          </w:p>
        </w:tc>
      </w:tr>
      <w:tr w:rsidR="00E11869" w:rsidRPr="00207748" w14:paraId="62F3AD5B" w14:textId="77777777" w:rsidTr="00342FB3">
        <w:trPr>
          <w:trHeight w:val="84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F6825"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9C15C" w14:textId="77777777" w:rsidR="00B26F79" w:rsidRDefault="00447357" w:rsidP="004454B6">
            <w:pPr>
              <w:spacing w:after="0"/>
              <w:rPr>
                <w:rStyle w:val="Ohne"/>
                <w:rFonts w:ascii="Cambria" w:hAnsi="Cambria" w:cs="Arial"/>
                <w:sz w:val="20"/>
                <w:szCs w:val="20"/>
              </w:rPr>
            </w:pPr>
            <w:r w:rsidRPr="00207748">
              <w:rPr>
                <w:rStyle w:val="Ohne"/>
                <w:rFonts w:ascii="Cambria" w:hAnsi="Cambria" w:cs="Arial"/>
                <w:sz w:val="20"/>
                <w:szCs w:val="20"/>
              </w:rPr>
              <w:t>Konsensstärke bei Doppelabstimmung</w:t>
            </w:r>
            <w:r w:rsidR="002A6D64" w:rsidRPr="00207748">
              <w:rPr>
                <w:rStyle w:val="Ohne"/>
                <w:rFonts w:ascii="Cambria" w:hAnsi="Cambria" w:cs="Arial"/>
                <w:sz w:val="20"/>
                <w:szCs w:val="20"/>
              </w:rPr>
              <w:t>:</w:t>
            </w:r>
            <w:r w:rsidRPr="00207748">
              <w:rPr>
                <w:rStyle w:val="Ohne"/>
                <w:rFonts w:ascii="Cambria" w:hAnsi="Cambria" w:cs="Arial"/>
                <w:sz w:val="20"/>
                <w:szCs w:val="20"/>
              </w:rPr>
              <w:t xml:space="preserve"> </w:t>
            </w:r>
          </w:p>
          <w:p w14:paraId="3AEB4C27" w14:textId="1A36CCC1" w:rsidR="00B55C88" w:rsidRPr="00207748" w:rsidRDefault="00447357" w:rsidP="004454B6">
            <w:pPr>
              <w:spacing w:after="0"/>
              <w:rPr>
                <w:rStyle w:val="Ohne"/>
                <w:rFonts w:ascii="Cambria" w:hAnsi="Cambria" w:cs="Arial"/>
                <w:sz w:val="20"/>
                <w:szCs w:val="20"/>
              </w:rPr>
            </w:pPr>
            <w:r w:rsidRPr="00207748">
              <w:rPr>
                <w:rStyle w:val="Ohne"/>
                <w:rFonts w:ascii="Cambria" w:hAnsi="Cambria" w:cs="Arial"/>
                <w:sz w:val="20"/>
                <w:szCs w:val="20"/>
              </w:rPr>
              <w:t>100 %</w:t>
            </w:r>
          </w:p>
          <w:p w14:paraId="6FD53F8B" w14:textId="77777777" w:rsidR="00E11869" w:rsidRPr="00207748" w:rsidRDefault="00B55C88" w:rsidP="004454B6">
            <w:pPr>
              <w:spacing w:after="0"/>
              <w:rPr>
                <w:rFonts w:ascii="Cambria" w:hAnsi="Cambria" w:cs="Arial"/>
                <w:sz w:val="20"/>
                <w:szCs w:val="20"/>
              </w:rPr>
            </w:pPr>
            <w:r w:rsidRPr="00207748">
              <w:rPr>
                <w:rStyle w:val="Ohne"/>
                <w:rFonts w:ascii="Cambria" w:hAnsi="Cambria" w:cs="Arial"/>
                <w:sz w:val="20"/>
                <w:szCs w:val="20"/>
              </w:rPr>
              <w:t>Enthaltungen: 3</w:t>
            </w:r>
            <w:r w:rsidR="00447357" w:rsidRPr="00207748">
              <w:rPr>
                <w:rStyle w:val="Ohne"/>
                <w:rFonts w:ascii="Cambria" w:hAnsi="Cambria" w:cs="Arial"/>
                <w:sz w:val="20"/>
                <w:szCs w:val="20"/>
              </w:rPr>
              <w:t xml:space="preserve"> </w:t>
            </w:r>
          </w:p>
        </w:tc>
      </w:tr>
    </w:tbl>
    <w:p w14:paraId="394E719F" w14:textId="502B2730" w:rsidR="00E11869" w:rsidRPr="00207748" w:rsidRDefault="00420A45" w:rsidP="004454B6">
      <w:pPr>
        <w:spacing w:before="240"/>
        <w:rPr>
          <w:rStyle w:val="Ohne"/>
          <w:rFonts w:ascii="Cambria" w:hAnsi="Cambria" w:cs="Arial"/>
          <w:sz w:val="20"/>
          <w:szCs w:val="20"/>
        </w:rPr>
      </w:pPr>
      <w:r w:rsidRPr="00207748">
        <w:rPr>
          <w:rStyle w:val="Ohne"/>
          <w:rFonts w:ascii="Cambria" w:hAnsi="Cambria" w:cs="Arial"/>
          <w:b/>
          <w:bCs/>
          <w:sz w:val="20"/>
          <w:szCs w:val="20"/>
        </w:rPr>
        <w:t>Begründung:</w:t>
      </w:r>
      <w:r w:rsidR="00447357" w:rsidRPr="00207748">
        <w:rPr>
          <w:rStyle w:val="Ohne"/>
          <w:rFonts w:ascii="Cambria" w:hAnsi="Cambria" w:cs="Arial"/>
          <w:b/>
          <w:bCs/>
          <w:sz w:val="20"/>
          <w:szCs w:val="20"/>
        </w:rPr>
        <w:t xml:space="preserve"> </w:t>
      </w:r>
      <w:r w:rsidR="00447357" w:rsidRPr="00207748">
        <w:rPr>
          <w:rStyle w:val="Ohne"/>
          <w:rFonts w:ascii="Cambria" w:hAnsi="Cambria" w:cs="Arial"/>
          <w:sz w:val="20"/>
          <w:szCs w:val="20"/>
        </w:rPr>
        <w:t>Ein</w:t>
      </w:r>
      <w:r w:rsidR="00537477">
        <w:rPr>
          <w:rStyle w:val="Ohne"/>
          <w:rFonts w:ascii="Cambria" w:hAnsi="Cambria" w:cs="Arial"/>
          <w:sz w:val="20"/>
          <w:szCs w:val="20"/>
        </w:rPr>
        <w:t>e</w:t>
      </w:r>
      <w:r w:rsidR="00447357" w:rsidRPr="00207748">
        <w:rPr>
          <w:rStyle w:val="Ohne"/>
          <w:rFonts w:ascii="Cambria" w:hAnsi="Cambria" w:cs="Arial"/>
          <w:sz w:val="20"/>
          <w:szCs w:val="20"/>
        </w:rPr>
        <w:t xml:space="preserve"> große multizentrische RCT (n= 624)</w:t>
      </w:r>
      <w:bookmarkStart w:id="412" w:name="_Ref30589331"/>
      <w:r w:rsidR="00447357" w:rsidRPr="00207748">
        <w:rPr>
          <w:rStyle w:val="Ohne"/>
          <w:rFonts w:ascii="Cambria" w:eastAsia="Arial" w:hAnsi="Cambria" w:cs="Arial"/>
          <w:sz w:val="20"/>
          <w:szCs w:val="20"/>
          <w:vertAlign w:val="superscript"/>
        </w:rPr>
        <w:endnoteReference w:id="345"/>
      </w:r>
      <w:bookmarkEnd w:id="412"/>
      <w:r w:rsidR="00447357" w:rsidRPr="00207748">
        <w:rPr>
          <w:rStyle w:val="Ohne"/>
          <w:rFonts w:ascii="Cambria" w:hAnsi="Cambria" w:cs="Arial"/>
          <w:sz w:val="20"/>
          <w:szCs w:val="20"/>
        </w:rPr>
        <w:t xml:space="preserve"> </w:t>
      </w:r>
      <w:r w:rsidR="004F680D">
        <w:rPr>
          <w:rStyle w:val="Ohne"/>
          <w:rFonts w:ascii="Cambria" w:hAnsi="Cambria" w:cs="Arial"/>
          <w:sz w:val="20"/>
          <w:szCs w:val="20"/>
        </w:rPr>
        <w:t>bei</w:t>
      </w:r>
      <w:r w:rsidR="00447357" w:rsidRPr="00207748">
        <w:rPr>
          <w:rStyle w:val="Ohne"/>
          <w:rFonts w:ascii="Cambria" w:hAnsi="Cambria" w:cs="Arial"/>
          <w:sz w:val="20"/>
          <w:szCs w:val="20"/>
        </w:rPr>
        <w:t xml:space="preserve"> erwachsenen Patienten erbrachte keinen </w:t>
      </w:r>
      <w:r w:rsidR="004F680D">
        <w:rPr>
          <w:rStyle w:val="Ohne"/>
          <w:rFonts w:ascii="Cambria" w:hAnsi="Cambria" w:cs="Arial"/>
          <w:sz w:val="20"/>
          <w:szCs w:val="20"/>
        </w:rPr>
        <w:t>Mortalitäts</w:t>
      </w:r>
      <w:r w:rsidR="00447357" w:rsidRPr="00207748">
        <w:rPr>
          <w:rStyle w:val="Ohne"/>
          <w:rFonts w:ascii="Cambria" w:hAnsi="Cambria" w:cs="Arial"/>
          <w:sz w:val="20"/>
          <w:szCs w:val="20"/>
        </w:rPr>
        <w:t xml:space="preserve">-senkenden Effekt einer IVIgG-Gabe. Die aktuelle Cochrane-Meta-Analyse </w:t>
      </w:r>
      <w:r w:rsidR="00447357" w:rsidRPr="006B2B71">
        <w:rPr>
          <w:rStyle w:val="EndnoteRealZchn"/>
        </w:rPr>
        <w:endnoteReference w:id="346"/>
      </w:r>
      <w:r w:rsidR="00447357" w:rsidRPr="006B2B71">
        <w:rPr>
          <w:rStyle w:val="EndnoteRealZchn"/>
        </w:rPr>
        <w:t xml:space="preserve"> </w:t>
      </w:r>
      <w:r w:rsidR="00447357" w:rsidRPr="00207748">
        <w:rPr>
          <w:rStyle w:val="Ohne"/>
          <w:rFonts w:ascii="Cambria" w:hAnsi="Cambria" w:cs="Arial"/>
          <w:sz w:val="20"/>
          <w:szCs w:val="20"/>
        </w:rPr>
        <w:t>differenziert zwischen Standard-Immunglobulinen (polyklonales IVIgG) und IgM-angereichertem polyklonalem Ig (IVIgGMA). In zehn Studien mit IVIgG (1</w:t>
      </w:r>
      <w:r w:rsidR="001A58EF" w:rsidRPr="00207748">
        <w:rPr>
          <w:rStyle w:val="Ohne"/>
          <w:rFonts w:ascii="Cambria" w:hAnsi="Cambria" w:cs="Arial"/>
          <w:sz w:val="20"/>
          <w:szCs w:val="20"/>
        </w:rPr>
        <w:t>.</w:t>
      </w:r>
      <w:r w:rsidR="00447357" w:rsidRPr="00207748">
        <w:rPr>
          <w:rStyle w:val="Ohne"/>
          <w:rFonts w:ascii="Cambria" w:hAnsi="Cambria" w:cs="Arial"/>
          <w:sz w:val="20"/>
          <w:szCs w:val="20"/>
        </w:rPr>
        <w:t xml:space="preserve">430 Patienten) betrug die 28-Tage- bis 130-Tage-Sterblichkeit in der IVIgG-Gruppe 29,6 % und in der Placebo-Gruppe 36,5 % (RR 0,81; 95%KI 0,70-0,93). Für die sieben Studien mit IVIgGMA (528 Patienten) lag die 28-Tage- bis 60-Tage-Sterblichkeit in der IVIgGMA-Gruppe bei 24,7 % und in der Placebo-Gruppe bei 37,5 % (RR 0,66; 95 %KI 0,51-0,85). Die Aussagekraft wurde für die IVIgG-Studien als niedrige eingestuft, basierend auf dem Bias-Risiko und der vorhandenen Heterogenität; für die IVIgGMA-Studien wurde die Aussagekraft als mittelgradig eingestuft, basierend auf dem Bias-Risiko. Vergleichbare Ergebnisse fanden sich auch in anderen Meta-Analysen, z.B. in </w:t>
      </w:r>
      <w:r w:rsidR="002A6D64" w:rsidRPr="00207748">
        <w:rPr>
          <w:rStyle w:val="Ohne"/>
          <w:rFonts w:ascii="Cambria" w:hAnsi="Cambria" w:cs="Arial"/>
          <w:sz w:val="20"/>
          <w:szCs w:val="20"/>
        </w:rPr>
        <w:t>Soares MO, Welton NJ, Harrison DA, et al</w:t>
      </w:r>
      <w:r w:rsidR="00447357" w:rsidRPr="00207748">
        <w:rPr>
          <w:rStyle w:val="Ohne"/>
          <w:rFonts w:ascii="Cambria" w:hAnsi="Cambria" w:cs="Arial"/>
          <w:sz w:val="20"/>
          <w:szCs w:val="20"/>
        </w:rPr>
        <w:t>. Schloss man allerdings Studien mit als gering bewerteter methodischer Qualität aus, so konnte die aktuelle Cochrane-Analyse</w:t>
      </w:r>
      <w:r w:rsidR="006B2B71">
        <w:rPr>
          <w:rStyle w:val="EndnoteRealZchn"/>
        </w:rPr>
        <w:t xml:space="preserve"> </w:t>
      </w:r>
      <w:r w:rsidR="00447357" w:rsidRPr="00207748">
        <w:rPr>
          <w:rStyle w:val="Ohne"/>
          <w:rFonts w:ascii="Cambria" w:hAnsi="Cambria" w:cs="Arial"/>
          <w:sz w:val="20"/>
          <w:szCs w:val="20"/>
        </w:rPr>
        <w:t>keinen Übe</w:t>
      </w:r>
      <w:r w:rsidR="006B2B71">
        <w:rPr>
          <w:rStyle w:val="Ohne"/>
          <w:rFonts w:ascii="Cambria" w:hAnsi="Cambria" w:cs="Arial"/>
          <w:sz w:val="20"/>
          <w:szCs w:val="20"/>
        </w:rPr>
        <w:t>rlebensvorteil mehr aufzeigen.</w:t>
      </w:r>
    </w:p>
    <w:p w14:paraId="1169BA61" w14:textId="5FBEEFBE" w:rsidR="00E11869" w:rsidRPr="00207748" w:rsidRDefault="00447357" w:rsidP="004454B6">
      <w:pPr>
        <w:rPr>
          <w:rStyle w:val="Ohne"/>
          <w:rFonts w:ascii="Cambria" w:hAnsi="Cambria" w:cs="Arial"/>
          <w:sz w:val="20"/>
          <w:szCs w:val="20"/>
        </w:rPr>
      </w:pPr>
      <w:r w:rsidRPr="00207748">
        <w:rPr>
          <w:rStyle w:val="Ohne"/>
          <w:rFonts w:ascii="Cambria" w:hAnsi="Cambria" w:cs="Arial"/>
          <w:sz w:val="20"/>
          <w:szCs w:val="20"/>
        </w:rPr>
        <w:t>Diese Ergebnisse sind im Einklang mit denjenigen älterer Meta-Analysen</w:t>
      </w:r>
      <w:bookmarkStart w:id="413" w:name="_Ref30589267"/>
      <w:r w:rsidRPr="006B2B71">
        <w:rPr>
          <w:rStyle w:val="EndnoteRealZchn"/>
        </w:rPr>
        <w:endnoteReference w:id="347"/>
      </w:r>
      <w:bookmarkEnd w:id="413"/>
      <w:r w:rsidRPr="006B2B71">
        <w:rPr>
          <w:rStyle w:val="EndnoteRealZchn"/>
        </w:rPr>
        <w:t xml:space="preserve"> </w:t>
      </w:r>
      <w:bookmarkStart w:id="414" w:name="_Ref30589064"/>
      <w:r w:rsidRPr="006B2B71">
        <w:rPr>
          <w:rStyle w:val="EndnoteRealZchn"/>
        </w:rPr>
        <w:endnoteReference w:id="348"/>
      </w:r>
      <w:bookmarkEnd w:id="414"/>
      <w:r w:rsidRPr="00207748">
        <w:rPr>
          <w:rStyle w:val="Ohne"/>
          <w:rFonts w:ascii="Cambria" w:hAnsi="Cambria" w:cs="Arial"/>
          <w:sz w:val="20"/>
          <w:szCs w:val="20"/>
        </w:rPr>
        <w:t xml:space="preserve"> anderer Cochrane-Autoren. Eine dieser systematischen </w:t>
      </w:r>
      <w:r w:rsidRPr="00207748">
        <w:rPr>
          <w:rStyle w:val="Ohne"/>
          <w:rFonts w:ascii="Cambria" w:hAnsi="Cambria" w:cs="Arial"/>
          <w:sz w:val="20"/>
          <w:szCs w:val="20"/>
        </w:rPr>
        <w:lastRenderedPageBreak/>
        <w:t>Review</w:t>
      </w:r>
      <w:r w:rsidR="00701487" w:rsidRPr="00207748">
        <w:rPr>
          <w:rStyle w:val="Ohne"/>
          <w:rFonts w:ascii="Cambria" w:hAnsi="Cambria" w:cs="Arial"/>
          <w:sz w:val="20"/>
          <w:szCs w:val="20"/>
        </w:rPr>
        <w:t>s</w:t>
      </w:r>
      <w:r w:rsidR="006B2B71">
        <w:rPr>
          <w:rStyle w:val="Ohne"/>
          <w:rFonts w:ascii="Cambria" w:hAnsi="Cambria" w:cs="Arial"/>
          <w:sz w:val="20"/>
          <w:szCs w:val="20"/>
        </w:rPr>
        <w:t xml:space="preserve"> </w:t>
      </w:r>
      <w:r w:rsidR="006B2B71" w:rsidRPr="006B2B71">
        <w:rPr>
          <w:rStyle w:val="EndnoteRealZchn"/>
        </w:rPr>
        <w:fldChar w:fldCharType="begin"/>
      </w:r>
      <w:r w:rsidR="006B2B71" w:rsidRPr="006B2B71">
        <w:rPr>
          <w:rStyle w:val="EndnoteRealZchn"/>
        </w:rPr>
        <w:instrText xml:space="preserve"> NOTEREF _Ref30589064 \h </w:instrText>
      </w:r>
      <w:r w:rsidR="006B2B71">
        <w:rPr>
          <w:rStyle w:val="EndnoteRealZchn"/>
        </w:rPr>
        <w:instrText xml:space="preserve"> \* MERGEFORMAT </w:instrText>
      </w:r>
      <w:r w:rsidR="006B2B71" w:rsidRPr="006B2B71">
        <w:rPr>
          <w:rStyle w:val="EndnoteRealZchn"/>
        </w:rPr>
      </w:r>
      <w:r w:rsidR="006B2B71" w:rsidRPr="006B2B71">
        <w:rPr>
          <w:rStyle w:val="EndnoteRealZchn"/>
        </w:rPr>
        <w:fldChar w:fldCharType="separate"/>
      </w:r>
      <w:r w:rsidR="001A283B">
        <w:rPr>
          <w:rStyle w:val="EndnoteRealZchn"/>
        </w:rPr>
        <w:t>389</w:t>
      </w:r>
      <w:r w:rsidR="006B2B71" w:rsidRPr="006B2B71">
        <w:rPr>
          <w:rStyle w:val="EndnoteRealZchn"/>
        </w:rPr>
        <w:fldChar w:fldCharType="end"/>
      </w:r>
      <w:r w:rsidR="006B2B71" w:rsidRPr="006B2B71">
        <w:rPr>
          <w:rStyle w:val="EndnoteRealZchn"/>
        </w:rPr>
        <w:t xml:space="preserve"> </w:t>
      </w:r>
      <w:r w:rsidRPr="00207748">
        <w:rPr>
          <w:rStyle w:val="Ohne"/>
          <w:rFonts w:ascii="Cambria" w:hAnsi="Cambria" w:cs="Arial"/>
          <w:sz w:val="20"/>
          <w:szCs w:val="20"/>
        </w:rPr>
        <w:t xml:space="preserve">hatte 21 Studien eingeschlossen und eine </w:t>
      </w:r>
      <w:r w:rsidR="009B56A0">
        <w:rPr>
          <w:rStyle w:val="Ohne"/>
          <w:rFonts w:ascii="Cambria" w:hAnsi="Cambria" w:cs="Arial"/>
          <w:sz w:val="20"/>
          <w:szCs w:val="20"/>
        </w:rPr>
        <w:t>Mortalitäts</w:t>
      </w:r>
      <w:r w:rsidRPr="00207748">
        <w:rPr>
          <w:rStyle w:val="Ohne"/>
          <w:rFonts w:ascii="Cambria" w:hAnsi="Cambria" w:cs="Arial"/>
          <w:sz w:val="20"/>
          <w:szCs w:val="20"/>
        </w:rPr>
        <w:t xml:space="preserve">senkung durch die IgGabe gezeigt (RR 0,77; 95 %KI 0,68-0,88); allerdings war diese </w:t>
      </w:r>
      <w:r w:rsidR="009B56A0">
        <w:rPr>
          <w:rStyle w:val="Ohne"/>
          <w:rFonts w:ascii="Cambria" w:hAnsi="Cambria" w:cs="Arial"/>
          <w:sz w:val="20"/>
          <w:szCs w:val="20"/>
        </w:rPr>
        <w:t>Mortalitäts</w:t>
      </w:r>
      <w:r w:rsidRPr="00207748">
        <w:rPr>
          <w:rStyle w:val="Ohne"/>
          <w:rFonts w:ascii="Cambria" w:hAnsi="Cambria" w:cs="Arial"/>
          <w:sz w:val="20"/>
          <w:szCs w:val="20"/>
        </w:rPr>
        <w:t xml:space="preserve">senkung bei der Auswertung nur der hochwertigen Studien (insgesamt 763 Patienten) nicht mehr statistisch signifikant </w:t>
      </w:r>
      <w:r w:rsidR="009B56A0">
        <w:rPr>
          <w:rStyle w:val="Ohne"/>
          <w:rFonts w:ascii="Cambria" w:hAnsi="Cambria" w:cs="Arial"/>
          <w:sz w:val="20"/>
          <w:szCs w:val="20"/>
        </w:rPr>
        <w:t xml:space="preserve">unterschiedlich </w:t>
      </w:r>
      <w:r w:rsidRPr="00207748">
        <w:rPr>
          <w:rStyle w:val="Ohne"/>
          <w:rFonts w:ascii="Cambria" w:hAnsi="Cambria" w:cs="Arial"/>
          <w:sz w:val="20"/>
          <w:szCs w:val="20"/>
        </w:rPr>
        <w:t>(RR 1,02; 95 %KI 0,84-1,24). In ähnlicher Weise fanden Laupland et al</w:t>
      </w:r>
      <w:r w:rsidR="006B2B71">
        <w:rPr>
          <w:rStyle w:val="Ohne"/>
          <w:rFonts w:ascii="Cambria" w:hAnsi="Cambria" w:cs="Arial"/>
          <w:sz w:val="20"/>
          <w:szCs w:val="20"/>
        </w:rPr>
        <w:t xml:space="preserve"> </w:t>
      </w:r>
      <w:r w:rsidR="006B2B71" w:rsidRPr="006B2B71">
        <w:rPr>
          <w:rStyle w:val="EndnoteRealZchn"/>
        </w:rPr>
        <w:fldChar w:fldCharType="begin"/>
      </w:r>
      <w:r w:rsidR="006B2B71" w:rsidRPr="006B2B71">
        <w:rPr>
          <w:rStyle w:val="EndnoteRealZchn"/>
        </w:rPr>
        <w:instrText xml:space="preserve"> NOTEREF _Ref30589267 \h </w:instrText>
      </w:r>
      <w:r w:rsidR="006B2B71">
        <w:rPr>
          <w:rStyle w:val="EndnoteRealZchn"/>
        </w:rPr>
        <w:instrText xml:space="preserve"> \* MERGEFORMAT </w:instrText>
      </w:r>
      <w:r w:rsidR="006B2B71" w:rsidRPr="006B2B71">
        <w:rPr>
          <w:rStyle w:val="EndnoteRealZchn"/>
        </w:rPr>
      </w:r>
      <w:r w:rsidR="006B2B71" w:rsidRPr="006B2B71">
        <w:rPr>
          <w:rStyle w:val="EndnoteRealZchn"/>
        </w:rPr>
        <w:fldChar w:fldCharType="separate"/>
      </w:r>
      <w:r w:rsidR="001A283B">
        <w:rPr>
          <w:rStyle w:val="EndnoteRealZchn"/>
        </w:rPr>
        <w:t>388</w:t>
      </w:r>
      <w:r w:rsidR="006B2B71" w:rsidRPr="006B2B71">
        <w:rPr>
          <w:rStyle w:val="EndnoteRealZchn"/>
        </w:rPr>
        <w:fldChar w:fldCharType="end"/>
      </w:r>
      <w:r w:rsidRPr="00207748">
        <w:rPr>
          <w:rStyle w:val="Ohne"/>
          <w:rFonts w:ascii="Cambria" w:hAnsi="Cambria" w:cs="Arial"/>
          <w:sz w:val="20"/>
          <w:szCs w:val="20"/>
        </w:rPr>
        <w:t xml:space="preserve"> eine signifikante Letalitätssenkung durch IVIg (OR 0,66; 95 %KI 0,53-0,83; p&lt;0,005), diese war aber bei Berücksichtigung nur der qualitativ hochwertigen Studien nicht mehr signifikant (OR 0,96; 95 %KI 0,71-1,3; p=0,78). Zwei ebenfalls ältere Meta-Analysen</w:t>
      </w:r>
      <w:r w:rsidR="006B2B71">
        <w:rPr>
          <w:rStyle w:val="Ohne"/>
          <w:rFonts w:ascii="Cambria" w:hAnsi="Cambria" w:cs="Arial"/>
          <w:sz w:val="20"/>
          <w:szCs w:val="20"/>
        </w:rPr>
        <w:t xml:space="preserve"> </w:t>
      </w:r>
      <w:r w:rsidRPr="006B2B71">
        <w:rPr>
          <w:rStyle w:val="EndnoteRealZchn"/>
        </w:rPr>
        <w:endnoteReference w:id="349"/>
      </w:r>
      <w:r w:rsidRPr="006B2B71">
        <w:rPr>
          <w:rStyle w:val="EndnoteRealZchn"/>
        </w:rPr>
        <w:t xml:space="preserve"> </w:t>
      </w:r>
      <w:r w:rsidRPr="006B2B71">
        <w:rPr>
          <w:rStyle w:val="EndnoteRealZchn"/>
        </w:rPr>
        <w:endnoteReference w:id="350"/>
      </w:r>
      <w:r w:rsidRPr="00207748">
        <w:rPr>
          <w:rStyle w:val="Ohne"/>
          <w:rFonts w:ascii="Cambria" w:hAnsi="Cambria" w:cs="Arial"/>
          <w:sz w:val="20"/>
          <w:szCs w:val="20"/>
        </w:rPr>
        <w:t xml:space="preserve"> mit weniger strengen oder fehlenden Qualitätskriterien zur Bias-Erkennung fanden eine signifkante </w:t>
      </w:r>
      <w:r w:rsidR="009B56A0">
        <w:rPr>
          <w:rStyle w:val="Ohne"/>
          <w:rFonts w:ascii="Cambria" w:hAnsi="Cambria" w:cs="Arial"/>
          <w:sz w:val="20"/>
          <w:szCs w:val="20"/>
        </w:rPr>
        <w:t>Mortalität</w:t>
      </w:r>
      <w:r w:rsidR="009B56A0" w:rsidRPr="00207748">
        <w:rPr>
          <w:rStyle w:val="Ohne"/>
          <w:rFonts w:ascii="Cambria" w:hAnsi="Cambria" w:cs="Arial"/>
          <w:sz w:val="20"/>
          <w:szCs w:val="20"/>
        </w:rPr>
        <w:t>ssenkung</w:t>
      </w:r>
      <w:r w:rsidRPr="00207748">
        <w:rPr>
          <w:rStyle w:val="Ohne"/>
          <w:rFonts w:ascii="Cambria" w:hAnsi="Cambria" w:cs="Arial"/>
          <w:sz w:val="20"/>
          <w:szCs w:val="20"/>
        </w:rPr>
        <w:t>. Weiterhin muss festgestellt werden, dass es bei Sepsis</w:t>
      </w:r>
      <w:r w:rsidR="001A58EF" w:rsidRPr="00207748">
        <w:rPr>
          <w:rStyle w:val="Ohne"/>
          <w:rFonts w:ascii="Cambria" w:hAnsi="Cambria" w:cs="Arial"/>
          <w:sz w:val="20"/>
          <w:szCs w:val="20"/>
        </w:rPr>
        <w:t>-P</w:t>
      </w:r>
      <w:r w:rsidRPr="00207748">
        <w:rPr>
          <w:rStyle w:val="Ohne"/>
          <w:rFonts w:ascii="Cambria" w:hAnsi="Cambria" w:cs="Arial"/>
          <w:sz w:val="20"/>
          <w:szCs w:val="20"/>
        </w:rPr>
        <w:t>atienten keinen IgG-Plasmaspiegel-Grenzwert gibt, unterhalb dessen eine Substitution mit IVIgG die Prognose verbessert</w:t>
      </w:r>
      <w:r w:rsidR="006B2B71">
        <w:rPr>
          <w:rStyle w:val="Ohne"/>
          <w:rFonts w:ascii="Cambria" w:hAnsi="Cambria" w:cs="Arial"/>
          <w:sz w:val="20"/>
          <w:szCs w:val="20"/>
        </w:rPr>
        <w:t xml:space="preserve"> </w:t>
      </w:r>
      <w:r w:rsidRPr="006B2B71">
        <w:rPr>
          <w:rStyle w:val="EndnoteRealZchn"/>
        </w:rPr>
        <w:endnoteReference w:id="351"/>
      </w:r>
      <w:r w:rsidRPr="006B2B71">
        <w:rPr>
          <w:rStyle w:val="EndnoteRealZchn"/>
        </w:rPr>
        <w:t>.</w:t>
      </w:r>
    </w:p>
    <w:p w14:paraId="201FD802" w14:textId="0FF2DE60" w:rsidR="00E11869" w:rsidRPr="00207748" w:rsidRDefault="00447357" w:rsidP="004454B6">
      <w:pPr>
        <w:rPr>
          <w:rStyle w:val="Ohne"/>
          <w:rFonts w:ascii="Cambria" w:hAnsi="Cambria" w:cs="Arial"/>
          <w:sz w:val="20"/>
          <w:szCs w:val="20"/>
        </w:rPr>
      </w:pPr>
      <w:r w:rsidRPr="00207748">
        <w:rPr>
          <w:rStyle w:val="Ohne"/>
          <w:rFonts w:ascii="Cambria" w:hAnsi="Cambria" w:cs="Arial"/>
          <w:sz w:val="20"/>
          <w:szCs w:val="20"/>
        </w:rPr>
        <w:t>Die meisten IVIg-Studien sind klein, und einige haben ein hohes Bias-Risiko; die einzige große Studie – durchgeführt mit IVIgG – zeigte keinen Effekt</w:t>
      </w:r>
      <w:r w:rsidR="006B2B71">
        <w:rPr>
          <w:rStyle w:val="Ohne"/>
          <w:rFonts w:ascii="Cambria" w:hAnsi="Cambria" w:cs="Arial"/>
          <w:sz w:val="20"/>
          <w:szCs w:val="20"/>
        </w:rPr>
        <w:t xml:space="preserve"> </w:t>
      </w:r>
      <w:r w:rsidR="006B2B71" w:rsidRPr="006B2B71">
        <w:rPr>
          <w:rStyle w:val="EndnoteRealZchn"/>
        </w:rPr>
        <w:fldChar w:fldCharType="begin"/>
      </w:r>
      <w:r w:rsidR="006B2B71" w:rsidRPr="006B2B71">
        <w:rPr>
          <w:rStyle w:val="EndnoteRealZchn"/>
        </w:rPr>
        <w:instrText xml:space="preserve"> NOTEREF _Ref30589331 \h </w:instrText>
      </w:r>
      <w:r w:rsidR="006B2B71">
        <w:rPr>
          <w:rStyle w:val="EndnoteRealZchn"/>
        </w:rPr>
        <w:instrText xml:space="preserve"> \* MERGEFORMAT </w:instrText>
      </w:r>
      <w:r w:rsidR="006B2B71" w:rsidRPr="006B2B71">
        <w:rPr>
          <w:rStyle w:val="EndnoteRealZchn"/>
        </w:rPr>
      </w:r>
      <w:r w:rsidR="006B2B71" w:rsidRPr="006B2B71">
        <w:rPr>
          <w:rStyle w:val="EndnoteRealZchn"/>
        </w:rPr>
        <w:fldChar w:fldCharType="separate"/>
      </w:r>
      <w:r w:rsidR="001A283B">
        <w:rPr>
          <w:rStyle w:val="EndnoteRealZchn"/>
        </w:rPr>
        <w:t>386</w:t>
      </w:r>
      <w:r w:rsidR="006B2B71" w:rsidRPr="006B2B71">
        <w:rPr>
          <w:rStyle w:val="EndnoteRealZchn"/>
        </w:rPr>
        <w:fldChar w:fldCharType="end"/>
      </w:r>
      <w:r w:rsidRPr="00207748">
        <w:rPr>
          <w:rStyle w:val="Ohne"/>
          <w:rFonts w:ascii="Cambria" w:hAnsi="Cambria" w:cs="Arial"/>
          <w:sz w:val="20"/>
          <w:szCs w:val="20"/>
        </w:rPr>
        <w:t xml:space="preserve"> Die getrennte Betrachtung der Studien mit IVIgGMA und IVIgG weist eine signifikante Heterogenität auf. Indirektheit und Publikations-Bias wurden zwar in Betracht gezogen, aber nicht zur Bewertung dieser Empfehlung herangezogen. Der geringe Evidenzgrad führte zur Klassifizierung als „schwache Empfehlung“. Die statistische Information der Studien mit hoher Qualität unterstützt nicht die Annahme eines günstigen Effekts des polyklonalen IVIg. Die Leitlinienexperten regen die Durchführung großer multizentrischer Studien zur Evaluierung der Wirksamkeit weiterer polyklonaler IV-Immunglobulin-Präparate bei Patienten mit Sepsis an.</w:t>
      </w:r>
    </w:p>
    <w:p w14:paraId="21DCABBD" w14:textId="254C7E7D" w:rsidR="00665775" w:rsidRPr="00207748" w:rsidRDefault="00447357" w:rsidP="00FB33A2">
      <w:pPr>
        <w:rPr>
          <w:rStyle w:val="Ohne"/>
          <w:rFonts w:ascii="Cambria" w:hAnsi="Cambria" w:cs="Arial"/>
          <w:sz w:val="20"/>
          <w:szCs w:val="20"/>
        </w:rPr>
      </w:pPr>
      <w:r w:rsidRPr="00207748">
        <w:rPr>
          <w:rStyle w:val="Ohne"/>
          <w:rFonts w:ascii="Cambria" w:hAnsi="Cambria" w:cs="Arial"/>
          <w:sz w:val="20"/>
          <w:szCs w:val="20"/>
        </w:rPr>
        <w:t>Einen Schritt in diese empfohlene Richtung ging die Phase II-CIGMA-Studie</w:t>
      </w:r>
      <w:r w:rsidR="006B2B71">
        <w:rPr>
          <w:rStyle w:val="Ohne"/>
          <w:rFonts w:ascii="Cambria" w:hAnsi="Cambria" w:cs="Arial"/>
          <w:sz w:val="20"/>
          <w:szCs w:val="20"/>
        </w:rPr>
        <w:t xml:space="preserve"> </w:t>
      </w:r>
      <w:r w:rsidRPr="006B2B71">
        <w:rPr>
          <w:rStyle w:val="EndnoteRealZchn"/>
        </w:rPr>
        <w:endnoteReference w:id="352"/>
      </w:r>
      <w:r w:rsidRPr="006B2B71">
        <w:rPr>
          <w:rStyle w:val="EndnoteRealZchn"/>
        </w:rPr>
        <w:t xml:space="preserve"> </w:t>
      </w:r>
      <w:r w:rsidRPr="00207748">
        <w:rPr>
          <w:rStyle w:val="Ohne"/>
          <w:rFonts w:ascii="Cambria" w:hAnsi="Cambria" w:cs="Arial"/>
          <w:sz w:val="20"/>
          <w:szCs w:val="20"/>
        </w:rPr>
        <w:t xml:space="preserve">mit der Gabe eines neuen, doppelt so hoch angereicherten IgM (23 %)-Immunglobulinpräparates (Trimodulin; Fa. Biotest) bei 160 Patienten mit beatmungspflichtiger ambulant erworbener Pneumonie (sCAP). Zwar war der primäre Endpunkt – Anzahl der Ventilator-freien Tage innerhalb der ersten 28 Tage – nicht signifikant </w:t>
      </w:r>
      <w:r w:rsidRPr="00207748">
        <w:rPr>
          <w:rStyle w:val="Ohne"/>
          <w:rFonts w:ascii="Cambria" w:hAnsi="Cambria" w:cs="Arial"/>
          <w:sz w:val="20"/>
          <w:szCs w:val="20"/>
        </w:rPr>
        <w:lastRenderedPageBreak/>
        <w:t>unterschiedlich; ermutigende Ergebnisse der Post-hoc-Analysen in Subgruppen führten immerhin zur Planung einer entsprechenden Phase III Studie.</w:t>
      </w:r>
      <w:bookmarkStart w:id="415" w:name="_Toc25845118"/>
    </w:p>
    <w:p w14:paraId="420F4000" w14:textId="77777777" w:rsidR="00E11869" w:rsidRPr="00182D07" w:rsidRDefault="00447357" w:rsidP="004454B6">
      <w:pPr>
        <w:pStyle w:val="berschrift2"/>
        <w:rPr>
          <w:b w:val="0"/>
        </w:rPr>
      </w:pPr>
      <w:bookmarkStart w:id="416" w:name="_Toc437861466"/>
      <w:bookmarkStart w:id="417" w:name="_Toc31278504"/>
      <w:r w:rsidRPr="00182D07">
        <w:rPr>
          <w:rStyle w:val="Ohne"/>
        </w:rPr>
        <w:t>K. Blutreinigung</w:t>
      </w:r>
      <w:bookmarkEnd w:id="415"/>
      <w:bookmarkEnd w:id="416"/>
      <w:bookmarkEnd w:id="417"/>
    </w:p>
    <w:p w14:paraId="5E171651" w14:textId="77777777" w:rsidR="00E11869" w:rsidRPr="00207748" w:rsidRDefault="00E11869" w:rsidP="00FB33A2">
      <w:pPr>
        <w:pStyle w:val="KeinLeerraum"/>
        <w:rPr>
          <w:rStyle w:val="Ohne"/>
          <w:iCs/>
          <w:spacing w:val="-3"/>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13"/>
        <w:gridCol w:w="1476"/>
        <w:gridCol w:w="944"/>
      </w:tblGrid>
      <w:tr w:rsidR="00E11869" w:rsidRPr="00207748" w14:paraId="4C0A4CE8" w14:textId="77777777" w:rsidTr="002B1061">
        <w:trPr>
          <w:trHeight w:val="282"/>
        </w:trPr>
        <w:tc>
          <w:tcPr>
            <w:tcW w:w="2208"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36C01052" w14:textId="77777777" w:rsidR="00E11869" w:rsidRPr="00207748" w:rsidRDefault="00447357" w:rsidP="004454B6">
            <w:pPr>
              <w:rPr>
                <w:rFonts w:ascii="Cambria" w:hAnsi="Cambria" w:cs="Arial"/>
                <w:sz w:val="20"/>
                <w:szCs w:val="20"/>
              </w:rPr>
            </w:pPr>
            <w:r w:rsidRPr="00207748">
              <w:rPr>
                <w:rStyle w:val="Ohne"/>
                <w:rFonts w:ascii="Cambria" w:hAnsi="Cambria" w:cs="Arial"/>
                <w:b/>
                <w:bCs/>
                <w:sz w:val="20"/>
                <w:szCs w:val="20"/>
              </w:rPr>
              <w:t>K.1</w:t>
            </w:r>
          </w:p>
        </w:tc>
        <w:tc>
          <w:tcPr>
            <w:tcW w:w="1703"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013EED0A"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 xml:space="preserve">Empfehlung </w:t>
            </w:r>
          </w:p>
        </w:tc>
        <w:tc>
          <w:tcPr>
            <w:tcW w:w="1089"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618448A"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2018</w:t>
            </w:r>
          </w:p>
        </w:tc>
      </w:tr>
      <w:tr w:rsidR="00E11869" w:rsidRPr="00207748" w14:paraId="3CEA0690" w14:textId="77777777" w:rsidTr="002B1061">
        <w:trPr>
          <w:trHeight w:val="1682"/>
        </w:trPr>
        <w:tc>
          <w:tcPr>
            <w:tcW w:w="2208"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353F5E"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Expertenkonsens</w:t>
            </w:r>
          </w:p>
        </w:tc>
        <w:tc>
          <w:tcPr>
            <w:tcW w:w="2792"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CBFE2" w14:textId="12CBF502"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 xml:space="preserve">Wir </w:t>
            </w:r>
            <w:r w:rsidR="000D5D0F" w:rsidRPr="00207748">
              <w:rPr>
                <w:rStyle w:val="Ohne"/>
                <w:rFonts w:ascii="Cambria" w:hAnsi="Cambria" w:cs="Arial"/>
                <w:b/>
                <w:bCs/>
                <w:sz w:val="20"/>
                <w:szCs w:val="20"/>
              </w:rPr>
              <w:t>empfehlen</w:t>
            </w:r>
            <w:r w:rsidRPr="00207748">
              <w:rPr>
                <w:rStyle w:val="Ohne"/>
                <w:rFonts w:ascii="Cambria" w:hAnsi="Cambria" w:cs="Arial"/>
                <w:b/>
                <w:bCs/>
                <w:sz w:val="20"/>
                <w:szCs w:val="20"/>
              </w:rPr>
              <w:t>, dass von Blutreinigungs</w:t>
            </w:r>
            <w:r w:rsidR="00B26F79">
              <w:rPr>
                <w:rStyle w:val="Ohne"/>
                <w:rFonts w:ascii="Cambria" w:hAnsi="Cambria" w:cs="Arial"/>
                <w:b/>
                <w:bCs/>
                <w:sz w:val="20"/>
                <w:szCs w:val="20"/>
              </w:rPr>
              <w:t>-</w:t>
            </w:r>
            <w:r w:rsidRPr="00207748">
              <w:rPr>
                <w:rStyle w:val="Ohne"/>
                <w:rFonts w:ascii="Cambria" w:hAnsi="Cambria" w:cs="Arial"/>
                <w:b/>
                <w:bCs/>
                <w:sz w:val="20"/>
                <w:szCs w:val="20"/>
              </w:rPr>
              <w:t>techniken außerhalb von klinischen Studien abgesehen wird.</w:t>
            </w:r>
          </w:p>
        </w:tc>
      </w:tr>
      <w:tr w:rsidR="00E11869" w:rsidRPr="00207748" w14:paraId="6B59D33A" w14:textId="77777777" w:rsidTr="002B1061">
        <w:trPr>
          <w:trHeight w:val="562"/>
        </w:trPr>
        <w:tc>
          <w:tcPr>
            <w:tcW w:w="2208" w:type="pct"/>
            <w:vMerge/>
            <w:tcBorders>
              <w:top w:val="single" w:sz="4" w:space="0" w:color="000000"/>
              <w:left w:val="single" w:sz="4" w:space="0" w:color="000000"/>
              <w:bottom w:val="single" w:sz="4" w:space="0" w:color="000000"/>
              <w:right w:val="single" w:sz="4" w:space="0" w:color="000000"/>
            </w:tcBorders>
            <w:shd w:val="clear" w:color="auto" w:fill="auto"/>
          </w:tcPr>
          <w:p w14:paraId="790A8465" w14:textId="77777777" w:rsidR="00E11869" w:rsidRPr="00207748" w:rsidRDefault="00E11869" w:rsidP="004454B6">
            <w:pPr>
              <w:rPr>
                <w:rFonts w:ascii="Cambria" w:hAnsi="Cambria" w:cs="Arial"/>
                <w:sz w:val="20"/>
                <w:szCs w:val="20"/>
              </w:rPr>
            </w:pPr>
          </w:p>
        </w:tc>
        <w:tc>
          <w:tcPr>
            <w:tcW w:w="2792"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61ED7"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SSC</w:t>
            </w:r>
            <w:r w:rsidR="001A58EF" w:rsidRPr="00207748">
              <w:rPr>
                <w:rStyle w:val="Ohne"/>
                <w:rFonts w:ascii="Cambria" w:hAnsi="Cambria" w:cs="Arial"/>
                <w:b/>
                <w:bCs/>
                <w:sz w:val="20"/>
                <w:szCs w:val="20"/>
              </w:rPr>
              <w:t>-</w:t>
            </w:r>
            <w:r w:rsidRPr="00207748">
              <w:rPr>
                <w:rStyle w:val="Ohne"/>
                <w:rFonts w:ascii="Cambria" w:hAnsi="Cambria" w:cs="Arial"/>
                <w:b/>
                <w:bCs/>
                <w:sz w:val="20"/>
                <w:szCs w:val="20"/>
              </w:rPr>
              <w:t xml:space="preserve">Leitlinienmodifikation </w:t>
            </w:r>
          </w:p>
        </w:tc>
      </w:tr>
      <w:tr w:rsidR="00E11869" w:rsidRPr="00207748" w14:paraId="6EF0BE54" w14:textId="77777777" w:rsidTr="002B1061">
        <w:trPr>
          <w:trHeight w:val="842"/>
        </w:trPr>
        <w:tc>
          <w:tcPr>
            <w:tcW w:w="22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94FF4" w14:textId="77777777" w:rsidR="00E11869" w:rsidRPr="00207748" w:rsidRDefault="00E11869" w:rsidP="004454B6">
            <w:pPr>
              <w:rPr>
                <w:rFonts w:ascii="Cambria" w:hAnsi="Cambria" w:cs="Arial"/>
                <w:sz w:val="20"/>
                <w:szCs w:val="20"/>
              </w:rPr>
            </w:pPr>
          </w:p>
        </w:tc>
        <w:tc>
          <w:tcPr>
            <w:tcW w:w="2792"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9C0C2" w14:textId="77777777" w:rsidR="00B26F79" w:rsidRDefault="00447357" w:rsidP="004454B6">
            <w:pPr>
              <w:spacing w:after="0"/>
              <w:rPr>
                <w:rStyle w:val="Ohne"/>
                <w:rFonts w:ascii="Cambria" w:hAnsi="Cambria" w:cs="Arial"/>
                <w:sz w:val="20"/>
                <w:szCs w:val="20"/>
              </w:rPr>
            </w:pPr>
            <w:r w:rsidRPr="00207748">
              <w:rPr>
                <w:rStyle w:val="Ohne"/>
                <w:rFonts w:ascii="Cambria" w:hAnsi="Cambria" w:cs="Arial"/>
                <w:sz w:val="20"/>
                <w:szCs w:val="20"/>
              </w:rPr>
              <w:t xml:space="preserve">Konsensstärke bei Doppelabstimmung: </w:t>
            </w:r>
          </w:p>
          <w:p w14:paraId="1D08A00C" w14:textId="75FE82B8" w:rsidR="00B55C88" w:rsidRPr="00207748" w:rsidRDefault="00447357" w:rsidP="004454B6">
            <w:pPr>
              <w:spacing w:after="0"/>
              <w:rPr>
                <w:rFonts w:ascii="Cambria" w:hAnsi="Cambria" w:cs="Arial"/>
                <w:sz w:val="20"/>
                <w:szCs w:val="20"/>
              </w:rPr>
            </w:pPr>
            <w:r w:rsidRPr="00207748">
              <w:rPr>
                <w:rStyle w:val="Ohne"/>
                <w:rFonts w:ascii="Cambria" w:hAnsi="Cambria" w:cs="Arial"/>
                <w:sz w:val="20"/>
                <w:szCs w:val="20"/>
              </w:rPr>
              <w:t>100 %</w:t>
            </w:r>
          </w:p>
        </w:tc>
      </w:tr>
    </w:tbl>
    <w:p w14:paraId="24C291C8" w14:textId="503FAE9E" w:rsidR="00E11869" w:rsidRPr="00207748" w:rsidRDefault="00420A45" w:rsidP="004454B6">
      <w:pPr>
        <w:spacing w:before="240"/>
        <w:rPr>
          <w:rStyle w:val="Ohne"/>
          <w:rFonts w:ascii="Cambria" w:eastAsia="Arial" w:hAnsi="Cambria" w:cs="Arial"/>
          <w:b/>
          <w:bCs/>
          <w:iCs/>
          <w:sz w:val="20"/>
          <w:szCs w:val="20"/>
        </w:rPr>
      </w:pPr>
      <w:r w:rsidRPr="00207748">
        <w:rPr>
          <w:rStyle w:val="Ohne"/>
          <w:rFonts w:ascii="Cambria" w:hAnsi="Cambria" w:cs="Arial"/>
          <w:b/>
          <w:bCs/>
          <w:sz w:val="20"/>
          <w:szCs w:val="20"/>
        </w:rPr>
        <w:t>Begründung:</w:t>
      </w:r>
      <w:r w:rsidR="00447357" w:rsidRPr="00207748">
        <w:rPr>
          <w:rStyle w:val="Ohne"/>
          <w:rFonts w:ascii="Cambria" w:hAnsi="Cambria" w:cs="Arial"/>
          <w:b/>
          <w:bCs/>
          <w:sz w:val="20"/>
          <w:szCs w:val="20"/>
        </w:rPr>
        <w:t xml:space="preserve"> </w:t>
      </w:r>
      <w:r w:rsidR="00447357" w:rsidRPr="00207748">
        <w:rPr>
          <w:rStyle w:val="Ohne"/>
          <w:rFonts w:ascii="Cambria" w:hAnsi="Cambria" w:cs="Arial"/>
          <w:sz w:val="20"/>
          <w:szCs w:val="20"/>
        </w:rPr>
        <w:t>Bei der Blutreinigung kommen diverse Techniken zum Einsatz, wie z.B. die Hochvolumen-Hämofiltration und Hämoadsorption (oder Hämoperfusion), wo Sorbenzien, die entweder Endotoxin oder Zytokine entfernen, in Kontakt mit dem Blut gebracht werden</w:t>
      </w:r>
      <w:r w:rsidR="00F61E75">
        <w:rPr>
          <w:rStyle w:val="Ohne"/>
          <w:rFonts w:ascii="Cambria" w:hAnsi="Cambria" w:cs="Arial"/>
          <w:sz w:val="20"/>
          <w:szCs w:val="20"/>
        </w:rPr>
        <w:t>. Weitere Verfahren sind:</w:t>
      </w:r>
      <w:r w:rsidR="00447357" w:rsidRPr="00207748">
        <w:rPr>
          <w:rStyle w:val="Ohne"/>
          <w:rFonts w:ascii="Cambria" w:hAnsi="Cambria" w:cs="Arial"/>
          <w:sz w:val="20"/>
          <w:szCs w:val="20"/>
        </w:rPr>
        <w:t xml:space="preserve"> der Plasma-Austausch oder die Plasma-Filtration, über die Plasma vom Vollblut getrennt, entfernt und durch herkömmliche Kochsalzlösung, Albumin oder gefrorenes Frischplasma ersetzt wird</w:t>
      </w:r>
      <w:r w:rsidR="00F61E75">
        <w:rPr>
          <w:rStyle w:val="Ohne"/>
          <w:rFonts w:ascii="Cambria" w:hAnsi="Cambria" w:cs="Arial"/>
          <w:sz w:val="20"/>
          <w:szCs w:val="20"/>
        </w:rPr>
        <w:t xml:space="preserve"> sowie</w:t>
      </w:r>
      <w:r w:rsidR="002B1061">
        <w:rPr>
          <w:rStyle w:val="Ohne"/>
          <w:rFonts w:ascii="Cambria" w:hAnsi="Cambria" w:cs="Arial"/>
          <w:sz w:val="20"/>
          <w:szCs w:val="20"/>
        </w:rPr>
        <w:t xml:space="preserve"> </w:t>
      </w:r>
      <w:r w:rsidR="00447357" w:rsidRPr="00207748">
        <w:rPr>
          <w:rStyle w:val="Ohne"/>
          <w:rFonts w:ascii="Cambria" w:hAnsi="Cambria" w:cs="Arial"/>
          <w:sz w:val="20"/>
          <w:szCs w:val="20"/>
        </w:rPr>
        <w:t>das Hybridsystem: die kombinierte Plasma-Filtration-Adsorption (Coupled plasma filtration adsorption, CPFA), bei der die Plasma-Filtration und -Adsorption über eine Harzkartusche kombiniert wird, die Zytokine entfernt.</w:t>
      </w:r>
    </w:p>
    <w:p w14:paraId="575F6379" w14:textId="10567430" w:rsidR="00E11869" w:rsidRPr="00207748" w:rsidRDefault="00447357" w:rsidP="004454B6">
      <w:pPr>
        <w:rPr>
          <w:rStyle w:val="Ohne"/>
          <w:rFonts w:ascii="Cambria" w:hAnsi="Cambria" w:cs="Arial"/>
          <w:spacing w:val="-1"/>
          <w:sz w:val="20"/>
          <w:szCs w:val="20"/>
        </w:rPr>
      </w:pPr>
      <w:r w:rsidRPr="00207748">
        <w:rPr>
          <w:rStyle w:val="Ohne"/>
          <w:rFonts w:ascii="Cambria" w:hAnsi="Cambria" w:cs="Arial"/>
          <w:spacing w:val="-1"/>
          <w:sz w:val="20"/>
          <w:szCs w:val="20"/>
        </w:rPr>
        <w:t xml:space="preserve">Sofern diese Modalitäten der Blutreinigung im Vergleich zur konventionellen Behandlung untersucht wurden, waren die dazu </w:t>
      </w:r>
      <w:r w:rsidR="00F61E75">
        <w:rPr>
          <w:rStyle w:val="Ohne"/>
          <w:rFonts w:ascii="Cambria" w:hAnsi="Cambria" w:cs="Arial"/>
          <w:spacing w:val="-1"/>
          <w:sz w:val="20"/>
          <w:szCs w:val="20"/>
        </w:rPr>
        <w:t>durchgeführten</w:t>
      </w:r>
      <w:r w:rsidRPr="00207748">
        <w:rPr>
          <w:rStyle w:val="Ohne"/>
          <w:rFonts w:ascii="Cambria" w:hAnsi="Cambria" w:cs="Arial"/>
          <w:spacing w:val="-1"/>
          <w:sz w:val="20"/>
          <w:szCs w:val="20"/>
        </w:rPr>
        <w:t xml:space="preserve"> Studien klein und nicht verblindet und verfügten über ein hohes Verzerrungspotenzial. Die Patientenauswahl war uneindeutig und unterschied sich in Abhängigkeit von den verschiedenen Techniken. Bei der Hämoadsorption handelt es sich um die </w:t>
      </w:r>
      <w:r w:rsidRPr="00207748">
        <w:rPr>
          <w:rStyle w:val="Ohne"/>
          <w:rFonts w:ascii="Cambria" w:hAnsi="Cambria" w:cs="Arial"/>
          <w:spacing w:val="-1"/>
          <w:sz w:val="20"/>
          <w:szCs w:val="20"/>
        </w:rPr>
        <w:lastRenderedPageBreak/>
        <w:t xml:space="preserve">am genauesten untersuchte Technik, insbesondere mit Polymyxin B-immobilisierten, </w:t>
      </w:r>
      <w:r w:rsidR="001373EF">
        <w:rPr>
          <w:rStyle w:val="Ohne"/>
          <w:rFonts w:ascii="Cambria" w:hAnsi="Cambria" w:cs="Arial"/>
          <w:spacing w:val="-1"/>
          <w:sz w:val="20"/>
          <w:szCs w:val="20"/>
        </w:rPr>
        <w:t xml:space="preserve">auf </w:t>
      </w:r>
      <w:r w:rsidRPr="00207748">
        <w:rPr>
          <w:rStyle w:val="Ohne"/>
          <w:rFonts w:ascii="Cambria" w:hAnsi="Cambria" w:cs="Arial"/>
          <w:spacing w:val="-1"/>
          <w:sz w:val="20"/>
          <w:szCs w:val="20"/>
        </w:rPr>
        <w:t>Polystyren</w:t>
      </w:r>
      <w:r w:rsidR="001373EF">
        <w:rPr>
          <w:rStyle w:val="Ohne"/>
          <w:rFonts w:ascii="Cambria" w:hAnsi="Cambria" w:cs="Arial"/>
          <w:spacing w:val="-1"/>
          <w:sz w:val="20"/>
          <w:szCs w:val="20"/>
        </w:rPr>
        <w:t xml:space="preserve"> basierten</w:t>
      </w:r>
      <w:r w:rsidRPr="00207748">
        <w:rPr>
          <w:rStyle w:val="Ohne"/>
          <w:rFonts w:ascii="Cambria" w:hAnsi="Cambria" w:cs="Arial"/>
          <w:spacing w:val="-1"/>
          <w:sz w:val="20"/>
          <w:szCs w:val="20"/>
        </w:rPr>
        <w:t xml:space="preserve"> Fasern zur Entfernung von Endotoxin aus dem Blut. Eine vor kurzem durchgeführte Meta-Analyse </w:t>
      </w:r>
      <w:r w:rsidR="001373EF">
        <w:rPr>
          <w:rStyle w:val="Ohne"/>
          <w:rFonts w:ascii="Cambria" w:hAnsi="Cambria" w:cs="Arial"/>
          <w:spacing w:val="-1"/>
          <w:sz w:val="20"/>
          <w:szCs w:val="20"/>
        </w:rPr>
        <w:t>zeigte</w:t>
      </w:r>
      <w:r w:rsidRPr="00207748">
        <w:rPr>
          <w:rStyle w:val="Ohne"/>
          <w:rFonts w:ascii="Cambria" w:hAnsi="Cambria" w:cs="Arial"/>
          <w:spacing w:val="-1"/>
          <w:sz w:val="20"/>
          <w:szCs w:val="20"/>
        </w:rPr>
        <w:t xml:space="preserve"> einen vorteilhaften Effekt auf die Gesamtmortalität bei Verwendung dieser Technik</w:t>
      </w:r>
      <w:r w:rsidR="004A09F8" w:rsidRPr="00207748">
        <w:rPr>
          <w:rStyle w:val="Ohne"/>
          <w:rFonts w:ascii="Cambria" w:hAnsi="Cambria" w:cs="Arial"/>
          <w:spacing w:val="-1"/>
          <w:sz w:val="20"/>
          <w:szCs w:val="20"/>
        </w:rPr>
        <w:t>.</w:t>
      </w:r>
      <w:r w:rsidRPr="00207748">
        <w:rPr>
          <w:rStyle w:val="Ohne"/>
          <w:rFonts w:ascii="Cambria" w:eastAsia="Arial" w:hAnsi="Cambria" w:cs="Arial"/>
          <w:spacing w:val="-1"/>
          <w:sz w:val="20"/>
          <w:szCs w:val="20"/>
          <w:vertAlign w:val="superscript"/>
        </w:rPr>
        <w:endnoteReference w:id="353"/>
      </w:r>
      <w:r w:rsidRPr="00207748">
        <w:rPr>
          <w:rStyle w:val="Ohne"/>
          <w:rFonts w:ascii="Cambria" w:hAnsi="Cambria" w:cs="Arial"/>
          <w:spacing w:val="-1"/>
          <w:sz w:val="20"/>
          <w:szCs w:val="20"/>
        </w:rPr>
        <w:t xml:space="preserve"> D</w:t>
      </w:r>
      <w:r w:rsidR="001373EF">
        <w:rPr>
          <w:rStyle w:val="Ohne"/>
          <w:rFonts w:ascii="Cambria" w:hAnsi="Cambria" w:cs="Arial"/>
          <w:spacing w:val="-1"/>
          <w:sz w:val="20"/>
          <w:szCs w:val="20"/>
        </w:rPr>
        <w:t>ieser</w:t>
      </w:r>
      <w:r w:rsidR="002B1061">
        <w:rPr>
          <w:rStyle w:val="Ohne"/>
          <w:rFonts w:ascii="Cambria" w:hAnsi="Cambria" w:cs="Arial"/>
          <w:spacing w:val="-1"/>
          <w:sz w:val="20"/>
          <w:szCs w:val="20"/>
        </w:rPr>
        <w:t xml:space="preserve"> </w:t>
      </w:r>
      <w:r w:rsidRPr="00207748">
        <w:rPr>
          <w:rStyle w:val="Ohne"/>
          <w:rFonts w:ascii="Cambria" w:hAnsi="Cambria" w:cs="Arial"/>
          <w:spacing w:val="-1"/>
          <w:sz w:val="20"/>
          <w:szCs w:val="20"/>
        </w:rPr>
        <w:t xml:space="preserve">Effekt </w:t>
      </w:r>
      <w:r w:rsidR="001373EF">
        <w:rPr>
          <w:rStyle w:val="Ohne"/>
          <w:rFonts w:ascii="Cambria" w:hAnsi="Cambria" w:cs="Arial"/>
          <w:spacing w:val="-1"/>
          <w:sz w:val="20"/>
          <w:szCs w:val="20"/>
        </w:rPr>
        <w:t>beruht</w:t>
      </w:r>
      <w:r w:rsidR="002B1061">
        <w:rPr>
          <w:rStyle w:val="Ohne"/>
          <w:rFonts w:ascii="Cambria" w:hAnsi="Cambria" w:cs="Arial"/>
          <w:spacing w:val="-1"/>
          <w:sz w:val="20"/>
          <w:szCs w:val="20"/>
        </w:rPr>
        <w:t xml:space="preserve"> </w:t>
      </w:r>
      <w:r w:rsidRPr="00207748">
        <w:rPr>
          <w:rStyle w:val="Ohne"/>
          <w:rFonts w:ascii="Cambria" w:hAnsi="Cambria" w:cs="Arial"/>
          <w:spacing w:val="-1"/>
          <w:sz w:val="20"/>
          <w:szCs w:val="20"/>
        </w:rPr>
        <w:t xml:space="preserve">jedoch </w:t>
      </w:r>
      <w:r w:rsidR="001373EF">
        <w:rPr>
          <w:rStyle w:val="Ohne"/>
          <w:rFonts w:ascii="Cambria" w:hAnsi="Cambria" w:cs="Arial"/>
          <w:spacing w:val="-1"/>
          <w:sz w:val="20"/>
          <w:szCs w:val="20"/>
        </w:rPr>
        <w:t>auf</w:t>
      </w:r>
      <w:r w:rsidRPr="00207748">
        <w:rPr>
          <w:rStyle w:val="Ohne"/>
          <w:rFonts w:ascii="Cambria" w:hAnsi="Cambria" w:cs="Arial"/>
          <w:spacing w:val="-1"/>
          <w:sz w:val="20"/>
          <w:szCs w:val="20"/>
        </w:rPr>
        <w:t xml:space="preserve"> einer Reihe von Studien , die in einem einzigen Land (Japan) durchgeführt wurden, und zwar hauptsächlich von einer einzigen Forschungsgruppe. Eine aktuelle große RCT, </w:t>
      </w:r>
      <w:r w:rsidR="001373EF">
        <w:rPr>
          <w:rStyle w:val="Ohne"/>
          <w:rFonts w:ascii="Cambria" w:hAnsi="Cambria" w:cs="Arial"/>
          <w:spacing w:val="-1"/>
          <w:sz w:val="20"/>
          <w:szCs w:val="20"/>
        </w:rPr>
        <w:t>welches</w:t>
      </w:r>
      <w:r w:rsidRPr="00207748">
        <w:rPr>
          <w:rStyle w:val="Ohne"/>
          <w:rFonts w:ascii="Cambria" w:hAnsi="Cambria" w:cs="Arial"/>
          <w:spacing w:val="-1"/>
          <w:sz w:val="20"/>
          <w:szCs w:val="20"/>
        </w:rPr>
        <w:t xml:space="preserve"> an Patienten mit Peritonitis im Zusammenhang mit einer Organperforation innerhalb von </w:t>
      </w:r>
      <w:r w:rsidR="004A09F8" w:rsidRPr="00207748">
        <w:rPr>
          <w:rStyle w:val="Ohne"/>
          <w:rFonts w:ascii="Cambria" w:hAnsi="Cambria" w:cs="Arial"/>
          <w:spacing w:val="-1"/>
          <w:sz w:val="20"/>
          <w:szCs w:val="20"/>
        </w:rPr>
        <w:t>zwölf</w:t>
      </w:r>
      <w:r w:rsidRPr="00207748">
        <w:rPr>
          <w:rStyle w:val="Ohne"/>
          <w:rFonts w:ascii="Cambria" w:hAnsi="Cambria" w:cs="Arial"/>
          <w:spacing w:val="-1"/>
          <w:sz w:val="20"/>
          <w:szCs w:val="20"/>
        </w:rPr>
        <w:t xml:space="preserve"> Stunden nach einer Not-OP durchgeführt wurde, wies keinen Vorteil einer Polymyxin B-Hämoperfusion in Bezug auf die Mortalität und das Organversagen im Vergleich zur Standardbehandlung nach</w:t>
      </w:r>
      <w:r w:rsidR="004A09F8" w:rsidRPr="00207748">
        <w:rPr>
          <w:rStyle w:val="Ohne"/>
          <w:rFonts w:ascii="Cambria" w:hAnsi="Cambria" w:cs="Arial"/>
          <w:spacing w:val="-1"/>
          <w:sz w:val="20"/>
          <w:szCs w:val="20"/>
        </w:rPr>
        <w:t>.</w:t>
      </w:r>
      <w:r w:rsidRPr="00207748">
        <w:rPr>
          <w:rStyle w:val="Ohne"/>
          <w:rFonts w:ascii="Cambria" w:eastAsia="Arial" w:hAnsi="Cambria" w:cs="Arial"/>
          <w:spacing w:val="-1"/>
          <w:sz w:val="20"/>
          <w:szCs w:val="20"/>
          <w:vertAlign w:val="superscript"/>
        </w:rPr>
        <w:endnoteReference w:id="354"/>
      </w:r>
      <w:r w:rsidRPr="00207748">
        <w:rPr>
          <w:rStyle w:val="Ohne"/>
          <w:rFonts w:ascii="Cambria" w:hAnsi="Cambria" w:cs="Arial"/>
          <w:spacing w:val="-1"/>
          <w:sz w:val="20"/>
          <w:szCs w:val="20"/>
        </w:rPr>
        <w:t xml:space="preserve"> Der Schweregrad der Erkrankung der Studienpatienten war jedoch insgesamt gering, wodurch die Ergebnisse </w:t>
      </w:r>
      <w:r w:rsidR="001373EF">
        <w:rPr>
          <w:rStyle w:val="Ohne"/>
          <w:rFonts w:ascii="Cambria" w:hAnsi="Cambria" w:cs="Arial"/>
          <w:spacing w:val="-1"/>
          <w:sz w:val="20"/>
          <w:szCs w:val="20"/>
        </w:rPr>
        <w:t>limitiert sind</w:t>
      </w:r>
      <w:r w:rsidRPr="00207748">
        <w:rPr>
          <w:rStyle w:val="Ohne"/>
          <w:rFonts w:ascii="Cambria" w:hAnsi="Cambria" w:cs="Arial"/>
          <w:spacing w:val="-1"/>
          <w:sz w:val="20"/>
          <w:szCs w:val="20"/>
        </w:rPr>
        <w:t xml:space="preserve">. Aktuell beendet wurde ein multizentrische RCT, welche eine stärkere Evidenz im Hinblick auf diese Technik zur Verfügung stellen </w:t>
      </w:r>
      <w:r w:rsidR="001373EF">
        <w:rPr>
          <w:rStyle w:val="Ohne"/>
          <w:rFonts w:ascii="Cambria" w:hAnsi="Cambria" w:cs="Arial"/>
          <w:spacing w:val="-1"/>
          <w:sz w:val="20"/>
          <w:szCs w:val="20"/>
        </w:rPr>
        <w:t>könnte</w:t>
      </w:r>
      <w:r w:rsidR="004A09F8" w:rsidRPr="00207748">
        <w:rPr>
          <w:rStyle w:val="Ohne"/>
          <w:rFonts w:ascii="Cambria" w:hAnsi="Cambria" w:cs="Arial"/>
          <w:spacing w:val="-1"/>
          <w:sz w:val="20"/>
          <w:szCs w:val="20"/>
        </w:rPr>
        <w:t>.</w:t>
      </w:r>
      <w:r w:rsidRPr="006B2B71">
        <w:rPr>
          <w:rStyle w:val="EndnoteRealZchn"/>
        </w:rPr>
        <w:endnoteReference w:id="355"/>
      </w:r>
      <w:r w:rsidR="004A09F8" w:rsidRPr="00207748">
        <w:rPr>
          <w:rStyle w:val="Ohne"/>
          <w:rFonts w:ascii="Cambria" w:hAnsi="Cambria" w:cs="Arial"/>
          <w:spacing w:val="-1"/>
          <w:sz w:val="20"/>
          <w:szCs w:val="20"/>
        </w:rPr>
        <w:t xml:space="preserve"> </w:t>
      </w:r>
      <w:r w:rsidRPr="00207748">
        <w:rPr>
          <w:rStyle w:val="Ohne"/>
          <w:rFonts w:ascii="Cambria" w:hAnsi="Cambria" w:cs="Arial"/>
          <w:spacing w:val="-1"/>
          <w:sz w:val="20"/>
          <w:szCs w:val="20"/>
        </w:rPr>
        <w:t>Die Auswertung der 449 eingeschlossenen Patienten, die alle einen nachgewiesenen, erhöhten Endotoxin-Spiegel im Blut hatten, ergab keinerlei Vorteil der Behandlung bezüglich der Sterblichkeit, auch nicht in einer vordefinierten Untergruppe mit besonders schwerem Organversagen</w:t>
      </w:r>
      <w:r w:rsidR="002A6D64" w:rsidRPr="006B2B71">
        <w:rPr>
          <w:rStyle w:val="EndnoteRealZchn"/>
        </w:rPr>
        <w:t>.</w:t>
      </w:r>
      <w:r w:rsidRPr="006B2B71">
        <w:rPr>
          <w:rStyle w:val="EndnoteRealZchn"/>
        </w:rPr>
        <w:t xml:space="preserve"> </w:t>
      </w:r>
      <w:r w:rsidRPr="006B2B71">
        <w:rPr>
          <w:rStyle w:val="EndnoteRealZchn"/>
        </w:rPr>
        <w:endnoteReference w:id="356"/>
      </w:r>
    </w:p>
    <w:p w14:paraId="0177ED2E" w14:textId="14CDC3A8" w:rsidR="00E11869" w:rsidRPr="00207748" w:rsidRDefault="00447357" w:rsidP="004454B6">
      <w:pPr>
        <w:rPr>
          <w:rStyle w:val="Ohne"/>
          <w:rFonts w:ascii="Cambria" w:hAnsi="Cambria" w:cs="Arial"/>
          <w:spacing w:val="-1"/>
          <w:sz w:val="20"/>
          <w:szCs w:val="20"/>
        </w:rPr>
      </w:pPr>
      <w:r w:rsidRPr="00207748">
        <w:rPr>
          <w:rStyle w:val="Ohne"/>
          <w:rFonts w:ascii="Cambria" w:hAnsi="Cambria" w:cs="Arial"/>
          <w:spacing w:val="-1"/>
          <w:sz w:val="20"/>
          <w:szCs w:val="20"/>
        </w:rPr>
        <w:t xml:space="preserve">Wenige RCTs evaluierten die Plasma-Filtration als Monotherapie oder in Kombination mit </w:t>
      </w:r>
      <w:r w:rsidR="001373EF">
        <w:rPr>
          <w:rStyle w:val="Ohne"/>
          <w:rFonts w:ascii="Cambria" w:hAnsi="Cambria" w:cs="Arial"/>
          <w:spacing w:val="-1"/>
          <w:sz w:val="20"/>
          <w:szCs w:val="20"/>
        </w:rPr>
        <w:t>einer</w:t>
      </w:r>
      <w:r w:rsidRPr="00207748">
        <w:rPr>
          <w:rStyle w:val="Ohne"/>
          <w:rFonts w:ascii="Cambria" w:hAnsi="Cambria" w:cs="Arial"/>
          <w:spacing w:val="-1"/>
          <w:sz w:val="20"/>
          <w:szCs w:val="20"/>
        </w:rPr>
        <w:t xml:space="preserve"> Adsorption zur Zytokin-Entfernung (CPFA). Eine aktuelle RCT, in der die CPFA mit der Standardbehandlung verglichen wurde, ist wegen </w:t>
      </w:r>
      <w:r w:rsidR="00D33DBB">
        <w:rPr>
          <w:rStyle w:val="Ohne"/>
          <w:rFonts w:ascii="Cambria" w:hAnsi="Cambria" w:cs="Arial"/>
          <w:spacing w:val="-1"/>
          <w:sz w:val="20"/>
          <w:szCs w:val="20"/>
        </w:rPr>
        <w:t>mangelnder Machbarkeit</w:t>
      </w:r>
      <w:r w:rsidRPr="00207748">
        <w:rPr>
          <w:rStyle w:val="Ohne"/>
          <w:rFonts w:ascii="Cambria" w:hAnsi="Cambria" w:cs="Arial"/>
          <w:spacing w:val="-1"/>
          <w:sz w:val="20"/>
          <w:szCs w:val="20"/>
        </w:rPr>
        <w:t xml:space="preserve"> abgebrochen worden</w:t>
      </w:r>
      <w:r w:rsidR="002A6D64" w:rsidRPr="00207748">
        <w:rPr>
          <w:rStyle w:val="Ohne"/>
          <w:rFonts w:ascii="Cambria" w:hAnsi="Cambria" w:cs="Arial"/>
          <w:spacing w:val="-1"/>
          <w:sz w:val="20"/>
          <w:szCs w:val="20"/>
        </w:rPr>
        <w:t>.</w:t>
      </w:r>
      <w:r w:rsidRPr="006B2B71">
        <w:rPr>
          <w:rStyle w:val="EndnoteRealZchn"/>
        </w:rPr>
        <w:endnoteReference w:id="357"/>
      </w:r>
      <w:r w:rsidRPr="006B2B71">
        <w:rPr>
          <w:rStyle w:val="EndnoteRealZchn"/>
        </w:rPr>
        <w:t xml:space="preserve"> </w:t>
      </w:r>
      <w:r w:rsidRPr="00207748">
        <w:rPr>
          <w:rStyle w:val="Ohne"/>
          <w:rFonts w:ascii="Cambria" w:hAnsi="Cambria" w:cs="Arial"/>
          <w:spacing w:val="-1"/>
          <w:sz w:val="20"/>
          <w:szCs w:val="20"/>
        </w:rPr>
        <w:t xml:space="preserve">Etwa die Hälfte der Patienten, die randomisiert der CPFA zugeordnet wurden, waren </w:t>
      </w:r>
      <w:r w:rsidR="00D33DBB">
        <w:rPr>
          <w:rStyle w:val="Ohne"/>
          <w:rFonts w:ascii="Cambria" w:hAnsi="Cambria" w:cs="Arial"/>
          <w:spacing w:val="-1"/>
          <w:sz w:val="20"/>
          <w:szCs w:val="20"/>
        </w:rPr>
        <w:t>nicht wirksam behandelt</w:t>
      </w:r>
      <w:r w:rsidRPr="00207748">
        <w:rPr>
          <w:rStyle w:val="Ohne"/>
          <w:rFonts w:ascii="Cambria" w:hAnsi="Cambria" w:cs="Arial"/>
          <w:spacing w:val="-1"/>
          <w:sz w:val="20"/>
          <w:szCs w:val="20"/>
        </w:rPr>
        <w:t>, hauptsächlich wegen eine</w:t>
      </w:r>
      <w:r w:rsidR="001373EF">
        <w:rPr>
          <w:rStyle w:val="Ohne"/>
          <w:rFonts w:ascii="Cambria" w:hAnsi="Cambria" w:cs="Arial"/>
          <w:spacing w:val="-1"/>
          <w:sz w:val="20"/>
          <w:szCs w:val="20"/>
        </w:rPr>
        <w:t>s</w:t>
      </w:r>
      <w:r w:rsidRPr="00207748">
        <w:rPr>
          <w:rStyle w:val="Ohne"/>
          <w:rFonts w:ascii="Cambria" w:hAnsi="Cambria" w:cs="Arial"/>
          <w:spacing w:val="-1"/>
          <w:sz w:val="20"/>
          <w:szCs w:val="20"/>
        </w:rPr>
        <w:t xml:space="preserve"> </w:t>
      </w:r>
      <w:r w:rsidR="001373EF">
        <w:rPr>
          <w:rStyle w:val="Ohne"/>
          <w:rFonts w:ascii="Cambria" w:hAnsi="Cambria" w:cs="Arial"/>
          <w:spacing w:val="-1"/>
          <w:sz w:val="20"/>
          <w:szCs w:val="20"/>
        </w:rPr>
        <w:t>clottings im extrakorporalen Kreislauf</w:t>
      </w:r>
      <w:r w:rsidRPr="00207748">
        <w:rPr>
          <w:rStyle w:val="Ohne"/>
          <w:rFonts w:ascii="Cambria" w:hAnsi="Cambria" w:cs="Arial"/>
          <w:spacing w:val="-1"/>
          <w:sz w:val="20"/>
          <w:szCs w:val="20"/>
        </w:rPr>
        <w:t xml:space="preserve">, was </w:t>
      </w:r>
      <w:r w:rsidR="00D33DBB">
        <w:rPr>
          <w:rStyle w:val="Ohne"/>
          <w:rFonts w:ascii="Cambria" w:hAnsi="Cambria" w:cs="Arial"/>
          <w:spacing w:val="-1"/>
          <w:sz w:val="20"/>
          <w:szCs w:val="20"/>
        </w:rPr>
        <w:t>an</w:t>
      </w:r>
      <w:r w:rsidRPr="00207748">
        <w:rPr>
          <w:rStyle w:val="Ohne"/>
          <w:rFonts w:ascii="Cambria" w:hAnsi="Cambria" w:cs="Arial"/>
          <w:spacing w:val="-1"/>
          <w:sz w:val="20"/>
          <w:szCs w:val="20"/>
        </w:rPr>
        <w:t xml:space="preserve"> der CPFA-Umsetzbarkeit </w:t>
      </w:r>
      <w:r w:rsidR="00D33DBB">
        <w:rPr>
          <w:rStyle w:val="Ohne"/>
          <w:rFonts w:ascii="Cambria" w:hAnsi="Cambria" w:cs="Arial"/>
          <w:spacing w:val="-1"/>
          <w:sz w:val="20"/>
          <w:szCs w:val="20"/>
        </w:rPr>
        <w:t>zweifeln lässt</w:t>
      </w:r>
      <w:r w:rsidRPr="00207748">
        <w:rPr>
          <w:rStyle w:val="Ohne"/>
          <w:rFonts w:ascii="Cambria" w:hAnsi="Cambria" w:cs="Arial"/>
          <w:spacing w:val="-1"/>
          <w:sz w:val="20"/>
          <w:szCs w:val="20"/>
        </w:rPr>
        <w:t>.</w:t>
      </w:r>
    </w:p>
    <w:p w14:paraId="70D2B77A" w14:textId="77777777" w:rsidR="00E11869" w:rsidRPr="006B2B71" w:rsidRDefault="00447357" w:rsidP="004454B6">
      <w:pPr>
        <w:spacing w:before="240"/>
        <w:rPr>
          <w:rStyle w:val="EndnoteRealZchn"/>
        </w:rPr>
      </w:pPr>
      <w:r w:rsidRPr="00207748">
        <w:rPr>
          <w:rStyle w:val="Ohne"/>
          <w:rFonts w:ascii="Cambria" w:hAnsi="Cambria" w:cs="Arial"/>
          <w:spacing w:val="-1"/>
          <w:sz w:val="20"/>
          <w:szCs w:val="20"/>
        </w:rPr>
        <w:t>Schließlich bleiben noch aktuelle Studien zu Zytokin-Adsorbern (Herst</w:t>
      </w:r>
      <w:r w:rsidR="00701487" w:rsidRPr="00207748">
        <w:rPr>
          <w:rStyle w:val="Ohne"/>
          <w:rFonts w:ascii="Cambria" w:hAnsi="Cambria" w:cs="Arial"/>
          <w:spacing w:val="-1"/>
          <w:sz w:val="20"/>
          <w:szCs w:val="20"/>
        </w:rPr>
        <w:t>e</w:t>
      </w:r>
      <w:r w:rsidRPr="00207748">
        <w:rPr>
          <w:rStyle w:val="Ohne"/>
          <w:rFonts w:ascii="Cambria" w:hAnsi="Cambria" w:cs="Arial"/>
          <w:spacing w:val="-1"/>
          <w:sz w:val="20"/>
          <w:szCs w:val="20"/>
        </w:rPr>
        <w:t xml:space="preserve">ller: CytoSorbents) zu erwähnen. Hier gab es 2018 und Anfang 2019 die ersten beiden kleinen RCTs; vorher bestand die spezifische klinische Literatur ausschließlich aus </w:t>
      </w:r>
      <w:r w:rsidRPr="00207748">
        <w:rPr>
          <w:rStyle w:val="Ohne"/>
          <w:rFonts w:ascii="Cambria" w:hAnsi="Cambria" w:cs="Arial"/>
          <w:spacing w:val="-1"/>
          <w:sz w:val="20"/>
          <w:szCs w:val="20"/>
        </w:rPr>
        <w:lastRenderedPageBreak/>
        <w:t>Einzelfallberichten oder Fallserien. Beide Studien waren nicht gepowert, um einen Outcome-Vorteil darzustellen. In der deutschen Studie von 2018 war zudem das Ziel einer besseren IL-6-Elimination nicht nachweisbar</w:t>
      </w:r>
      <w:r w:rsidR="002A6D64" w:rsidRPr="006B2B71">
        <w:rPr>
          <w:rStyle w:val="EndnoteRealZchn"/>
        </w:rPr>
        <w:t>.</w:t>
      </w:r>
      <w:r w:rsidRPr="006B2B71">
        <w:rPr>
          <w:rStyle w:val="EndnoteRealZchn"/>
        </w:rPr>
        <w:endnoteReference w:id="358"/>
      </w:r>
      <w:r w:rsidRPr="006B2B71">
        <w:rPr>
          <w:rStyle w:val="EndnoteRealZchn"/>
        </w:rPr>
        <w:t xml:space="preserve"> </w:t>
      </w:r>
      <w:r w:rsidRPr="00207748">
        <w:rPr>
          <w:rStyle w:val="Ohne"/>
          <w:rFonts w:ascii="Cambria" w:hAnsi="Cambria" w:cs="Arial"/>
          <w:spacing w:val="-1"/>
          <w:sz w:val="20"/>
          <w:szCs w:val="20"/>
        </w:rPr>
        <w:t>In der ungarischen Studie von 2019 gibt es Hinweise auf einen rascheren Abfall</w:t>
      </w:r>
      <w:r w:rsidR="00420A45" w:rsidRPr="00207748">
        <w:rPr>
          <w:rStyle w:val="Ohne"/>
          <w:rFonts w:ascii="Cambria" w:hAnsi="Cambria" w:cs="Arial"/>
          <w:spacing w:val="-1"/>
          <w:sz w:val="20"/>
          <w:szCs w:val="20"/>
        </w:rPr>
        <w:t xml:space="preserve"> des Procalcitonin-Werts</w:t>
      </w:r>
      <w:r w:rsidRPr="00207748">
        <w:rPr>
          <w:rStyle w:val="Ohne"/>
          <w:rFonts w:ascii="Cambria" w:hAnsi="Cambria" w:cs="Arial"/>
          <w:spacing w:val="-1"/>
          <w:sz w:val="20"/>
          <w:szCs w:val="20"/>
        </w:rPr>
        <w:t xml:space="preserve"> in der behandelten Gruppe</w:t>
      </w:r>
      <w:r w:rsidR="004A09F8" w:rsidRPr="006B2B71">
        <w:rPr>
          <w:rStyle w:val="EndnoteRealZchn"/>
        </w:rPr>
        <w:t>.</w:t>
      </w:r>
      <w:r w:rsidRPr="006B2B71">
        <w:rPr>
          <w:rStyle w:val="EndnoteRealZchn"/>
        </w:rPr>
        <w:t xml:space="preserve"> </w:t>
      </w:r>
      <w:r w:rsidRPr="006B2B71">
        <w:rPr>
          <w:rStyle w:val="EndnoteRealZchn"/>
        </w:rPr>
        <w:endnoteReference w:id="359"/>
      </w:r>
    </w:p>
    <w:p w14:paraId="29B53027" w14:textId="378D40F5" w:rsidR="00665775" w:rsidRPr="00207748" w:rsidRDefault="00447357" w:rsidP="00FB33A2">
      <w:pPr>
        <w:spacing w:before="240"/>
        <w:rPr>
          <w:rStyle w:val="Ohne"/>
          <w:rFonts w:ascii="Cambria" w:hAnsi="Cambria" w:cs="Arial"/>
          <w:spacing w:val="-1"/>
          <w:sz w:val="20"/>
          <w:szCs w:val="20"/>
        </w:rPr>
      </w:pPr>
      <w:r w:rsidRPr="00207748">
        <w:rPr>
          <w:rStyle w:val="Ohne"/>
          <w:rFonts w:ascii="Cambria" w:hAnsi="Cambria"/>
          <w:spacing w:val="-1"/>
          <w:sz w:val="20"/>
          <w:szCs w:val="20"/>
        </w:rPr>
        <w:t>In Anbetracht all dieser Einschränkungen ist die Evidenz sehr gering, was die Entscheidung gegen oder für Blutreinigungstechniken betrifft. Es werden weitere Studien benötigt, um den klinischen Nutzen von Blutreinigungstechniken zu klären.</w:t>
      </w:r>
      <w:bookmarkStart w:id="418" w:name="_Toc25845119"/>
    </w:p>
    <w:p w14:paraId="49FCE5EA" w14:textId="77777777" w:rsidR="00E11869" w:rsidRPr="00182D07" w:rsidRDefault="00447357" w:rsidP="004454B6">
      <w:pPr>
        <w:pStyle w:val="berschrift2"/>
        <w:rPr>
          <w:b w:val="0"/>
        </w:rPr>
      </w:pPr>
      <w:bookmarkStart w:id="419" w:name="_Toc437861467"/>
      <w:bookmarkStart w:id="420" w:name="_Toc31278505"/>
      <w:r w:rsidRPr="00182D07">
        <w:rPr>
          <w:rStyle w:val="Ohne"/>
        </w:rPr>
        <w:t>L. Antikoagulanzien</w:t>
      </w:r>
      <w:bookmarkEnd w:id="418"/>
      <w:bookmarkEnd w:id="419"/>
      <w:bookmarkEnd w:id="420"/>
    </w:p>
    <w:p w14:paraId="060D2EA8" w14:textId="77777777" w:rsidR="00E11869" w:rsidRPr="00207748" w:rsidRDefault="00E11869" w:rsidP="00FB33A2">
      <w:pPr>
        <w:pStyle w:val="KeinLeerraum"/>
        <w:rPr>
          <w:rStyle w:val="Ohne"/>
          <w:iCs/>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788"/>
        <w:gridCol w:w="1715"/>
        <w:gridCol w:w="830"/>
      </w:tblGrid>
      <w:tr w:rsidR="00E11869" w:rsidRPr="00207748" w14:paraId="168F837B" w14:textId="77777777" w:rsidTr="00B26F79">
        <w:trPr>
          <w:trHeight w:val="282"/>
        </w:trPr>
        <w:tc>
          <w:tcPr>
            <w:tcW w:w="2063"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42C3A50B" w14:textId="77777777" w:rsidR="00E11869" w:rsidRPr="00207748" w:rsidRDefault="00447357" w:rsidP="004454B6">
            <w:pPr>
              <w:rPr>
                <w:rStyle w:val="Ohne"/>
                <w:rFonts w:ascii="Cambria" w:hAnsi="Cambria"/>
                <w:b/>
                <w:bCs/>
                <w:sz w:val="20"/>
                <w:szCs w:val="20"/>
              </w:rPr>
            </w:pPr>
            <w:r w:rsidRPr="00207748">
              <w:rPr>
                <w:rStyle w:val="Ohne"/>
                <w:rFonts w:ascii="Cambria" w:hAnsi="Cambria" w:cs="Arial"/>
                <w:b/>
                <w:bCs/>
                <w:sz w:val="20"/>
                <w:szCs w:val="20"/>
              </w:rPr>
              <w:t>L.1</w:t>
            </w:r>
          </w:p>
        </w:tc>
        <w:tc>
          <w:tcPr>
            <w:tcW w:w="1979"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69F71CF"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 xml:space="preserve">Empfehlung </w:t>
            </w:r>
          </w:p>
        </w:tc>
        <w:tc>
          <w:tcPr>
            <w:tcW w:w="958"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0DDDF1BC"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5991B233" w14:textId="77777777" w:rsidTr="00B26F79">
        <w:trPr>
          <w:trHeight w:val="1781"/>
        </w:trPr>
        <w:tc>
          <w:tcPr>
            <w:tcW w:w="2063"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3B26B"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Empfehlungsgrad</w:t>
            </w:r>
          </w:p>
          <w:p w14:paraId="7AD07734" w14:textId="77777777" w:rsidR="00E11869" w:rsidRPr="00207748" w:rsidRDefault="00E11869" w:rsidP="004454B6">
            <w:pPr>
              <w:spacing w:after="0"/>
              <w:rPr>
                <w:rStyle w:val="Ohne"/>
                <w:rFonts w:ascii="Cambria" w:eastAsia="Arial" w:hAnsi="Cambria" w:cs="Arial"/>
                <w:sz w:val="20"/>
                <w:szCs w:val="20"/>
              </w:rPr>
            </w:pPr>
          </w:p>
          <w:p w14:paraId="2A79F8E8" w14:textId="77777777" w:rsidR="00E11869" w:rsidRPr="00207748" w:rsidRDefault="00447357" w:rsidP="004454B6">
            <w:pPr>
              <w:spacing w:after="0"/>
              <w:rPr>
                <w:rStyle w:val="Ohne"/>
                <w:rFonts w:ascii="Cambria" w:eastAsia="Arial" w:hAnsi="Cambria" w:cs="Arial"/>
                <w:b/>
                <w:bCs/>
                <w:sz w:val="20"/>
                <w:szCs w:val="20"/>
              </w:rPr>
            </w:pPr>
            <w:r w:rsidRPr="00207748">
              <w:rPr>
                <w:rStyle w:val="Ohne"/>
                <w:rFonts w:ascii="Cambria" w:hAnsi="Cambria" w:cs="Arial"/>
                <w:b/>
                <w:bCs/>
                <w:sz w:val="20"/>
                <w:szCs w:val="20"/>
              </w:rPr>
              <w:t>stark</w:t>
            </w:r>
          </w:p>
          <w:p w14:paraId="244EAF3B" w14:textId="77777777" w:rsidR="00E11869" w:rsidRPr="00207748" w:rsidRDefault="00E11869" w:rsidP="004454B6">
            <w:pPr>
              <w:spacing w:after="0"/>
              <w:rPr>
                <w:rStyle w:val="Ohne"/>
                <w:rFonts w:ascii="Cambria" w:eastAsia="Arial" w:hAnsi="Cambria" w:cs="Arial"/>
                <w:b/>
                <w:bCs/>
                <w:sz w:val="20"/>
                <w:szCs w:val="20"/>
              </w:rPr>
            </w:pPr>
          </w:p>
          <w:p w14:paraId="79A520D4"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Evidenzgrad</w:t>
            </w:r>
          </w:p>
          <w:p w14:paraId="4EE96046" w14:textId="77777777" w:rsidR="00E11869" w:rsidRPr="00207748" w:rsidRDefault="00E11869" w:rsidP="004454B6">
            <w:pPr>
              <w:spacing w:after="0"/>
              <w:rPr>
                <w:rStyle w:val="Ohne"/>
                <w:rFonts w:ascii="Cambria" w:eastAsia="Arial" w:hAnsi="Cambria" w:cs="Arial"/>
                <w:sz w:val="20"/>
                <w:szCs w:val="20"/>
              </w:rPr>
            </w:pPr>
          </w:p>
          <w:p w14:paraId="6A1F2FA0"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moderat</w:t>
            </w:r>
          </w:p>
        </w:tc>
        <w:tc>
          <w:tcPr>
            <w:tcW w:w="293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2F0EE"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Wir empfehlen, dass von der Verwendung von Antithrombin zur Behandlung von Patienten mit Sepsis und septischem Schock abgesehen wird.</w:t>
            </w:r>
          </w:p>
        </w:tc>
      </w:tr>
      <w:tr w:rsidR="00E11869" w:rsidRPr="00207748" w14:paraId="4600236D" w14:textId="77777777" w:rsidTr="00B26F79">
        <w:trPr>
          <w:trHeight w:val="562"/>
        </w:trPr>
        <w:tc>
          <w:tcPr>
            <w:tcW w:w="2063" w:type="pct"/>
            <w:vMerge/>
            <w:tcBorders>
              <w:top w:val="single" w:sz="4" w:space="0" w:color="000000"/>
              <w:left w:val="single" w:sz="4" w:space="0" w:color="000000"/>
              <w:bottom w:val="single" w:sz="4" w:space="0" w:color="000000"/>
              <w:right w:val="single" w:sz="4" w:space="0" w:color="000000"/>
            </w:tcBorders>
            <w:shd w:val="clear" w:color="auto" w:fill="auto"/>
          </w:tcPr>
          <w:p w14:paraId="456E4344" w14:textId="77777777" w:rsidR="00E11869" w:rsidRPr="00207748" w:rsidRDefault="00E11869" w:rsidP="004454B6">
            <w:pPr>
              <w:rPr>
                <w:rFonts w:ascii="Cambria" w:hAnsi="Cambria" w:cs="Arial"/>
                <w:sz w:val="20"/>
                <w:szCs w:val="20"/>
              </w:rPr>
            </w:pPr>
          </w:p>
        </w:tc>
        <w:tc>
          <w:tcPr>
            <w:tcW w:w="293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176165"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SSC</w:t>
            </w:r>
            <w:r w:rsidR="00705719" w:rsidRPr="00207748">
              <w:rPr>
                <w:rStyle w:val="Ohne"/>
                <w:rFonts w:ascii="Cambria" w:hAnsi="Cambria" w:cs="Arial"/>
                <w:b/>
                <w:bCs/>
                <w:sz w:val="20"/>
                <w:szCs w:val="20"/>
              </w:rPr>
              <w:t>-</w:t>
            </w:r>
            <w:r w:rsidRPr="00207748">
              <w:rPr>
                <w:rStyle w:val="Ohne"/>
                <w:rFonts w:ascii="Cambria" w:hAnsi="Cambria" w:cs="Arial"/>
                <w:b/>
                <w:bCs/>
                <w:sz w:val="20"/>
                <w:szCs w:val="20"/>
              </w:rPr>
              <w:t>Leitlinienadaptation</w:t>
            </w:r>
          </w:p>
        </w:tc>
      </w:tr>
      <w:tr w:rsidR="00E11869" w:rsidRPr="00207748" w14:paraId="5F482F70" w14:textId="77777777" w:rsidTr="00B26F79">
        <w:trPr>
          <w:trHeight w:val="282"/>
        </w:trPr>
        <w:tc>
          <w:tcPr>
            <w:tcW w:w="20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BEE3C" w14:textId="77777777" w:rsidR="00E11869" w:rsidRPr="00207748" w:rsidRDefault="00E11869" w:rsidP="004454B6">
            <w:pPr>
              <w:rPr>
                <w:rFonts w:ascii="Cambria" w:hAnsi="Cambria" w:cs="Arial"/>
                <w:sz w:val="20"/>
                <w:szCs w:val="20"/>
              </w:rPr>
            </w:pPr>
          </w:p>
        </w:tc>
        <w:tc>
          <w:tcPr>
            <w:tcW w:w="293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F1AE8"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 xml:space="preserve">Konsensstärke: 100 % </w:t>
            </w:r>
          </w:p>
        </w:tc>
      </w:tr>
    </w:tbl>
    <w:p w14:paraId="6F50D0F3" w14:textId="5B40F74D" w:rsidR="00E11869" w:rsidRPr="00207748" w:rsidRDefault="00420A45" w:rsidP="004454B6">
      <w:pPr>
        <w:spacing w:before="240"/>
        <w:rPr>
          <w:rStyle w:val="Ohne"/>
          <w:rFonts w:ascii="Cambria" w:eastAsia="Arial" w:hAnsi="Cambria" w:cs="Arial"/>
          <w:b/>
          <w:bCs/>
          <w:sz w:val="20"/>
          <w:szCs w:val="20"/>
        </w:rPr>
      </w:pPr>
      <w:r w:rsidRPr="00207748">
        <w:rPr>
          <w:rStyle w:val="Ohne"/>
          <w:rFonts w:ascii="Cambria" w:hAnsi="Cambria" w:cs="Arial"/>
          <w:b/>
          <w:bCs/>
          <w:spacing w:val="-4"/>
          <w:sz w:val="20"/>
          <w:szCs w:val="20"/>
        </w:rPr>
        <w:t>Begründung:</w:t>
      </w:r>
      <w:r w:rsidR="00447357" w:rsidRPr="00207748">
        <w:rPr>
          <w:rStyle w:val="Ohne"/>
          <w:rFonts w:ascii="Cambria" w:hAnsi="Cambria" w:cs="Arial"/>
          <w:b/>
          <w:bCs/>
          <w:iCs/>
          <w:spacing w:val="-4"/>
          <w:sz w:val="20"/>
          <w:szCs w:val="20"/>
        </w:rPr>
        <w:t xml:space="preserve"> </w:t>
      </w:r>
      <w:r w:rsidR="00447357" w:rsidRPr="00207748">
        <w:rPr>
          <w:rStyle w:val="Ohne"/>
          <w:rFonts w:ascii="Cambria" w:hAnsi="Cambria" w:cs="Arial"/>
          <w:spacing w:val="-4"/>
          <w:sz w:val="20"/>
          <w:szCs w:val="20"/>
        </w:rPr>
        <w:t>Antithrombin ist das häufigste gerinnungshemmende Mittel, das im Plasma zirkuliert. Der Rückgang der diesbezüglichen Plasmaaktivität zu Beginn der Sepsis korreliert mit einer disseminierten intravasalen Gerinnung (DIC) und eine</w:t>
      </w:r>
      <w:r w:rsidR="00D33DBB">
        <w:rPr>
          <w:rStyle w:val="Ohne"/>
          <w:rFonts w:ascii="Cambria" w:hAnsi="Cambria" w:cs="Arial"/>
          <w:spacing w:val="-4"/>
          <w:sz w:val="20"/>
          <w:szCs w:val="20"/>
        </w:rPr>
        <w:t>r schlechten Prognose</w:t>
      </w:r>
      <w:r w:rsidR="00447357" w:rsidRPr="00207748">
        <w:rPr>
          <w:rStyle w:val="Ohne"/>
          <w:rFonts w:ascii="Cambria" w:hAnsi="Cambria" w:cs="Arial"/>
          <w:spacing w:val="-4"/>
          <w:sz w:val="20"/>
          <w:szCs w:val="20"/>
        </w:rPr>
        <w:t xml:space="preserve">. Eine Phase-III-Studie zu Hochdosis-Antithrombin </w:t>
      </w:r>
      <w:r w:rsidR="00D33DBB">
        <w:rPr>
          <w:rStyle w:val="Ohne"/>
          <w:rFonts w:ascii="Cambria" w:hAnsi="Cambria" w:cs="Arial"/>
          <w:spacing w:val="-4"/>
          <w:sz w:val="20"/>
          <w:szCs w:val="20"/>
        </w:rPr>
        <w:t>bei</w:t>
      </w:r>
      <w:r w:rsidR="00447357" w:rsidRPr="00207748">
        <w:rPr>
          <w:rStyle w:val="Ohne"/>
          <w:rFonts w:ascii="Cambria" w:hAnsi="Cambria" w:cs="Arial"/>
          <w:spacing w:val="-4"/>
          <w:sz w:val="20"/>
          <w:szCs w:val="20"/>
        </w:rPr>
        <w:t xml:space="preserve"> Erwachsenen mit Sepsis und septischem Schock sowie systematische Reviews von Antithrombin bei kritisch erkrankten Patienten wiesen keinen vorteilhaften Effekt in Bezug auf die Gesamtmortalität nach. Antithrombin wurde mit einem erhöhten Blutungsrisiko in Zusammenhang gebracht</w:t>
      </w:r>
      <w:r w:rsidR="002A6D64" w:rsidRPr="00207748">
        <w:rPr>
          <w:rStyle w:val="Ohne"/>
          <w:rFonts w:ascii="Cambria" w:hAnsi="Cambria" w:cs="Arial"/>
          <w:spacing w:val="-4"/>
          <w:sz w:val="20"/>
          <w:szCs w:val="20"/>
        </w:rPr>
        <w:t>.</w:t>
      </w:r>
      <w:r w:rsidR="00447357" w:rsidRPr="00207748">
        <w:rPr>
          <w:rStyle w:val="Ohne"/>
          <w:rFonts w:ascii="Cambria" w:eastAsia="Arial" w:hAnsi="Cambria" w:cs="Arial"/>
          <w:spacing w:val="-4"/>
          <w:sz w:val="20"/>
          <w:szCs w:val="20"/>
          <w:vertAlign w:val="superscript"/>
        </w:rPr>
        <w:endnoteReference w:id="360"/>
      </w:r>
      <w:r w:rsidR="00447357" w:rsidRPr="00207748">
        <w:rPr>
          <w:rStyle w:val="Ohne"/>
          <w:rFonts w:ascii="Cambria" w:hAnsi="Cambria" w:cs="Arial"/>
          <w:spacing w:val="-4"/>
          <w:sz w:val="20"/>
          <w:szCs w:val="20"/>
        </w:rPr>
        <w:t xml:space="preserve"> </w:t>
      </w:r>
      <w:r w:rsidR="00447357" w:rsidRPr="00207748">
        <w:rPr>
          <w:rStyle w:val="Ohne"/>
          <w:rFonts w:ascii="Cambria" w:eastAsia="Arial" w:hAnsi="Cambria" w:cs="Arial"/>
          <w:spacing w:val="-4"/>
          <w:sz w:val="20"/>
          <w:szCs w:val="20"/>
          <w:vertAlign w:val="superscript"/>
        </w:rPr>
        <w:endnoteReference w:id="361"/>
      </w:r>
      <w:r w:rsidR="00447357" w:rsidRPr="00207748">
        <w:rPr>
          <w:rStyle w:val="Ohne"/>
          <w:rFonts w:ascii="Cambria" w:hAnsi="Cambria" w:cs="Arial"/>
          <w:spacing w:val="-4"/>
          <w:sz w:val="20"/>
          <w:szCs w:val="20"/>
        </w:rPr>
        <w:t xml:space="preserve"> Obwohl Post-hoc-Untergruppenanalysen von Patienten mit Sepsis im Zusammenhang mit DIC eine bessere </w:t>
      </w:r>
      <w:r w:rsidR="00447357" w:rsidRPr="00207748">
        <w:rPr>
          <w:rStyle w:val="Ohne"/>
          <w:rFonts w:ascii="Cambria" w:hAnsi="Cambria" w:cs="Arial"/>
          <w:spacing w:val="-4"/>
          <w:sz w:val="20"/>
          <w:szCs w:val="20"/>
        </w:rPr>
        <w:lastRenderedPageBreak/>
        <w:t>Überlebensrate bei Patienten nachwiesen, die Antithrombin erhielten, kann dieser Wirkstoff nicht empfohlen werden, bis nicht weitere klinische Studien durchgeführt wurden.</w:t>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021"/>
        <w:gridCol w:w="1904"/>
        <w:gridCol w:w="1130"/>
      </w:tblGrid>
      <w:tr w:rsidR="00E11869" w:rsidRPr="00207748" w14:paraId="1095BBF8" w14:textId="77777777" w:rsidTr="00C52165">
        <w:trPr>
          <w:trHeight w:val="282"/>
        </w:trPr>
        <w:tc>
          <w:tcPr>
            <w:tcW w:w="1021" w:type="dxa"/>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0A6CDE63" w14:textId="77777777" w:rsidR="00E11869" w:rsidRPr="00207748" w:rsidRDefault="00447357" w:rsidP="004454B6">
            <w:pPr>
              <w:rPr>
                <w:rStyle w:val="Ohne"/>
                <w:rFonts w:ascii="Cambria" w:hAnsi="Cambria"/>
                <w:b/>
                <w:bCs/>
                <w:sz w:val="20"/>
                <w:szCs w:val="20"/>
              </w:rPr>
            </w:pPr>
            <w:r w:rsidRPr="00207748">
              <w:rPr>
                <w:rStyle w:val="Ohne"/>
                <w:rFonts w:ascii="Cambria" w:hAnsi="Cambria" w:cs="Arial"/>
                <w:b/>
                <w:bCs/>
                <w:sz w:val="20"/>
                <w:szCs w:val="20"/>
              </w:rPr>
              <w:t>L.2</w:t>
            </w:r>
          </w:p>
        </w:tc>
        <w:tc>
          <w:tcPr>
            <w:tcW w:w="1904" w:type="dxa"/>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0D9C22DB" w14:textId="77777777" w:rsidR="00E11869" w:rsidRPr="00207748" w:rsidRDefault="003B1537" w:rsidP="008B1A6E">
            <w:pPr>
              <w:rPr>
                <w:rStyle w:val="Ohne"/>
                <w:rFonts w:ascii="Cambria" w:hAnsi="Cambria"/>
                <w:b/>
                <w:bCs/>
                <w:sz w:val="20"/>
                <w:szCs w:val="20"/>
              </w:rPr>
            </w:pPr>
            <w:r w:rsidRPr="00207748">
              <w:rPr>
                <w:rStyle w:val="Ohne"/>
                <w:rFonts w:ascii="Cambria" w:hAnsi="Cambria" w:cs="Arial"/>
                <w:b/>
                <w:bCs/>
                <w:sz w:val="20"/>
                <w:szCs w:val="20"/>
              </w:rPr>
              <w:t>Statement</w:t>
            </w:r>
            <w:r w:rsidR="00447357" w:rsidRPr="00207748">
              <w:rPr>
                <w:rStyle w:val="Ohne"/>
                <w:rFonts w:ascii="Cambria" w:hAnsi="Cambria" w:cs="Arial"/>
                <w:b/>
                <w:bCs/>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39F1E973"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167CF457" w14:textId="77777777" w:rsidTr="00334AF5">
        <w:trPr>
          <w:trHeight w:val="1977"/>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8CEBE" w14:textId="77777777" w:rsidR="00E11869" w:rsidRPr="00207748" w:rsidRDefault="00E11869" w:rsidP="004454B6">
            <w:pPr>
              <w:rPr>
                <w:rFonts w:ascii="Cambria" w:hAnsi="Cambria" w:cs="Arial"/>
                <w:sz w:val="20"/>
                <w:szCs w:val="20"/>
              </w:rPr>
            </w:pPr>
          </w:p>
        </w:tc>
        <w:tc>
          <w:tcPr>
            <w:tcW w:w="30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02AF5"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Wir sprechen keine Empfehlung hinsichtlich der Verwendung von Thrombomodulin oder Heparin zur Behandlung von Patienten mit Sepsis oder septischem Schock aus.</w:t>
            </w:r>
          </w:p>
        </w:tc>
      </w:tr>
      <w:tr w:rsidR="00E11869" w:rsidRPr="00207748" w14:paraId="522AF83C" w14:textId="77777777" w:rsidTr="00C52165">
        <w:trPr>
          <w:trHeight w:val="562"/>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Pr>
          <w:p w14:paraId="52B6607B" w14:textId="77777777" w:rsidR="00E11869" w:rsidRPr="00207748" w:rsidRDefault="00E11869" w:rsidP="004454B6">
            <w:pPr>
              <w:rPr>
                <w:rFonts w:ascii="Cambria" w:hAnsi="Cambria" w:cs="Arial"/>
                <w:sz w:val="20"/>
                <w:szCs w:val="20"/>
              </w:rPr>
            </w:pPr>
          </w:p>
        </w:tc>
        <w:tc>
          <w:tcPr>
            <w:tcW w:w="30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03556" w14:textId="77777777" w:rsidR="00E11869" w:rsidRPr="00207748" w:rsidRDefault="00B20D2B" w:rsidP="004454B6">
            <w:pPr>
              <w:spacing w:after="0"/>
              <w:rPr>
                <w:rFonts w:ascii="Cambria" w:hAnsi="Cambria" w:cs="Arial"/>
                <w:sz w:val="20"/>
                <w:szCs w:val="20"/>
              </w:rPr>
            </w:pPr>
            <w:r w:rsidRPr="00207748">
              <w:rPr>
                <w:rStyle w:val="Ohne"/>
                <w:rFonts w:ascii="Cambria" w:hAnsi="Cambria" w:cs="Arial"/>
                <w:b/>
                <w:bCs/>
                <w:sz w:val="20"/>
                <w:szCs w:val="20"/>
              </w:rPr>
              <w:t>SSC-</w:t>
            </w:r>
            <w:r w:rsidR="00447357" w:rsidRPr="00207748">
              <w:rPr>
                <w:rStyle w:val="Ohne"/>
                <w:rFonts w:ascii="Cambria" w:hAnsi="Cambria" w:cs="Arial"/>
                <w:b/>
                <w:bCs/>
                <w:sz w:val="20"/>
                <w:szCs w:val="20"/>
              </w:rPr>
              <w:t>Lei</w:t>
            </w:r>
            <w:r w:rsidR="003B1537" w:rsidRPr="00207748">
              <w:rPr>
                <w:rStyle w:val="Ohne"/>
                <w:rFonts w:ascii="Cambria" w:hAnsi="Cambria" w:cs="Arial"/>
                <w:b/>
                <w:bCs/>
                <w:sz w:val="20"/>
                <w:szCs w:val="20"/>
              </w:rPr>
              <w:t>t</w:t>
            </w:r>
            <w:r w:rsidR="00447357" w:rsidRPr="00207748">
              <w:rPr>
                <w:rStyle w:val="Ohne"/>
                <w:rFonts w:ascii="Cambria" w:hAnsi="Cambria" w:cs="Arial"/>
                <w:b/>
                <w:bCs/>
                <w:sz w:val="20"/>
                <w:szCs w:val="20"/>
              </w:rPr>
              <w:t>linienadaptation</w:t>
            </w:r>
          </w:p>
        </w:tc>
      </w:tr>
      <w:tr w:rsidR="00E11869" w:rsidRPr="00207748" w14:paraId="6D932A31" w14:textId="77777777" w:rsidTr="00C52165">
        <w:trPr>
          <w:trHeight w:val="282"/>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20763" w14:textId="77777777" w:rsidR="00E11869" w:rsidRPr="00207748" w:rsidRDefault="00E11869" w:rsidP="004454B6">
            <w:pPr>
              <w:rPr>
                <w:rFonts w:ascii="Cambria" w:hAnsi="Cambria" w:cs="Arial"/>
                <w:sz w:val="20"/>
                <w:szCs w:val="20"/>
              </w:rPr>
            </w:pPr>
          </w:p>
        </w:tc>
        <w:tc>
          <w:tcPr>
            <w:tcW w:w="30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248E3"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Konsensstärke: 100 %</w:t>
            </w:r>
          </w:p>
        </w:tc>
      </w:tr>
    </w:tbl>
    <w:p w14:paraId="27050E61" w14:textId="4B3D9EBD" w:rsidR="00665775" w:rsidRPr="00207748" w:rsidRDefault="00420A45" w:rsidP="00FB33A2">
      <w:pPr>
        <w:spacing w:before="240"/>
        <w:rPr>
          <w:rStyle w:val="Ohne"/>
          <w:rFonts w:ascii="Cambria" w:eastAsia="Arial" w:hAnsi="Cambria" w:cs="Arial"/>
          <w:sz w:val="20"/>
          <w:szCs w:val="20"/>
          <w:shd w:val="clear" w:color="auto" w:fill="FFFF00"/>
        </w:rPr>
      </w:pPr>
      <w:r w:rsidRPr="00207748">
        <w:rPr>
          <w:rStyle w:val="Ohne"/>
          <w:rFonts w:ascii="Cambria" w:hAnsi="Cambria" w:cs="Arial"/>
          <w:b/>
          <w:bCs/>
          <w:spacing w:val="-1"/>
          <w:sz w:val="20"/>
          <w:szCs w:val="20"/>
        </w:rPr>
        <w:t>Begründung:</w:t>
      </w:r>
      <w:r w:rsidR="00447357" w:rsidRPr="00207748">
        <w:rPr>
          <w:rStyle w:val="Ohne"/>
          <w:rFonts w:ascii="Cambria" w:hAnsi="Cambria" w:cs="Arial"/>
          <w:b/>
          <w:bCs/>
          <w:iCs/>
          <w:spacing w:val="-1"/>
          <w:sz w:val="20"/>
          <w:szCs w:val="20"/>
        </w:rPr>
        <w:t xml:space="preserve"> </w:t>
      </w:r>
      <w:r w:rsidR="00447357" w:rsidRPr="00207748">
        <w:rPr>
          <w:rStyle w:val="Ohne"/>
          <w:rFonts w:ascii="Cambria" w:hAnsi="Cambria" w:cs="Arial"/>
          <w:spacing w:val="-1"/>
          <w:sz w:val="20"/>
          <w:szCs w:val="20"/>
        </w:rPr>
        <w:t>Die meisten RCTs zu rekombinantem lösliche</w:t>
      </w:r>
      <w:r w:rsidR="004A09F8" w:rsidRPr="00207748">
        <w:rPr>
          <w:rStyle w:val="Ohne"/>
          <w:rFonts w:ascii="Cambria" w:hAnsi="Cambria" w:cs="Arial"/>
          <w:spacing w:val="-1"/>
          <w:sz w:val="20"/>
          <w:szCs w:val="20"/>
        </w:rPr>
        <w:t>m</w:t>
      </w:r>
      <w:r w:rsidR="00447357" w:rsidRPr="00207748">
        <w:rPr>
          <w:rStyle w:val="Ohne"/>
          <w:rFonts w:ascii="Cambria" w:hAnsi="Cambria" w:cs="Arial"/>
          <w:spacing w:val="-1"/>
          <w:sz w:val="20"/>
          <w:szCs w:val="20"/>
        </w:rPr>
        <w:t xml:space="preserve"> Thrombomodulin waren auf Sepsis im Zusammenhang mit DIC ausgerichtet und ein systematische</w:t>
      </w:r>
      <w:r w:rsidR="00D33DBB">
        <w:rPr>
          <w:rStyle w:val="Ohne"/>
          <w:rFonts w:ascii="Cambria" w:hAnsi="Cambria" w:cs="Arial"/>
          <w:spacing w:val="-1"/>
          <w:sz w:val="20"/>
          <w:szCs w:val="20"/>
        </w:rPr>
        <w:t>r</w:t>
      </w:r>
      <w:r w:rsidR="00447357" w:rsidRPr="00207748">
        <w:rPr>
          <w:rStyle w:val="Ohne"/>
          <w:rFonts w:ascii="Cambria" w:hAnsi="Cambria" w:cs="Arial"/>
          <w:spacing w:val="-1"/>
          <w:sz w:val="20"/>
          <w:szCs w:val="20"/>
        </w:rPr>
        <w:t xml:space="preserve"> Review deutete auf einen vorteilhaften Effekt auf die Überlebensrate ohne eine Erhöhung des Blutungsrisikos hin</w:t>
      </w:r>
      <w:r w:rsidR="004A09F8" w:rsidRPr="00207748">
        <w:rPr>
          <w:rStyle w:val="Ohne"/>
          <w:rFonts w:ascii="Cambria" w:hAnsi="Cambria" w:cs="Arial"/>
          <w:spacing w:val="-1"/>
          <w:sz w:val="20"/>
          <w:szCs w:val="20"/>
        </w:rPr>
        <w:t>.</w:t>
      </w:r>
      <w:r w:rsidR="00447357" w:rsidRPr="00207748">
        <w:rPr>
          <w:rStyle w:val="Ohne"/>
          <w:rFonts w:ascii="Cambria" w:eastAsia="Arial" w:hAnsi="Cambria" w:cs="Arial"/>
          <w:spacing w:val="-1"/>
          <w:sz w:val="20"/>
          <w:szCs w:val="20"/>
          <w:vertAlign w:val="superscript"/>
        </w:rPr>
        <w:endnoteReference w:id="362"/>
      </w:r>
      <w:r w:rsidR="00447357" w:rsidRPr="00207748">
        <w:rPr>
          <w:rStyle w:val="Ohne"/>
          <w:rFonts w:ascii="Cambria" w:hAnsi="Cambria" w:cs="Arial"/>
          <w:spacing w:val="-1"/>
          <w:sz w:val="20"/>
          <w:szCs w:val="20"/>
        </w:rPr>
        <w:t xml:space="preserve"> </w:t>
      </w:r>
      <w:r w:rsidR="00447357" w:rsidRPr="00207748">
        <w:rPr>
          <w:rStyle w:val="Ohne"/>
          <w:rFonts w:ascii="Cambria" w:eastAsia="Arial" w:hAnsi="Cambria" w:cs="Arial"/>
          <w:spacing w:val="-1"/>
          <w:sz w:val="20"/>
          <w:szCs w:val="20"/>
          <w:vertAlign w:val="superscript"/>
        </w:rPr>
        <w:endnoteReference w:id="363"/>
      </w:r>
      <w:r w:rsidR="00447357" w:rsidRPr="00207748">
        <w:rPr>
          <w:rStyle w:val="Ohne"/>
          <w:rFonts w:ascii="Cambria" w:hAnsi="Cambria" w:cs="Arial"/>
          <w:spacing w:val="-1"/>
          <w:sz w:val="20"/>
          <w:szCs w:val="20"/>
        </w:rPr>
        <w:t xml:space="preserve"> Ein</w:t>
      </w:r>
      <w:r w:rsidR="00537477">
        <w:rPr>
          <w:rStyle w:val="Ohne"/>
          <w:rFonts w:ascii="Cambria" w:hAnsi="Cambria" w:cs="Arial"/>
          <w:spacing w:val="-1"/>
          <w:sz w:val="20"/>
          <w:szCs w:val="20"/>
        </w:rPr>
        <w:t>e</w:t>
      </w:r>
      <w:r w:rsidR="00447357" w:rsidRPr="00207748">
        <w:rPr>
          <w:rStyle w:val="Ohne"/>
          <w:rFonts w:ascii="Cambria" w:hAnsi="Cambria" w:cs="Arial"/>
          <w:spacing w:val="-1"/>
          <w:sz w:val="20"/>
          <w:szCs w:val="20"/>
        </w:rPr>
        <w:t xml:space="preserve"> Phase-III-RCT wird momentan </w:t>
      </w:r>
      <w:r w:rsidR="00D33DBB">
        <w:rPr>
          <w:rStyle w:val="Ohne"/>
          <w:rFonts w:ascii="Cambria" w:hAnsi="Cambria" w:cs="Arial"/>
          <w:spacing w:val="-1"/>
          <w:sz w:val="20"/>
          <w:szCs w:val="20"/>
        </w:rPr>
        <w:t>bei sepsis-assoziierter</w:t>
      </w:r>
      <w:r w:rsidR="002B1061">
        <w:rPr>
          <w:rStyle w:val="Ohne"/>
          <w:rFonts w:ascii="Cambria" w:hAnsi="Cambria" w:cs="Arial"/>
          <w:spacing w:val="-1"/>
          <w:sz w:val="20"/>
          <w:szCs w:val="20"/>
        </w:rPr>
        <w:t xml:space="preserve"> </w:t>
      </w:r>
      <w:r w:rsidR="00447357" w:rsidRPr="00207748">
        <w:rPr>
          <w:rStyle w:val="Ohne"/>
          <w:rFonts w:ascii="Cambria" w:hAnsi="Cambria" w:cs="Arial"/>
          <w:spacing w:val="-1"/>
          <w:sz w:val="20"/>
          <w:szCs w:val="20"/>
        </w:rPr>
        <w:t>DIC durchgeführt. Zwei systematische Reviews deuteten auf einen potenziellen Überlebensvorteil bei der Nutzung von Heparin bei Patienten mit Sepsis hin, ohne dass eine Zunahme von großen Blutungen vorlag</w:t>
      </w:r>
      <w:r w:rsidR="004A09F8" w:rsidRPr="00207748">
        <w:rPr>
          <w:rStyle w:val="Ohne"/>
          <w:rFonts w:ascii="Cambria" w:hAnsi="Cambria" w:cs="Arial"/>
          <w:spacing w:val="-1"/>
          <w:sz w:val="20"/>
          <w:szCs w:val="20"/>
        </w:rPr>
        <w:t>.</w:t>
      </w:r>
      <w:r w:rsidR="00447357" w:rsidRPr="00207748">
        <w:rPr>
          <w:rStyle w:val="Ohne"/>
          <w:rFonts w:ascii="Cambria" w:eastAsia="Arial" w:hAnsi="Cambria" w:cs="Arial"/>
          <w:spacing w:val="-1"/>
          <w:sz w:val="20"/>
          <w:szCs w:val="20"/>
          <w:vertAlign w:val="superscript"/>
        </w:rPr>
        <w:endnoteReference w:id="364"/>
      </w:r>
      <w:r w:rsidR="00447357" w:rsidRPr="00207748">
        <w:rPr>
          <w:rStyle w:val="Ohne"/>
          <w:rFonts w:ascii="Cambria" w:hAnsi="Cambria" w:cs="Arial"/>
          <w:spacing w:val="-1"/>
          <w:sz w:val="20"/>
          <w:szCs w:val="20"/>
        </w:rPr>
        <w:t xml:space="preserve"> Die Gesamtauswirkung bleibt jedoch ungewiss, und Heparin kann nicht empfohlen werden, bevor nicht weitere RCTs durchgeführt worden sind.</w:t>
      </w:r>
      <w:bookmarkStart w:id="421" w:name="_Toc25845120"/>
    </w:p>
    <w:p w14:paraId="79E3F78F" w14:textId="57F39227" w:rsidR="00E11869" w:rsidRPr="00182D07" w:rsidRDefault="00447357" w:rsidP="004454B6">
      <w:pPr>
        <w:pStyle w:val="berschrift2"/>
        <w:rPr>
          <w:rStyle w:val="Ohne"/>
          <w:b w:val="0"/>
        </w:rPr>
      </w:pPr>
      <w:bookmarkStart w:id="422" w:name="_Toc437861468"/>
      <w:bookmarkStart w:id="423" w:name="_Toc31278506"/>
      <w:r w:rsidRPr="00182D07">
        <w:rPr>
          <w:rStyle w:val="Ohne"/>
        </w:rPr>
        <w:t>M. Invasive Beatmung</w:t>
      </w:r>
      <w:bookmarkEnd w:id="421"/>
      <w:bookmarkEnd w:id="422"/>
      <w:bookmarkEnd w:id="423"/>
    </w:p>
    <w:p w14:paraId="213B69FE" w14:textId="77777777" w:rsidR="004454B6" w:rsidRPr="00207748" w:rsidRDefault="004454B6" w:rsidP="00FB33A2">
      <w:pPr>
        <w:pStyle w:val="KeinLeerraum"/>
      </w:pPr>
    </w:p>
    <w:p w14:paraId="399D0FE7" w14:textId="77777777" w:rsidR="00E11869" w:rsidRPr="00207748" w:rsidRDefault="00447357" w:rsidP="004454B6">
      <w:pPr>
        <w:rPr>
          <w:rStyle w:val="Ohne"/>
          <w:rFonts w:ascii="Cambria" w:hAnsi="Cambria" w:cs="Arial"/>
          <w:spacing w:val="-4"/>
          <w:sz w:val="20"/>
          <w:szCs w:val="20"/>
        </w:rPr>
      </w:pPr>
      <w:r w:rsidRPr="00207748">
        <w:rPr>
          <w:rStyle w:val="Ohne"/>
          <w:rFonts w:ascii="Cambria" w:hAnsi="Cambria" w:cs="Arial"/>
          <w:spacing w:val="-4"/>
          <w:sz w:val="20"/>
          <w:szCs w:val="20"/>
        </w:rPr>
        <w:t xml:space="preserve">Im folgenden Kapitel fassen wir knapp die S3-Leitlinie „Invasive Beatmung und Einsatz extrakorporaler Verfahren bei akuter respiratorischer Insuffizienz“ zusammen. Die in der S3-Leitlinie abgegebenen Empfehlungen zu Patienten mit ARDS umfassen in der Mehrheit Patienten mit Sepsis, septischem Schock und/oder einer Pneumonie und erfüllen somit die Kriterien der Sepsis-3. Allerdings ist in diesem Kontext keine </w:t>
      </w:r>
      <w:r w:rsidRPr="00207748">
        <w:rPr>
          <w:rStyle w:val="Ohne"/>
          <w:rFonts w:ascii="Cambria" w:hAnsi="Cambria" w:cs="Arial"/>
          <w:spacing w:val="-4"/>
          <w:sz w:val="20"/>
          <w:szCs w:val="20"/>
        </w:rPr>
        <w:lastRenderedPageBreak/>
        <w:t>Studie bekannt, die sich spezifisch mit septischen Patienten befasst hat.</w:t>
      </w:r>
    </w:p>
    <w:p w14:paraId="5977DA92" w14:textId="1F3C6193" w:rsidR="00E11869" w:rsidRPr="00207748" w:rsidRDefault="00447357" w:rsidP="004454B6">
      <w:pPr>
        <w:rPr>
          <w:rStyle w:val="Ohne"/>
          <w:rFonts w:ascii="Cambria" w:hAnsi="Cambria" w:cs="Arial"/>
          <w:spacing w:val="-4"/>
          <w:sz w:val="20"/>
          <w:szCs w:val="20"/>
        </w:rPr>
      </w:pPr>
      <w:r w:rsidRPr="00207748">
        <w:rPr>
          <w:rStyle w:val="Ohne"/>
          <w:rFonts w:ascii="Cambria" w:hAnsi="Cambria" w:cs="Arial"/>
          <w:spacing w:val="-4"/>
          <w:sz w:val="20"/>
          <w:szCs w:val="20"/>
        </w:rPr>
        <w:t>Im Folgenden werden die aus Sicht de</w:t>
      </w:r>
      <w:r w:rsidR="00524587" w:rsidRPr="00207748">
        <w:rPr>
          <w:rStyle w:val="Ohne"/>
          <w:rFonts w:ascii="Cambria" w:hAnsi="Cambria" w:cs="Arial"/>
          <w:spacing w:val="-4"/>
          <w:sz w:val="20"/>
          <w:szCs w:val="20"/>
        </w:rPr>
        <w:t>r</w:t>
      </w:r>
      <w:r w:rsidRPr="00207748">
        <w:rPr>
          <w:rStyle w:val="Ohne"/>
          <w:rFonts w:ascii="Cambria" w:hAnsi="Cambria" w:cs="Arial"/>
          <w:spacing w:val="-4"/>
          <w:sz w:val="20"/>
          <w:szCs w:val="20"/>
        </w:rPr>
        <w:t xml:space="preserve"> Leitlinien</w:t>
      </w:r>
      <w:r w:rsidR="00524587" w:rsidRPr="00207748">
        <w:rPr>
          <w:rStyle w:val="Ohne"/>
          <w:rFonts w:ascii="Cambria" w:hAnsi="Cambria" w:cs="Arial"/>
          <w:spacing w:val="-4"/>
          <w:sz w:val="20"/>
          <w:szCs w:val="20"/>
        </w:rPr>
        <w:t>kommission</w:t>
      </w:r>
      <w:r w:rsidRPr="00207748">
        <w:rPr>
          <w:rStyle w:val="Ohne"/>
          <w:rFonts w:ascii="Cambria" w:hAnsi="Cambria" w:cs="Arial"/>
          <w:spacing w:val="-4"/>
          <w:sz w:val="20"/>
          <w:szCs w:val="20"/>
        </w:rPr>
        <w:t xml:space="preserve"> der S3-Leitlinie „Sepsis“ wesentlichen Empfehlungen der S3-Leitlinie „Beatmung“ für Patienten mit Sepsis und septischem Schock mit der entsprechenden Evidenz beschrieben</w:t>
      </w:r>
      <w:r w:rsidR="005C6578" w:rsidRPr="00207748">
        <w:rPr>
          <w:rStyle w:val="Ohne"/>
          <w:rFonts w:ascii="Cambria" w:hAnsi="Cambria" w:cs="Arial"/>
          <w:spacing w:val="-4"/>
          <w:sz w:val="20"/>
          <w:szCs w:val="20"/>
        </w:rPr>
        <w:t xml:space="preserve"> und um einige Empfehlungen der SSC-Leitlinie ergänzt</w:t>
      </w:r>
      <w:r w:rsidRPr="00207748">
        <w:rPr>
          <w:rStyle w:val="Ohne"/>
          <w:rFonts w:ascii="Cambria" w:hAnsi="Cambria" w:cs="Arial"/>
          <w:spacing w:val="-4"/>
          <w:sz w:val="20"/>
          <w:szCs w:val="20"/>
        </w:rPr>
        <w:t xml:space="preserve">. Der Aufbau des vorliegendenTextes ist der SSC-Leitlinie angepasst. Für weitergehende Informationen und insbesondere </w:t>
      </w:r>
      <w:r w:rsidR="001A58EF" w:rsidRPr="00207748">
        <w:rPr>
          <w:rStyle w:val="Ohne"/>
          <w:rFonts w:ascii="Cambria" w:hAnsi="Cambria" w:cs="Arial"/>
          <w:spacing w:val="-4"/>
          <w:sz w:val="20"/>
          <w:szCs w:val="20"/>
        </w:rPr>
        <w:t xml:space="preserve">für die </w:t>
      </w:r>
      <w:r w:rsidRPr="00207748">
        <w:rPr>
          <w:rStyle w:val="Ohne"/>
          <w:rFonts w:ascii="Cambria" w:hAnsi="Cambria" w:cs="Arial"/>
          <w:spacing w:val="-4"/>
          <w:sz w:val="20"/>
          <w:szCs w:val="20"/>
        </w:rPr>
        <w:t>detaillierte Bewertung der zu Grunde liegenden Evidenz verweisen wir auf die Langfassung der S3</w:t>
      </w:r>
      <w:r w:rsidR="001A58EF" w:rsidRPr="00207748">
        <w:rPr>
          <w:rStyle w:val="Ohne"/>
          <w:rFonts w:ascii="Cambria" w:hAnsi="Cambria" w:cs="Arial"/>
          <w:spacing w:val="-4"/>
          <w:sz w:val="20"/>
          <w:szCs w:val="20"/>
        </w:rPr>
        <w:t>-</w:t>
      </w:r>
      <w:r w:rsidRPr="00207748">
        <w:rPr>
          <w:rStyle w:val="Ohne"/>
          <w:rFonts w:ascii="Cambria" w:hAnsi="Cambria" w:cs="Arial"/>
          <w:spacing w:val="-4"/>
          <w:sz w:val="20"/>
          <w:szCs w:val="20"/>
        </w:rPr>
        <w:t>Leitlinie „Invasive Beatmung und Einsatz extrakorporaler Verfahren bei akuter respiratorischer Insuffizienz“</w:t>
      </w:r>
      <w:r w:rsidR="006B2B71">
        <w:rPr>
          <w:rStyle w:val="Ohne"/>
          <w:rFonts w:ascii="Cambria" w:hAnsi="Cambria" w:cs="Arial"/>
          <w:spacing w:val="-4"/>
          <w:sz w:val="20"/>
          <w:szCs w:val="20"/>
        </w:rPr>
        <w:t xml:space="preserve"> </w:t>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DDDDDD"/>
          <w:insideV w:val="single" w:sz="8" w:space="0" w:color="DDDDDD"/>
        </w:tblBorders>
        <w:shd w:val="clear" w:color="auto" w:fill="CED7E7"/>
        <w:tblLook w:val="04A0" w:firstRow="1" w:lastRow="0" w:firstColumn="1" w:lastColumn="0" w:noHBand="0" w:noVBand="1"/>
      </w:tblPr>
      <w:tblGrid>
        <w:gridCol w:w="1673"/>
        <w:gridCol w:w="1702"/>
        <w:gridCol w:w="850"/>
      </w:tblGrid>
      <w:tr w:rsidR="00E11869" w:rsidRPr="00207748" w14:paraId="3C394D61"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6090215" w14:textId="77777777" w:rsidR="00E11869" w:rsidRPr="00207748" w:rsidRDefault="00447357" w:rsidP="004454B6">
            <w:pPr>
              <w:rPr>
                <w:rStyle w:val="Ohne"/>
                <w:rFonts w:ascii="Cambria" w:hAnsi="Cambria"/>
                <w:b/>
                <w:bCs/>
                <w:sz w:val="20"/>
                <w:szCs w:val="20"/>
              </w:rPr>
            </w:pPr>
            <w:r w:rsidRPr="00207748">
              <w:rPr>
                <w:rStyle w:val="Ohne"/>
                <w:rFonts w:ascii="Cambria" w:hAnsi="Cambria" w:cs="Arial"/>
                <w:b/>
                <w:bCs/>
                <w:sz w:val="20"/>
                <w:szCs w:val="20"/>
              </w:rPr>
              <w:t>M.1</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02A1C0D1"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126EB598"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4FB03EB8" w14:textId="77777777" w:rsidTr="00342FB3">
        <w:trPr>
          <w:trHeight w:val="156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A65D1"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Empfehlungsgrad</w:t>
            </w:r>
          </w:p>
          <w:p w14:paraId="1000EC21" w14:textId="77777777" w:rsidR="00E11869" w:rsidRPr="00207748" w:rsidRDefault="00E11869" w:rsidP="004454B6">
            <w:pPr>
              <w:spacing w:after="0"/>
              <w:rPr>
                <w:rStyle w:val="Ohne"/>
                <w:rFonts w:ascii="Cambria" w:eastAsia="Arial" w:hAnsi="Cambria" w:cs="Arial"/>
                <w:sz w:val="20"/>
                <w:szCs w:val="20"/>
              </w:rPr>
            </w:pPr>
          </w:p>
          <w:p w14:paraId="0E6F625E" w14:textId="77777777" w:rsidR="00E11869" w:rsidRPr="00207748" w:rsidRDefault="00447357" w:rsidP="004454B6">
            <w:pPr>
              <w:spacing w:after="0"/>
              <w:rPr>
                <w:rStyle w:val="Ohne"/>
                <w:rFonts w:ascii="Cambria" w:eastAsia="Arial" w:hAnsi="Cambria" w:cs="Arial"/>
                <w:b/>
                <w:bCs/>
                <w:sz w:val="20"/>
                <w:szCs w:val="20"/>
              </w:rPr>
            </w:pPr>
            <w:r w:rsidRPr="00207748">
              <w:rPr>
                <w:rStyle w:val="Ohne"/>
                <w:rFonts w:ascii="Cambria" w:hAnsi="Cambria" w:cs="Arial"/>
                <w:b/>
                <w:bCs/>
                <w:sz w:val="20"/>
                <w:szCs w:val="20"/>
              </w:rPr>
              <w:t>stark</w:t>
            </w:r>
          </w:p>
          <w:p w14:paraId="621D6259" w14:textId="77777777" w:rsidR="00E11869" w:rsidRPr="00207748" w:rsidRDefault="00E11869" w:rsidP="004454B6">
            <w:pPr>
              <w:spacing w:after="0"/>
              <w:rPr>
                <w:rStyle w:val="Ohne"/>
                <w:rFonts w:ascii="Cambria" w:eastAsia="Arial" w:hAnsi="Cambria" w:cs="Arial"/>
                <w:b/>
                <w:bCs/>
                <w:sz w:val="20"/>
                <w:szCs w:val="20"/>
              </w:rPr>
            </w:pPr>
          </w:p>
          <w:p w14:paraId="1C52E4FF"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Evidenzgrad</w:t>
            </w:r>
          </w:p>
          <w:p w14:paraId="3327DD5C" w14:textId="77777777" w:rsidR="00E11869" w:rsidRPr="00207748" w:rsidRDefault="00E11869" w:rsidP="004454B6">
            <w:pPr>
              <w:spacing w:after="0"/>
              <w:rPr>
                <w:rStyle w:val="Ohne"/>
                <w:rFonts w:ascii="Cambria" w:eastAsia="Arial" w:hAnsi="Cambria" w:cs="Arial"/>
                <w:sz w:val="20"/>
                <w:szCs w:val="20"/>
              </w:rPr>
            </w:pPr>
          </w:p>
          <w:p w14:paraId="1B63DA48"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moderat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9B70C"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Wir empfehlen die Beatmung von Patienten mit ARDS mit einem V</w:t>
            </w:r>
            <w:r w:rsidRPr="00207748">
              <w:rPr>
                <w:rStyle w:val="Ohne"/>
                <w:rFonts w:ascii="Cambria" w:hAnsi="Cambria" w:cs="Arial"/>
                <w:b/>
                <w:bCs/>
                <w:sz w:val="20"/>
                <w:szCs w:val="20"/>
                <w:vertAlign w:val="subscript"/>
              </w:rPr>
              <w:t>T</w:t>
            </w:r>
            <w:r w:rsidRPr="00207748">
              <w:rPr>
                <w:rStyle w:val="Ohne"/>
                <w:rFonts w:ascii="Cambria" w:hAnsi="Cambria" w:cs="Arial"/>
                <w:b/>
                <w:bCs/>
                <w:sz w:val="20"/>
                <w:szCs w:val="20"/>
              </w:rPr>
              <w:t xml:space="preserve"> ≤ 6 ml/kg Standard-</w:t>
            </w:r>
            <w:r w:rsidR="00E873A9" w:rsidRPr="00207748">
              <w:rPr>
                <w:rStyle w:val="Ohne"/>
                <w:rFonts w:ascii="Cambria" w:hAnsi="Cambria" w:cs="Arial"/>
                <w:b/>
                <w:bCs/>
                <w:sz w:val="20"/>
                <w:szCs w:val="20"/>
              </w:rPr>
              <w:t>Körpergewicht (</w:t>
            </w:r>
            <w:r w:rsidRPr="00207748">
              <w:rPr>
                <w:rStyle w:val="Ohne"/>
                <w:rFonts w:ascii="Cambria" w:hAnsi="Cambria" w:cs="Arial"/>
                <w:b/>
                <w:bCs/>
                <w:sz w:val="20"/>
                <w:szCs w:val="20"/>
              </w:rPr>
              <w:t>KG</w:t>
            </w:r>
            <w:r w:rsidR="00E873A9" w:rsidRPr="00207748">
              <w:rPr>
                <w:rStyle w:val="Ohne"/>
                <w:rFonts w:ascii="Cambria" w:hAnsi="Cambria" w:cs="Arial"/>
                <w:b/>
                <w:bCs/>
                <w:sz w:val="20"/>
                <w:szCs w:val="20"/>
              </w:rPr>
              <w:t>)</w:t>
            </w:r>
            <w:r w:rsidRPr="00207748">
              <w:rPr>
                <w:rStyle w:val="Ohne"/>
                <w:rFonts w:ascii="Cambria" w:hAnsi="Cambria" w:cs="Arial"/>
                <w:b/>
                <w:bCs/>
                <w:sz w:val="20"/>
                <w:szCs w:val="20"/>
              </w:rPr>
              <w:t>.</w:t>
            </w:r>
            <w:r w:rsidR="003B1537" w:rsidRPr="00207748">
              <w:rPr>
                <w:rStyle w:val="Ohne"/>
                <w:rFonts w:ascii="Cambria" w:hAnsi="Cambria" w:cs="Arial"/>
                <w:b/>
                <w:bCs/>
                <w:sz w:val="20"/>
                <w:szCs w:val="20"/>
              </w:rPr>
              <w:t xml:space="preserve"> (Tabelle 1, Anhang)</w:t>
            </w:r>
          </w:p>
        </w:tc>
      </w:tr>
      <w:tr w:rsidR="00E11869" w:rsidRPr="00207748" w14:paraId="530A297C" w14:textId="77777777" w:rsidTr="00342FB3">
        <w:trPr>
          <w:trHeight w:val="56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3763003F"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99403D"/>
              <w:right w:val="single" w:sz="4" w:space="0" w:color="000000"/>
            </w:tcBorders>
            <w:shd w:val="clear" w:color="auto" w:fill="auto"/>
            <w:tcMar>
              <w:top w:w="80" w:type="dxa"/>
              <w:left w:w="80" w:type="dxa"/>
              <w:bottom w:w="80" w:type="dxa"/>
              <w:right w:w="80" w:type="dxa"/>
            </w:tcMar>
            <w:vAlign w:val="center"/>
          </w:tcPr>
          <w:p w14:paraId="6C0D3DD6"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Adaptation der S3-Leitlinie Beatmung</w:t>
            </w:r>
          </w:p>
        </w:tc>
      </w:tr>
      <w:tr w:rsidR="001A58EF" w:rsidRPr="00207748" w14:paraId="3CFB46DD" w14:textId="77777777" w:rsidTr="00342FB3">
        <w:trPr>
          <w:trHeight w:val="562"/>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7E665DE" w14:textId="77777777" w:rsidR="001A58EF" w:rsidRPr="00207748" w:rsidRDefault="001A58EF"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99403D"/>
              <w:right w:val="single" w:sz="4" w:space="0" w:color="000000"/>
            </w:tcBorders>
            <w:shd w:val="clear" w:color="auto" w:fill="auto"/>
            <w:tcMar>
              <w:top w:w="80" w:type="dxa"/>
              <w:left w:w="80" w:type="dxa"/>
              <w:bottom w:w="80" w:type="dxa"/>
              <w:right w:w="80" w:type="dxa"/>
            </w:tcMar>
            <w:vAlign w:val="center"/>
          </w:tcPr>
          <w:p w14:paraId="6CDEDE19" w14:textId="77777777" w:rsidR="001A58EF" w:rsidRPr="00207748" w:rsidRDefault="001A58EF" w:rsidP="004454B6">
            <w:pPr>
              <w:spacing w:after="0"/>
              <w:rPr>
                <w:rStyle w:val="Ohne"/>
                <w:rFonts w:ascii="Cambria" w:hAnsi="Cambria" w:cs="Arial"/>
                <w:bCs/>
                <w:sz w:val="20"/>
                <w:szCs w:val="20"/>
              </w:rPr>
            </w:pPr>
            <w:r w:rsidRPr="00207748">
              <w:rPr>
                <w:rStyle w:val="Ohne"/>
                <w:rFonts w:ascii="Cambria" w:hAnsi="Cambria" w:cs="Arial"/>
                <w:bCs/>
                <w:sz w:val="20"/>
                <w:szCs w:val="20"/>
              </w:rPr>
              <w:t>Konsensstärke: 100%</w:t>
            </w:r>
          </w:p>
        </w:tc>
      </w:tr>
    </w:tbl>
    <w:p w14:paraId="0EDA67C7" w14:textId="77777777" w:rsidR="00342FB3" w:rsidRPr="00207748" w:rsidRDefault="00342FB3" w:rsidP="004454B6">
      <w:pPr>
        <w:spacing w:after="0"/>
        <w:rPr>
          <w:rStyle w:val="Ohne"/>
          <w:rFonts w:ascii="Cambria" w:eastAsia="Arial" w:hAnsi="Cambria" w:cs="Arial"/>
          <w:iCs/>
          <w:sz w:val="20"/>
          <w:szCs w:val="20"/>
        </w:rPr>
      </w:pPr>
    </w:p>
    <w:p w14:paraId="6BCBE873" w14:textId="77777777" w:rsidR="00E11869" w:rsidRPr="00207748" w:rsidRDefault="00420A45" w:rsidP="004454B6">
      <w:pPr>
        <w:spacing w:after="0"/>
        <w:rPr>
          <w:rStyle w:val="Ohne"/>
          <w:rFonts w:ascii="Cambria" w:eastAsia="Arial" w:hAnsi="Cambria" w:cs="Arial"/>
          <w:sz w:val="20"/>
          <w:szCs w:val="20"/>
        </w:rPr>
      </w:pPr>
      <w:r w:rsidRPr="00207748">
        <w:rPr>
          <w:rStyle w:val="Ohne"/>
          <w:rFonts w:ascii="Cambria" w:hAnsi="Cambria" w:cs="Arial"/>
          <w:b/>
          <w:bCs/>
          <w:sz w:val="20"/>
          <w:szCs w:val="20"/>
        </w:rPr>
        <w:t>Begründung:</w:t>
      </w:r>
      <w:r w:rsidR="00342FB3" w:rsidRPr="00207748">
        <w:rPr>
          <w:rStyle w:val="Ohne"/>
          <w:rFonts w:ascii="Cambria" w:eastAsia="Arial" w:hAnsi="Cambria" w:cs="Arial"/>
          <w:sz w:val="20"/>
          <w:szCs w:val="20"/>
        </w:rPr>
        <w:t xml:space="preserve"> </w:t>
      </w:r>
      <w:r w:rsidR="00447357" w:rsidRPr="00207748">
        <w:rPr>
          <w:rStyle w:val="Ohne"/>
          <w:rFonts w:ascii="Cambria" w:hAnsi="Cambria" w:cs="Arial"/>
          <w:sz w:val="20"/>
          <w:szCs w:val="20"/>
        </w:rPr>
        <w:t>Mehrere Meta-Analysen</w:t>
      </w:r>
      <w:bookmarkStart w:id="424" w:name="_Ref30589433"/>
      <w:r w:rsidR="00447357" w:rsidRPr="00207748">
        <w:rPr>
          <w:rStyle w:val="Ohne"/>
          <w:rFonts w:ascii="Cambria" w:eastAsia="Arial" w:hAnsi="Cambria" w:cs="Arial"/>
          <w:sz w:val="20"/>
          <w:szCs w:val="20"/>
          <w:vertAlign w:val="superscript"/>
        </w:rPr>
        <w:endnoteReference w:id="365"/>
      </w:r>
      <w:bookmarkEnd w:id="424"/>
      <w:r w:rsidR="00447357" w:rsidRPr="00207748">
        <w:rPr>
          <w:rStyle w:val="Ohne"/>
          <w:rFonts w:ascii="Cambria" w:hAnsi="Cambria" w:cs="Arial"/>
          <w:sz w:val="20"/>
          <w:szCs w:val="20"/>
        </w:rPr>
        <w:t xml:space="preserve"> </w:t>
      </w:r>
      <w:r w:rsidR="00447357" w:rsidRPr="00207748">
        <w:rPr>
          <w:rStyle w:val="Ohne"/>
          <w:rFonts w:ascii="Cambria" w:eastAsia="Arial" w:hAnsi="Cambria" w:cs="Arial"/>
          <w:sz w:val="20"/>
          <w:szCs w:val="20"/>
          <w:vertAlign w:val="superscript"/>
        </w:rPr>
        <w:endnoteReference w:id="366"/>
      </w:r>
      <w:r w:rsidR="00447357" w:rsidRPr="00207748">
        <w:rPr>
          <w:rStyle w:val="Ohne"/>
          <w:rFonts w:ascii="Cambria" w:hAnsi="Cambria" w:cs="Arial"/>
          <w:sz w:val="20"/>
          <w:szCs w:val="20"/>
        </w:rPr>
        <w:t xml:space="preserve"> von RCTs, die eine Beatmung mit kleinem V</w:t>
      </w:r>
      <w:r w:rsidR="00447357" w:rsidRPr="00207748">
        <w:rPr>
          <w:rStyle w:val="Ohne"/>
          <w:rFonts w:ascii="Cambria" w:hAnsi="Cambria" w:cs="Arial"/>
          <w:sz w:val="20"/>
          <w:szCs w:val="20"/>
          <w:vertAlign w:val="subscript"/>
        </w:rPr>
        <w:t>T</w:t>
      </w:r>
      <w:r w:rsidR="00447357" w:rsidRPr="00207748">
        <w:rPr>
          <w:rStyle w:val="Ohne"/>
          <w:rFonts w:ascii="Cambria" w:hAnsi="Cambria" w:cs="Arial"/>
          <w:sz w:val="20"/>
          <w:szCs w:val="20"/>
        </w:rPr>
        <w:t xml:space="preserve"> oder niedrigem endinspiratorischen Atemwegsdrucks (PEI) &lt; 30 cm H</w:t>
      </w:r>
      <w:r w:rsidR="00447357" w:rsidRPr="00207748">
        <w:rPr>
          <w:rStyle w:val="Ohne"/>
          <w:rFonts w:ascii="Cambria" w:hAnsi="Cambria" w:cs="Arial"/>
          <w:sz w:val="20"/>
          <w:szCs w:val="20"/>
          <w:vertAlign w:val="subscript"/>
        </w:rPr>
        <w:t>2</w:t>
      </w:r>
      <w:r w:rsidR="00447357" w:rsidRPr="00207748">
        <w:rPr>
          <w:rStyle w:val="Ohne"/>
          <w:rFonts w:ascii="Cambria" w:hAnsi="Cambria" w:cs="Arial"/>
          <w:sz w:val="20"/>
          <w:szCs w:val="20"/>
        </w:rPr>
        <w:t>O (die in einem V</w:t>
      </w:r>
      <w:r w:rsidR="00447357" w:rsidRPr="00207748">
        <w:rPr>
          <w:rStyle w:val="Ohne"/>
          <w:rFonts w:ascii="Cambria" w:hAnsi="Cambria" w:cs="Arial"/>
          <w:sz w:val="20"/>
          <w:szCs w:val="20"/>
          <w:vertAlign w:val="subscript"/>
        </w:rPr>
        <w:t>T</w:t>
      </w:r>
      <w:r w:rsidR="00447357" w:rsidRPr="00207748">
        <w:rPr>
          <w:rStyle w:val="Ohne"/>
          <w:rFonts w:ascii="Cambria" w:hAnsi="Cambria" w:cs="Arial"/>
          <w:sz w:val="20"/>
          <w:szCs w:val="20"/>
        </w:rPr>
        <w:t xml:space="preserve"> &lt; 7 ml/kg KG resultierten) gegen eine Beatmung mit V</w:t>
      </w:r>
      <w:r w:rsidR="00447357" w:rsidRPr="00207748">
        <w:rPr>
          <w:rStyle w:val="Ohne"/>
          <w:rFonts w:ascii="Cambria" w:hAnsi="Cambria" w:cs="Arial"/>
          <w:sz w:val="20"/>
          <w:szCs w:val="20"/>
          <w:vertAlign w:val="subscript"/>
        </w:rPr>
        <w:t>T</w:t>
      </w:r>
      <w:r w:rsidR="00447357" w:rsidRPr="00207748">
        <w:rPr>
          <w:rStyle w:val="Ohne"/>
          <w:rFonts w:ascii="Cambria" w:hAnsi="Cambria" w:cs="Arial"/>
          <w:sz w:val="20"/>
          <w:szCs w:val="20"/>
        </w:rPr>
        <w:t xml:space="preserve"> 10 bis 15 ml/kg KG mit und ohne Änderung des positiven endexspiratorischen Drucks (</w:t>
      </w:r>
      <w:r w:rsidR="001A58EF" w:rsidRPr="00207748">
        <w:rPr>
          <w:rStyle w:val="Ohne"/>
          <w:rFonts w:ascii="Cambria" w:hAnsi="Cambria" w:cs="Arial"/>
          <w:sz w:val="20"/>
          <w:szCs w:val="20"/>
        </w:rPr>
        <w:t>P</w:t>
      </w:r>
      <w:r w:rsidR="00447357" w:rsidRPr="00207748">
        <w:rPr>
          <w:rStyle w:val="Ohne"/>
          <w:rFonts w:ascii="Cambria" w:hAnsi="Cambria" w:cs="Arial"/>
          <w:sz w:val="20"/>
          <w:szCs w:val="20"/>
        </w:rPr>
        <w:t xml:space="preserve">ositive </w:t>
      </w:r>
      <w:r w:rsidR="001A58EF" w:rsidRPr="00207748">
        <w:rPr>
          <w:rStyle w:val="Ohne"/>
          <w:rFonts w:ascii="Cambria" w:hAnsi="Cambria" w:cs="Arial"/>
          <w:sz w:val="20"/>
          <w:szCs w:val="20"/>
        </w:rPr>
        <w:t>E</w:t>
      </w:r>
      <w:r w:rsidR="00447357" w:rsidRPr="00207748">
        <w:rPr>
          <w:rStyle w:val="Ohne"/>
          <w:rFonts w:ascii="Cambria" w:hAnsi="Cambria" w:cs="Arial"/>
          <w:sz w:val="20"/>
          <w:szCs w:val="20"/>
        </w:rPr>
        <w:t>nd-</w:t>
      </w:r>
      <w:r w:rsidR="001A58EF" w:rsidRPr="00207748">
        <w:rPr>
          <w:rStyle w:val="Ohne"/>
          <w:rFonts w:ascii="Cambria" w:hAnsi="Cambria" w:cs="Arial"/>
          <w:sz w:val="20"/>
          <w:szCs w:val="20"/>
        </w:rPr>
        <w:t>E</w:t>
      </w:r>
      <w:r w:rsidR="00447357" w:rsidRPr="00207748">
        <w:rPr>
          <w:rStyle w:val="Ohne"/>
          <w:rFonts w:ascii="Cambria" w:hAnsi="Cambria" w:cs="Arial"/>
          <w:sz w:val="20"/>
          <w:szCs w:val="20"/>
        </w:rPr>
        <w:t xml:space="preserve">xpiratory </w:t>
      </w:r>
      <w:r w:rsidR="001A58EF" w:rsidRPr="00207748">
        <w:rPr>
          <w:rStyle w:val="Ohne"/>
          <w:rFonts w:ascii="Cambria" w:hAnsi="Cambria" w:cs="Arial"/>
          <w:sz w:val="20"/>
          <w:szCs w:val="20"/>
        </w:rPr>
        <w:t>P</w:t>
      </w:r>
      <w:r w:rsidR="00447357" w:rsidRPr="00207748">
        <w:rPr>
          <w:rStyle w:val="Ohne"/>
          <w:rFonts w:ascii="Cambria" w:hAnsi="Cambria" w:cs="Arial"/>
          <w:sz w:val="20"/>
          <w:szCs w:val="20"/>
        </w:rPr>
        <w:t>ressure</w:t>
      </w:r>
      <w:r w:rsidR="001A58EF" w:rsidRPr="00207748">
        <w:rPr>
          <w:rStyle w:val="Ohne"/>
          <w:rFonts w:ascii="Cambria" w:hAnsi="Cambria" w:cs="Arial"/>
          <w:sz w:val="20"/>
          <w:szCs w:val="20"/>
        </w:rPr>
        <w:t>, PEEP</w:t>
      </w:r>
      <w:r w:rsidR="00447357" w:rsidRPr="00207748">
        <w:rPr>
          <w:rStyle w:val="Ohne"/>
          <w:rFonts w:ascii="Cambria" w:hAnsi="Cambria" w:cs="Arial"/>
          <w:sz w:val="20"/>
          <w:szCs w:val="20"/>
        </w:rPr>
        <w:t>) verglichen haben, zeigen eine Reduktion der Sterblichkeit bei adulten (&gt; 16 Jahre) invasiv beatmeten Patienten mit ARDS</w:t>
      </w:r>
      <w:r w:rsidR="004A09F8" w:rsidRPr="00207748">
        <w:rPr>
          <w:rStyle w:val="Ohne"/>
          <w:rFonts w:ascii="Cambria" w:hAnsi="Cambria" w:cs="Arial"/>
          <w:sz w:val="20"/>
          <w:szCs w:val="20"/>
        </w:rPr>
        <w:t>.</w:t>
      </w:r>
      <w:r w:rsidR="00447357" w:rsidRPr="00207748">
        <w:rPr>
          <w:rStyle w:val="Ohne"/>
          <w:rFonts w:ascii="Cambria" w:eastAsia="Arial" w:hAnsi="Cambria" w:cs="Arial"/>
          <w:sz w:val="20"/>
          <w:szCs w:val="20"/>
          <w:vertAlign w:val="superscript"/>
        </w:rPr>
        <w:endnoteReference w:id="367"/>
      </w:r>
      <w:r w:rsidR="00447357" w:rsidRPr="00207748">
        <w:rPr>
          <w:rStyle w:val="Ohne"/>
          <w:rFonts w:ascii="Cambria" w:hAnsi="Cambria" w:cs="Arial"/>
          <w:sz w:val="20"/>
          <w:szCs w:val="20"/>
        </w:rPr>
        <w:t xml:space="preserve"> </w:t>
      </w:r>
      <w:bookmarkStart w:id="425" w:name="_Ref31194204"/>
      <w:r w:rsidR="00447357" w:rsidRPr="00207748">
        <w:rPr>
          <w:rStyle w:val="Ohne"/>
          <w:rFonts w:ascii="Cambria" w:eastAsia="Arial" w:hAnsi="Cambria" w:cs="Arial"/>
          <w:sz w:val="20"/>
          <w:szCs w:val="20"/>
          <w:vertAlign w:val="superscript"/>
        </w:rPr>
        <w:endnoteReference w:id="368"/>
      </w:r>
      <w:bookmarkEnd w:id="425"/>
      <w:r w:rsidR="00447357" w:rsidRPr="00207748">
        <w:rPr>
          <w:rStyle w:val="Ohne"/>
          <w:rFonts w:ascii="Cambria" w:hAnsi="Cambria" w:cs="Arial"/>
          <w:sz w:val="20"/>
          <w:szCs w:val="20"/>
        </w:rPr>
        <w:t xml:space="preserve"> </w:t>
      </w:r>
      <w:bookmarkStart w:id="426" w:name="_Ref31193821"/>
      <w:r w:rsidR="00447357" w:rsidRPr="00207748">
        <w:rPr>
          <w:rStyle w:val="Ohne"/>
          <w:rFonts w:ascii="Cambria" w:eastAsia="Arial" w:hAnsi="Cambria" w:cs="Arial"/>
          <w:sz w:val="20"/>
          <w:szCs w:val="20"/>
          <w:vertAlign w:val="superscript"/>
        </w:rPr>
        <w:endnoteReference w:id="369"/>
      </w:r>
      <w:bookmarkEnd w:id="426"/>
      <w:r w:rsidR="00447357" w:rsidRPr="00207748">
        <w:rPr>
          <w:rStyle w:val="Ohne"/>
          <w:rFonts w:ascii="Cambria" w:hAnsi="Cambria" w:cs="Arial"/>
          <w:sz w:val="20"/>
          <w:szCs w:val="20"/>
        </w:rPr>
        <w:t xml:space="preserve"> </w:t>
      </w:r>
    </w:p>
    <w:p w14:paraId="08A17599"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Die aktuelle internationale Leitlinie der SSC empfiehlt zur Beatmung bei Patienten mit ARDS, die eine schwerere Sepsis bzw. einen septischen Schock aufweisen, ein V</w:t>
      </w:r>
      <w:r w:rsidRPr="00207748">
        <w:rPr>
          <w:rStyle w:val="Ohne"/>
          <w:rFonts w:ascii="Cambria" w:hAnsi="Cambria" w:cs="Arial"/>
          <w:sz w:val="20"/>
          <w:szCs w:val="20"/>
          <w:vertAlign w:val="subscript"/>
        </w:rPr>
        <w:t>T</w:t>
      </w:r>
      <w:r w:rsidRPr="00207748">
        <w:rPr>
          <w:rStyle w:val="Ohne"/>
          <w:rFonts w:ascii="Cambria" w:hAnsi="Cambria" w:cs="Arial"/>
          <w:sz w:val="20"/>
          <w:szCs w:val="20"/>
        </w:rPr>
        <w:t xml:space="preserve"> ≤ 6 ml/kg Standard-KG (starke Empfehlung, hohe Qualität der Evidenz), </w:t>
      </w:r>
      <w:r w:rsidRPr="00207748">
        <w:rPr>
          <w:rStyle w:val="Ohne"/>
          <w:rFonts w:ascii="Cambria" w:hAnsi="Cambria" w:cs="Arial"/>
          <w:sz w:val="20"/>
          <w:szCs w:val="20"/>
        </w:rPr>
        <w:lastRenderedPageBreak/>
        <w:t>um einen P</w:t>
      </w:r>
      <w:r w:rsidRPr="00207748">
        <w:rPr>
          <w:rStyle w:val="Ohne"/>
          <w:rFonts w:ascii="Cambria" w:hAnsi="Cambria" w:cs="Arial"/>
          <w:sz w:val="20"/>
          <w:szCs w:val="20"/>
          <w:vertAlign w:val="subscript"/>
        </w:rPr>
        <w:t>EI</w:t>
      </w:r>
      <w:r w:rsidRPr="00207748">
        <w:rPr>
          <w:rStyle w:val="Ohne"/>
          <w:rFonts w:ascii="Cambria" w:hAnsi="Cambria" w:cs="Arial"/>
          <w:sz w:val="20"/>
          <w:szCs w:val="20"/>
        </w:rPr>
        <w:t xml:space="preserve"> &lt; 30 cm H</w:t>
      </w:r>
      <w:r w:rsidRPr="00207748">
        <w:rPr>
          <w:rStyle w:val="Ohne"/>
          <w:rFonts w:ascii="Cambria" w:hAnsi="Cambria" w:cs="Arial"/>
          <w:sz w:val="20"/>
          <w:szCs w:val="20"/>
          <w:vertAlign w:val="subscript"/>
        </w:rPr>
        <w:t>2</w:t>
      </w:r>
      <w:r w:rsidRPr="00207748">
        <w:rPr>
          <w:rStyle w:val="Ohne"/>
          <w:rFonts w:ascii="Cambria" w:hAnsi="Cambria" w:cs="Arial"/>
          <w:sz w:val="20"/>
          <w:szCs w:val="20"/>
        </w:rPr>
        <w:t>O anzustreben (starke Empfehlung, moderate Qualität der Evidenz).</w:t>
      </w:r>
    </w:p>
    <w:p w14:paraId="35291EC3" w14:textId="6DDFE4F8" w:rsidR="00E11869" w:rsidRPr="00207748" w:rsidRDefault="00447357" w:rsidP="004454B6">
      <w:pPr>
        <w:rPr>
          <w:rStyle w:val="Ohne"/>
          <w:rFonts w:ascii="Cambria" w:eastAsia="Arial" w:hAnsi="Cambria" w:cs="Arial"/>
          <w:sz w:val="20"/>
          <w:szCs w:val="20"/>
          <w:shd w:val="clear" w:color="auto" w:fill="FFFF00"/>
        </w:rPr>
      </w:pPr>
      <w:r w:rsidRPr="00207748">
        <w:rPr>
          <w:rStyle w:val="Ohne"/>
          <w:rFonts w:ascii="Cambria" w:hAnsi="Cambria" w:cs="Arial"/>
          <w:sz w:val="20"/>
          <w:szCs w:val="20"/>
        </w:rPr>
        <w:t>Aufgrund dieser nachgewiesenen Reduktion der Sterblichkeit von Patienten mit ARDS durch eine Beatmung mit niedrigen Tidalvolumina bei fehlendem Nachweis von relevantem Schaden vergibt d</w:t>
      </w:r>
      <w:r w:rsidR="00524587" w:rsidRPr="00207748">
        <w:rPr>
          <w:rStyle w:val="Ohne"/>
          <w:rFonts w:ascii="Cambria" w:hAnsi="Cambria" w:cs="Arial"/>
          <w:sz w:val="20"/>
          <w:szCs w:val="20"/>
        </w:rPr>
        <w:t>ie</w:t>
      </w:r>
      <w:r w:rsidRPr="00207748">
        <w:rPr>
          <w:rStyle w:val="Ohne"/>
          <w:rFonts w:ascii="Cambria" w:hAnsi="Cambria" w:cs="Arial"/>
          <w:sz w:val="20"/>
          <w:szCs w:val="20"/>
        </w:rPr>
        <w:t xml:space="preserve"> Leitlinien</w:t>
      </w:r>
      <w:r w:rsidR="00524587" w:rsidRPr="00207748">
        <w:rPr>
          <w:rStyle w:val="Ohne"/>
          <w:rFonts w:ascii="Cambria" w:hAnsi="Cambria" w:cs="Arial"/>
          <w:sz w:val="20"/>
          <w:szCs w:val="20"/>
        </w:rPr>
        <w:t>kommission</w:t>
      </w:r>
      <w:r w:rsidRPr="00207748">
        <w:rPr>
          <w:rStyle w:val="Ohne"/>
          <w:rFonts w:ascii="Cambria" w:hAnsi="Cambria" w:cs="Arial"/>
          <w:sz w:val="20"/>
          <w:szCs w:val="20"/>
        </w:rPr>
        <w:t xml:space="preserve"> eine starke Empfehlung für die Beatmung von invasiv beatmeten Patienten mit ARDS mit einem Tidalvolumen V</w:t>
      </w:r>
      <w:r w:rsidRPr="00207748">
        <w:rPr>
          <w:rStyle w:val="Ohne"/>
          <w:rFonts w:ascii="Cambria" w:hAnsi="Cambria" w:cs="Arial"/>
          <w:sz w:val="20"/>
          <w:szCs w:val="20"/>
          <w:vertAlign w:val="subscript"/>
        </w:rPr>
        <w:t>T</w:t>
      </w:r>
      <w:r w:rsidRPr="00207748">
        <w:rPr>
          <w:rStyle w:val="Ohne"/>
          <w:rFonts w:ascii="Cambria" w:hAnsi="Cambria" w:cs="Arial"/>
          <w:sz w:val="20"/>
          <w:szCs w:val="20"/>
        </w:rPr>
        <w:t xml:space="preserve"> ≤ 6 ml/kg Standard-KG. Die Anwendung von V</w:t>
      </w:r>
      <w:r w:rsidRPr="00207748">
        <w:rPr>
          <w:rStyle w:val="Ohne"/>
          <w:rFonts w:ascii="Cambria" w:hAnsi="Cambria" w:cs="Arial"/>
          <w:sz w:val="20"/>
          <w:szCs w:val="20"/>
          <w:vertAlign w:val="subscript"/>
        </w:rPr>
        <w:t>T</w:t>
      </w:r>
      <w:r w:rsidRPr="00207748">
        <w:rPr>
          <w:rStyle w:val="Ohne"/>
          <w:rFonts w:ascii="Cambria" w:hAnsi="Cambria" w:cs="Arial"/>
          <w:sz w:val="20"/>
          <w:szCs w:val="20"/>
        </w:rPr>
        <w:t xml:space="preserve"> ≤ 6 ml/kg Standard-KG, um einen PEI &lt; 30 cm H</w:t>
      </w:r>
      <w:r w:rsidRPr="00207748">
        <w:rPr>
          <w:rStyle w:val="Ohne"/>
          <w:rFonts w:ascii="Cambria" w:hAnsi="Cambria" w:cs="Arial"/>
          <w:sz w:val="20"/>
          <w:szCs w:val="20"/>
          <w:vertAlign w:val="subscript"/>
        </w:rPr>
        <w:t>2</w:t>
      </w:r>
      <w:r w:rsidRPr="00207748">
        <w:rPr>
          <w:rStyle w:val="Ohne"/>
          <w:rFonts w:ascii="Cambria" w:hAnsi="Cambria" w:cs="Arial"/>
          <w:sz w:val="20"/>
          <w:szCs w:val="20"/>
        </w:rPr>
        <w:t>O zu erreichen, kann in unterschiedlichem Ausmaß zur Hyperkapnie und respiratorischer Azidose führen. Die resultierende Hyperkapnie und respiratorischer Azidose wurden in den RCTs in unterschiedlichem Ausmaß toleriert und therapiert</w:t>
      </w:r>
      <w:r w:rsidR="00E06C25" w:rsidRPr="006B2B71">
        <w:rPr>
          <w:rStyle w:val="EndnoteRealZchn"/>
        </w:rPr>
        <w:t>.</w:t>
      </w:r>
      <w:r w:rsidR="006B2B71" w:rsidRPr="006B2B71">
        <w:rPr>
          <w:rStyle w:val="EndnoteRealZchn"/>
        </w:rPr>
        <w:fldChar w:fldCharType="begin"/>
      </w:r>
      <w:r w:rsidR="006B2B71" w:rsidRPr="006B2B71">
        <w:rPr>
          <w:rStyle w:val="EndnoteRealZchn"/>
        </w:rPr>
        <w:instrText xml:space="preserve"> NOTEREF _Ref30589433 \h </w:instrText>
      </w:r>
      <w:r w:rsidR="006B2B71">
        <w:rPr>
          <w:rStyle w:val="EndnoteRealZchn"/>
        </w:rPr>
        <w:instrText xml:space="preserve"> \* MERGEFORMAT </w:instrText>
      </w:r>
      <w:r w:rsidR="006B2B71" w:rsidRPr="006B2B71">
        <w:rPr>
          <w:rStyle w:val="EndnoteRealZchn"/>
        </w:rPr>
      </w:r>
      <w:r w:rsidR="006B2B71" w:rsidRPr="006B2B71">
        <w:rPr>
          <w:rStyle w:val="EndnoteRealZchn"/>
        </w:rPr>
        <w:fldChar w:fldCharType="separate"/>
      </w:r>
      <w:r w:rsidR="001A283B">
        <w:rPr>
          <w:rStyle w:val="EndnoteRealZchn"/>
        </w:rPr>
        <w:t>406</w:t>
      </w:r>
      <w:r w:rsidR="006B2B71" w:rsidRPr="006B2B71">
        <w:rPr>
          <w:rStyle w:val="EndnoteRealZchn"/>
        </w:rPr>
        <w:fldChar w:fldCharType="end"/>
      </w:r>
      <w:r w:rsidRPr="00207748">
        <w:rPr>
          <w:rStyle w:val="Ohne"/>
          <w:rFonts w:ascii="Cambria" w:hAnsi="Cambria" w:cs="Arial"/>
          <w:sz w:val="20"/>
          <w:szCs w:val="20"/>
        </w:rPr>
        <w:t xml:space="preserve"> Hyperkapnie und respiratorische Azidose können bei kritisch kranken Patienten den intrakranialen Druck erhöhen, eine pulmonale Hypertension und eine myokardiale Depression verstärken sowie den renalen Blutfluss reduzieren</w:t>
      </w:r>
      <w:r w:rsidR="00E06C25" w:rsidRPr="00207748">
        <w:rPr>
          <w:rStyle w:val="Ohne"/>
          <w:rFonts w:ascii="Cambria" w:hAnsi="Cambria" w:cs="Arial"/>
          <w:sz w:val="20"/>
          <w:szCs w:val="20"/>
        </w:rPr>
        <w:t>.</w:t>
      </w:r>
      <w:r w:rsidRPr="00207748">
        <w:rPr>
          <w:rStyle w:val="Ohne"/>
          <w:rFonts w:ascii="Cambria" w:eastAsia="Arial" w:hAnsi="Cambria" w:cs="Arial"/>
          <w:sz w:val="20"/>
          <w:szCs w:val="20"/>
          <w:vertAlign w:val="superscript"/>
        </w:rPr>
        <w:endnoteReference w:id="370"/>
      </w:r>
      <w:r w:rsidRPr="00207748">
        <w:rPr>
          <w:rStyle w:val="Ohne"/>
          <w:rFonts w:ascii="Cambria" w:hAnsi="Cambria" w:cs="Arial"/>
          <w:sz w:val="20"/>
          <w:szCs w:val="20"/>
        </w:rPr>
        <w:t xml:space="preserve"> Bei Patienten, bei denen aufgrund der Grunderkrankung eine Hyperkapnie und respiratorische Azidose vermieden werden sollen, ist daher Nutzen und Risiko der Reduktion des V</w:t>
      </w:r>
      <w:r w:rsidRPr="00207748">
        <w:rPr>
          <w:rStyle w:val="Ohne"/>
          <w:rFonts w:ascii="Cambria" w:hAnsi="Cambria" w:cs="Arial"/>
          <w:sz w:val="20"/>
          <w:szCs w:val="20"/>
          <w:vertAlign w:val="subscript"/>
        </w:rPr>
        <w:t>T</w:t>
      </w:r>
      <w:r w:rsidRPr="00207748">
        <w:rPr>
          <w:rStyle w:val="Ohne"/>
          <w:rFonts w:ascii="Cambria" w:hAnsi="Cambria" w:cs="Arial"/>
          <w:sz w:val="20"/>
          <w:szCs w:val="20"/>
        </w:rPr>
        <w:t xml:space="preserve"> individuell zu bewerten</w:t>
      </w:r>
      <w:r w:rsidR="00E06C25" w:rsidRPr="00207748">
        <w:rPr>
          <w:rStyle w:val="Ohne"/>
          <w:rFonts w:ascii="Cambria" w:hAnsi="Cambria" w:cs="Arial"/>
          <w:sz w:val="20"/>
          <w:szCs w:val="20"/>
        </w:rPr>
        <w:t>.</w:t>
      </w:r>
      <w:r w:rsidRPr="00207748">
        <w:rPr>
          <w:rStyle w:val="Ohne"/>
          <w:rFonts w:ascii="Cambria" w:eastAsia="Arial" w:hAnsi="Cambria" w:cs="Arial"/>
          <w:sz w:val="20"/>
          <w:szCs w:val="20"/>
          <w:vertAlign w:val="superscript"/>
        </w:rPr>
        <w:endnoteReference w:id="371"/>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02"/>
        <w:gridCol w:w="850"/>
      </w:tblGrid>
      <w:tr w:rsidR="00E11869" w:rsidRPr="00207748" w14:paraId="215821B6"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058DF0D1" w14:textId="77777777" w:rsidR="00E11869" w:rsidRPr="00207748" w:rsidRDefault="00447357" w:rsidP="004454B6">
            <w:pPr>
              <w:rPr>
                <w:rStyle w:val="Ohne"/>
                <w:rFonts w:ascii="Cambria" w:hAnsi="Cambria"/>
                <w:b/>
                <w:bCs/>
                <w:sz w:val="20"/>
                <w:szCs w:val="20"/>
              </w:rPr>
            </w:pPr>
            <w:r w:rsidRPr="00207748">
              <w:rPr>
                <w:rStyle w:val="Ohne"/>
                <w:rFonts w:ascii="Cambria" w:hAnsi="Cambria" w:cs="Arial"/>
                <w:b/>
                <w:bCs/>
                <w:sz w:val="20"/>
                <w:szCs w:val="20"/>
              </w:rPr>
              <w:t xml:space="preserve">M.2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315C2A77"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37D5D4F9"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72539727" w14:textId="77777777" w:rsidTr="00334AF5">
        <w:trPr>
          <w:trHeight w:val="144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20102"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Empfehlungsgrad</w:t>
            </w:r>
          </w:p>
          <w:p w14:paraId="46BD84EA" w14:textId="77777777" w:rsidR="00E11869" w:rsidRPr="00207748" w:rsidRDefault="00E11869" w:rsidP="004454B6">
            <w:pPr>
              <w:spacing w:after="0"/>
              <w:rPr>
                <w:rStyle w:val="Ohne"/>
                <w:rFonts w:ascii="Cambria" w:eastAsia="Arial" w:hAnsi="Cambria" w:cs="Arial"/>
                <w:sz w:val="20"/>
                <w:szCs w:val="20"/>
              </w:rPr>
            </w:pPr>
          </w:p>
          <w:p w14:paraId="6FA0E104" w14:textId="77777777" w:rsidR="00E11869" w:rsidRPr="00207748" w:rsidRDefault="00447357" w:rsidP="004454B6">
            <w:pPr>
              <w:spacing w:after="0"/>
              <w:rPr>
                <w:rStyle w:val="Ohne"/>
                <w:rFonts w:ascii="Cambria" w:eastAsia="Arial" w:hAnsi="Cambria" w:cs="Arial"/>
                <w:b/>
                <w:bCs/>
                <w:sz w:val="20"/>
                <w:szCs w:val="20"/>
              </w:rPr>
            </w:pPr>
            <w:r w:rsidRPr="00207748">
              <w:rPr>
                <w:rStyle w:val="Ohne"/>
                <w:rFonts w:ascii="Cambria" w:hAnsi="Cambria" w:cs="Arial"/>
                <w:b/>
                <w:bCs/>
                <w:sz w:val="20"/>
                <w:szCs w:val="20"/>
              </w:rPr>
              <w:t>stark</w:t>
            </w:r>
          </w:p>
          <w:p w14:paraId="09E558C2" w14:textId="77777777" w:rsidR="00E11869" w:rsidRPr="00207748" w:rsidRDefault="00E11869" w:rsidP="004454B6">
            <w:pPr>
              <w:spacing w:after="0"/>
              <w:rPr>
                <w:rStyle w:val="Ohne"/>
                <w:rFonts w:ascii="Cambria" w:eastAsia="Arial" w:hAnsi="Cambria" w:cs="Arial"/>
                <w:sz w:val="20"/>
                <w:szCs w:val="20"/>
              </w:rPr>
            </w:pPr>
          </w:p>
          <w:p w14:paraId="3E8AB928"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Evidenzgrad</w:t>
            </w:r>
          </w:p>
          <w:p w14:paraId="6AEE1396" w14:textId="77777777" w:rsidR="00E11869" w:rsidRPr="00207748" w:rsidRDefault="00E11869" w:rsidP="004454B6">
            <w:pPr>
              <w:spacing w:after="0"/>
              <w:rPr>
                <w:rStyle w:val="Ohne"/>
                <w:rFonts w:ascii="Cambria" w:eastAsia="Arial" w:hAnsi="Cambria" w:cs="Arial"/>
                <w:sz w:val="20"/>
                <w:szCs w:val="20"/>
              </w:rPr>
            </w:pPr>
          </w:p>
          <w:p w14:paraId="4A725C73"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moderat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18477"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Wir empfehlen die invasive Beatmung von Patienten ohne ARDS mit einem V</w:t>
            </w:r>
            <w:r w:rsidRPr="00207748">
              <w:rPr>
                <w:rStyle w:val="Ohne"/>
                <w:rFonts w:ascii="Cambria" w:hAnsi="Cambria" w:cs="Arial"/>
                <w:b/>
                <w:bCs/>
                <w:sz w:val="20"/>
                <w:szCs w:val="20"/>
                <w:vertAlign w:val="subscript"/>
              </w:rPr>
              <w:t>T</w:t>
            </w:r>
            <w:r w:rsidRPr="00207748">
              <w:rPr>
                <w:rStyle w:val="Ohne"/>
                <w:rFonts w:ascii="Cambria" w:hAnsi="Cambria" w:cs="Arial"/>
                <w:b/>
                <w:bCs/>
                <w:sz w:val="20"/>
                <w:szCs w:val="20"/>
              </w:rPr>
              <w:t xml:space="preserve"> von 6 - 8 ml/kg Standard-KG.</w:t>
            </w:r>
          </w:p>
        </w:tc>
      </w:tr>
      <w:tr w:rsidR="00E11869" w:rsidRPr="00207748" w14:paraId="1CA88A96" w14:textId="77777777" w:rsidTr="00342FB3">
        <w:trPr>
          <w:trHeight w:val="56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0BDAAFC7"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961B77"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Adaptation der S3-Leitlinie Beatmung</w:t>
            </w:r>
          </w:p>
        </w:tc>
      </w:tr>
      <w:tr w:rsidR="00E11869" w:rsidRPr="00207748" w14:paraId="6F9413D0"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9549E"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FE6C0"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Konsensstärke: 100 %</w:t>
            </w:r>
          </w:p>
        </w:tc>
      </w:tr>
    </w:tbl>
    <w:p w14:paraId="1EC8F805" w14:textId="5412F845" w:rsidR="00E11869" w:rsidRPr="00207748" w:rsidRDefault="00420A45" w:rsidP="004454B6">
      <w:pPr>
        <w:spacing w:before="240"/>
        <w:rPr>
          <w:rStyle w:val="Ohne"/>
          <w:rFonts w:ascii="Cambria" w:eastAsia="Arial" w:hAnsi="Cambria" w:cs="Arial"/>
          <w:sz w:val="20"/>
          <w:szCs w:val="20"/>
        </w:rPr>
      </w:pPr>
      <w:r w:rsidRPr="00207748">
        <w:rPr>
          <w:rStyle w:val="Ohne"/>
          <w:rFonts w:ascii="Cambria" w:hAnsi="Cambria" w:cs="Arial"/>
          <w:b/>
          <w:bCs/>
          <w:sz w:val="20"/>
          <w:szCs w:val="20"/>
        </w:rPr>
        <w:t>Begründung:</w:t>
      </w:r>
      <w:r w:rsidR="00342FB3" w:rsidRPr="00207748">
        <w:rPr>
          <w:rStyle w:val="Ohne"/>
          <w:rFonts w:ascii="Cambria" w:eastAsia="Arial" w:hAnsi="Cambria" w:cs="Arial"/>
          <w:sz w:val="20"/>
          <w:szCs w:val="20"/>
        </w:rPr>
        <w:t xml:space="preserve"> </w:t>
      </w:r>
      <w:r w:rsidR="00447357" w:rsidRPr="00207748">
        <w:rPr>
          <w:rStyle w:val="Ohne"/>
          <w:rFonts w:ascii="Cambria" w:hAnsi="Cambria" w:cs="Arial"/>
          <w:sz w:val="20"/>
          <w:szCs w:val="20"/>
        </w:rPr>
        <w:t xml:space="preserve">Mehrere Meta-Analysen belegen eine Reduktion der Beatmungsdauer bzw. der postoperativen pulmonalen Komplikationen (PPC) durch die Anwendung von kleinen VT (6 bis 8 ml/kg Standard-KG) bei adulten (&gt; 16 Jahre) Patienten ohne ARDS, die entweder intraoperativ oder auf der ITS invasiv beatmet </w:t>
      </w:r>
      <w:r w:rsidR="00447357" w:rsidRPr="00207748">
        <w:rPr>
          <w:rStyle w:val="Ohne"/>
          <w:rFonts w:ascii="Cambria" w:hAnsi="Cambria" w:cs="Arial"/>
          <w:sz w:val="20"/>
          <w:szCs w:val="20"/>
        </w:rPr>
        <w:lastRenderedPageBreak/>
        <w:t>wurden</w:t>
      </w:r>
      <w:r w:rsidR="00E06C25" w:rsidRPr="00207748">
        <w:rPr>
          <w:rStyle w:val="Ohne"/>
          <w:rFonts w:ascii="Cambria" w:hAnsi="Cambria" w:cs="Arial"/>
          <w:sz w:val="20"/>
          <w:szCs w:val="20"/>
        </w:rPr>
        <w:t>.</w:t>
      </w:r>
      <w:r w:rsidR="00447357" w:rsidRPr="00207748">
        <w:rPr>
          <w:rStyle w:val="Ohne"/>
          <w:rFonts w:ascii="Cambria" w:eastAsia="Arial" w:hAnsi="Cambria" w:cs="Arial"/>
          <w:sz w:val="20"/>
          <w:szCs w:val="20"/>
          <w:vertAlign w:val="superscript"/>
        </w:rPr>
        <w:endnoteReference w:id="372"/>
      </w:r>
      <w:r w:rsidR="00447357" w:rsidRPr="00207748">
        <w:rPr>
          <w:rStyle w:val="Ohne"/>
          <w:rFonts w:ascii="Cambria" w:hAnsi="Cambria" w:cs="Arial"/>
          <w:sz w:val="20"/>
          <w:szCs w:val="20"/>
        </w:rPr>
        <w:t xml:space="preserve"> </w:t>
      </w:r>
      <w:bookmarkStart w:id="427" w:name="_Ref31190362"/>
      <w:r w:rsidR="00447357" w:rsidRPr="00207748">
        <w:rPr>
          <w:rStyle w:val="Ohne"/>
          <w:rFonts w:ascii="Cambria" w:eastAsia="Arial" w:hAnsi="Cambria" w:cs="Arial"/>
          <w:sz w:val="20"/>
          <w:szCs w:val="20"/>
          <w:vertAlign w:val="superscript"/>
        </w:rPr>
        <w:endnoteReference w:id="373"/>
      </w:r>
      <w:bookmarkEnd w:id="427"/>
      <w:r w:rsidR="00447357" w:rsidRPr="00207748">
        <w:rPr>
          <w:rStyle w:val="Ohne"/>
          <w:rFonts w:ascii="Cambria" w:hAnsi="Cambria" w:cs="Arial"/>
          <w:sz w:val="20"/>
          <w:szCs w:val="20"/>
        </w:rPr>
        <w:t xml:space="preserve"> </w:t>
      </w:r>
      <w:bookmarkStart w:id="428" w:name="_Ref31190327"/>
      <w:r w:rsidR="00447357" w:rsidRPr="00207748">
        <w:rPr>
          <w:rStyle w:val="Ohne"/>
          <w:rFonts w:ascii="Cambria" w:eastAsia="Arial" w:hAnsi="Cambria" w:cs="Arial"/>
          <w:sz w:val="20"/>
          <w:szCs w:val="20"/>
          <w:vertAlign w:val="superscript"/>
        </w:rPr>
        <w:endnoteReference w:id="374"/>
      </w:r>
      <w:bookmarkEnd w:id="428"/>
      <w:r w:rsidR="00447357" w:rsidRPr="00207748">
        <w:rPr>
          <w:rStyle w:val="Ohne"/>
          <w:rFonts w:ascii="Cambria" w:hAnsi="Cambria" w:cs="Arial"/>
          <w:sz w:val="20"/>
          <w:szCs w:val="20"/>
        </w:rPr>
        <w:t xml:space="preserve"> Zudem zeigte eine Meta-Analyse eine Dosis-Wirkungs-Beziehung zwischen dem Auftreten von PPC und der Größe des VT (R2 = 0,39)</w:t>
      </w:r>
      <w:r w:rsidR="00E06C25" w:rsidRPr="00207748">
        <w:rPr>
          <w:rStyle w:val="Ohne"/>
          <w:rFonts w:ascii="Cambria" w:hAnsi="Cambria" w:cs="Arial"/>
          <w:sz w:val="20"/>
          <w:szCs w:val="20"/>
        </w:rPr>
        <w:t>.</w:t>
      </w:r>
      <w:r w:rsidR="00EF1A9E" w:rsidRPr="00EF1A9E">
        <w:rPr>
          <w:rStyle w:val="EndnoteRealZchn"/>
        </w:rPr>
        <w:fldChar w:fldCharType="begin"/>
      </w:r>
      <w:r w:rsidR="00EF1A9E" w:rsidRPr="00EF1A9E">
        <w:rPr>
          <w:rStyle w:val="EndnoteRealZchn"/>
        </w:rPr>
        <w:instrText xml:space="preserve"> NOTEREF _Ref31190327 \h </w:instrText>
      </w:r>
      <w:r w:rsidR="00EF1A9E">
        <w:rPr>
          <w:rStyle w:val="EndnoteRealZchn"/>
        </w:rPr>
        <w:instrText xml:space="preserve"> \* MERGEFORMAT </w:instrText>
      </w:r>
      <w:r w:rsidR="00EF1A9E" w:rsidRPr="00EF1A9E">
        <w:rPr>
          <w:rStyle w:val="EndnoteRealZchn"/>
        </w:rPr>
      </w:r>
      <w:r w:rsidR="00EF1A9E" w:rsidRPr="00EF1A9E">
        <w:rPr>
          <w:rStyle w:val="EndnoteRealZchn"/>
        </w:rPr>
        <w:fldChar w:fldCharType="separate"/>
      </w:r>
      <w:r w:rsidR="00EF1A9E" w:rsidRPr="00EF1A9E">
        <w:rPr>
          <w:rStyle w:val="EndnoteRealZchn"/>
        </w:rPr>
        <w:t>373</w:t>
      </w:r>
      <w:r w:rsidR="00EF1A9E" w:rsidRPr="00EF1A9E">
        <w:rPr>
          <w:rStyle w:val="EndnoteRealZchn"/>
        </w:rPr>
        <w:fldChar w:fldCharType="end"/>
      </w:r>
      <w:r w:rsidR="00447357" w:rsidRPr="00207748">
        <w:rPr>
          <w:rStyle w:val="Ohne"/>
          <w:rFonts w:ascii="Cambria" w:hAnsi="Cambria" w:cs="Arial"/>
          <w:sz w:val="20"/>
          <w:szCs w:val="20"/>
        </w:rPr>
        <w:t xml:space="preserve"> Aufgrund des nachgewiesenen Nutzens für den Patienten und fehlender Hinweise auf relevante Risiken erteilt d</w:t>
      </w:r>
      <w:r w:rsidR="00524587" w:rsidRPr="00207748">
        <w:rPr>
          <w:rStyle w:val="Ohne"/>
          <w:rFonts w:ascii="Cambria" w:hAnsi="Cambria" w:cs="Arial"/>
          <w:sz w:val="20"/>
          <w:szCs w:val="20"/>
        </w:rPr>
        <w:t>ie</w:t>
      </w:r>
      <w:r w:rsidR="00447357" w:rsidRPr="00207748">
        <w:rPr>
          <w:rStyle w:val="Ohne"/>
          <w:rFonts w:ascii="Cambria" w:hAnsi="Cambria" w:cs="Arial"/>
          <w:sz w:val="20"/>
          <w:szCs w:val="20"/>
        </w:rPr>
        <w:t xml:space="preserve"> Leitlinien</w:t>
      </w:r>
      <w:r w:rsidR="00524587" w:rsidRPr="00207748">
        <w:rPr>
          <w:rStyle w:val="Ohne"/>
          <w:rFonts w:ascii="Cambria" w:hAnsi="Cambria" w:cs="Arial"/>
          <w:sz w:val="20"/>
          <w:szCs w:val="20"/>
        </w:rPr>
        <w:t>kommission</w:t>
      </w:r>
      <w:r w:rsidR="00447357" w:rsidRPr="00207748">
        <w:rPr>
          <w:rStyle w:val="Ohne"/>
          <w:rFonts w:ascii="Cambria" w:hAnsi="Cambria" w:cs="Arial"/>
          <w:sz w:val="20"/>
          <w:szCs w:val="20"/>
        </w:rPr>
        <w:t xml:space="preserve"> eine starke Empfehlung für die invasive Beatmung von Patienten ohne ARDS mit einem VT von 6 - 8 ml/kg Standard-KG. Die Anwendung von VT von 6 bis 8 ml/kg Standard-KG kann auch bei Patienten ohne ARDS in unterschiedlichem Ausmaß zur Hyperkapnie und respiratorischer Azidose führen</w:t>
      </w:r>
      <w:r w:rsidR="00E06C25" w:rsidRPr="00207748">
        <w:rPr>
          <w:rStyle w:val="Ohne"/>
          <w:rFonts w:ascii="Cambria" w:hAnsi="Cambria" w:cs="Arial"/>
          <w:sz w:val="20"/>
          <w:szCs w:val="20"/>
        </w:rPr>
        <w:t>.</w:t>
      </w:r>
      <w:r w:rsidR="00EF1A9E" w:rsidRPr="00EF1A9E">
        <w:rPr>
          <w:rStyle w:val="EndnoteRealZchn"/>
        </w:rPr>
        <w:fldChar w:fldCharType="begin"/>
      </w:r>
      <w:r w:rsidR="00EF1A9E" w:rsidRPr="00EF1A9E">
        <w:rPr>
          <w:rStyle w:val="EndnoteRealZchn"/>
        </w:rPr>
        <w:instrText xml:space="preserve"> NOTEREF _Ref31190362 \h </w:instrText>
      </w:r>
      <w:r w:rsidR="00EF1A9E">
        <w:rPr>
          <w:rStyle w:val="EndnoteRealZchn"/>
        </w:rPr>
        <w:instrText xml:space="preserve"> \* MERGEFORMAT </w:instrText>
      </w:r>
      <w:r w:rsidR="00EF1A9E" w:rsidRPr="00EF1A9E">
        <w:rPr>
          <w:rStyle w:val="EndnoteRealZchn"/>
        </w:rPr>
      </w:r>
      <w:r w:rsidR="00EF1A9E" w:rsidRPr="00EF1A9E">
        <w:rPr>
          <w:rStyle w:val="EndnoteRealZchn"/>
        </w:rPr>
        <w:fldChar w:fldCharType="separate"/>
      </w:r>
      <w:r w:rsidR="00EF1A9E" w:rsidRPr="00EF1A9E">
        <w:rPr>
          <w:rStyle w:val="EndnoteRealZchn"/>
        </w:rPr>
        <w:t>372</w:t>
      </w:r>
      <w:r w:rsidR="00EF1A9E" w:rsidRPr="00EF1A9E">
        <w:rPr>
          <w:rStyle w:val="EndnoteRealZchn"/>
        </w:rPr>
        <w:fldChar w:fldCharType="end"/>
      </w:r>
      <w:r w:rsidR="00447357" w:rsidRPr="00207748">
        <w:rPr>
          <w:rStyle w:val="Ohne"/>
          <w:rFonts w:ascii="Cambria" w:hAnsi="Cambria" w:cs="Arial"/>
          <w:sz w:val="20"/>
          <w:szCs w:val="20"/>
        </w:rPr>
        <w:t xml:space="preserve"> Hyperkapnie und respiratorische Azidose können bei kritisch kranken Patienten den intrakranialen Druck erhöhen, eine pulmonale Hypertension und myokardiale Depression verstärken sowie den renalen Blutfluss reduzieren</w:t>
      </w:r>
      <w:r w:rsidR="00E06C25" w:rsidRPr="00207748">
        <w:rPr>
          <w:rStyle w:val="Ohne"/>
          <w:rFonts w:ascii="Cambria" w:hAnsi="Cambria" w:cs="Arial"/>
          <w:sz w:val="20"/>
          <w:szCs w:val="20"/>
        </w:rPr>
        <w:t>.</w:t>
      </w:r>
      <w:r w:rsidR="00447357" w:rsidRPr="00207748">
        <w:rPr>
          <w:rStyle w:val="Ohne"/>
          <w:rFonts w:ascii="Cambria" w:eastAsia="Arial" w:hAnsi="Cambria" w:cs="Arial"/>
          <w:sz w:val="20"/>
          <w:szCs w:val="20"/>
          <w:vertAlign w:val="superscript"/>
        </w:rPr>
        <w:endnoteReference w:id="375"/>
      </w:r>
      <w:r w:rsidR="00447357" w:rsidRPr="00207748">
        <w:rPr>
          <w:rStyle w:val="Ohne"/>
          <w:rFonts w:ascii="Cambria" w:hAnsi="Cambria" w:cs="Arial"/>
          <w:sz w:val="20"/>
          <w:szCs w:val="20"/>
        </w:rPr>
        <w:t xml:space="preserve"> Bei Patienten, bei denen aufgrund der Grunderkrankung eine Hyperkapnie und respiratorische Azidose vermieden werden sollen, sind daher Nutzen und Risiko der Reduktion des VT individuell zu bewerten</w:t>
      </w:r>
      <w:r w:rsidR="00E06C25" w:rsidRPr="00207748">
        <w:rPr>
          <w:rStyle w:val="Ohne"/>
          <w:rFonts w:ascii="Cambria" w:hAnsi="Cambria" w:cs="Arial"/>
          <w:sz w:val="20"/>
          <w:szCs w:val="20"/>
        </w:rPr>
        <w:t>.</w:t>
      </w:r>
      <w:r w:rsidR="00447357" w:rsidRPr="00207748">
        <w:rPr>
          <w:rStyle w:val="Ohne"/>
          <w:rFonts w:ascii="Cambria" w:eastAsia="Arial" w:hAnsi="Cambria" w:cs="Arial"/>
          <w:sz w:val="20"/>
          <w:szCs w:val="20"/>
          <w:vertAlign w:val="superscript"/>
        </w:rPr>
        <w:endnoteReference w:id="376"/>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02"/>
        <w:gridCol w:w="850"/>
      </w:tblGrid>
      <w:tr w:rsidR="00E11869" w:rsidRPr="00207748" w14:paraId="0BD5C664"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1EDF8932" w14:textId="77777777" w:rsidR="00E11869" w:rsidRPr="00207748" w:rsidRDefault="00447357" w:rsidP="004454B6">
            <w:pPr>
              <w:rPr>
                <w:rStyle w:val="Ohne"/>
                <w:rFonts w:ascii="Cambria" w:hAnsi="Cambria"/>
                <w:b/>
                <w:bCs/>
                <w:sz w:val="20"/>
                <w:szCs w:val="20"/>
              </w:rPr>
            </w:pPr>
            <w:r w:rsidRPr="00207748">
              <w:rPr>
                <w:rStyle w:val="Ohne"/>
                <w:rFonts w:ascii="Cambria" w:hAnsi="Cambria" w:cs="Arial"/>
                <w:b/>
                <w:bCs/>
                <w:sz w:val="20"/>
                <w:szCs w:val="20"/>
              </w:rPr>
              <w:t>M.3</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009F118B"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7170B4D2"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745FADB9" w14:textId="77777777" w:rsidTr="00334AF5">
        <w:trPr>
          <w:trHeight w:val="166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8B123"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Empfehlungsgrad</w:t>
            </w:r>
          </w:p>
          <w:p w14:paraId="6B205824" w14:textId="77777777" w:rsidR="00E11869" w:rsidRPr="00207748" w:rsidRDefault="00E11869" w:rsidP="004454B6">
            <w:pPr>
              <w:spacing w:after="0"/>
              <w:rPr>
                <w:rStyle w:val="Ohne"/>
                <w:rFonts w:ascii="Cambria" w:eastAsia="Arial" w:hAnsi="Cambria" w:cs="Arial"/>
                <w:sz w:val="20"/>
                <w:szCs w:val="20"/>
              </w:rPr>
            </w:pPr>
          </w:p>
          <w:p w14:paraId="52E24168" w14:textId="77777777" w:rsidR="00E11869" w:rsidRPr="00207748" w:rsidRDefault="00447357" w:rsidP="004454B6">
            <w:pPr>
              <w:spacing w:after="0"/>
              <w:rPr>
                <w:rStyle w:val="Ohne"/>
                <w:rFonts w:ascii="Cambria" w:eastAsia="Arial" w:hAnsi="Cambria" w:cs="Arial"/>
                <w:b/>
                <w:bCs/>
                <w:sz w:val="20"/>
                <w:szCs w:val="20"/>
              </w:rPr>
            </w:pPr>
            <w:r w:rsidRPr="00207748">
              <w:rPr>
                <w:rStyle w:val="Ohne"/>
                <w:rFonts w:ascii="Cambria" w:hAnsi="Cambria" w:cs="Arial"/>
                <w:b/>
                <w:bCs/>
                <w:sz w:val="20"/>
                <w:szCs w:val="20"/>
              </w:rPr>
              <w:t>stark</w:t>
            </w:r>
          </w:p>
          <w:p w14:paraId="4CF41503" w14:textId="77777777" w:rsidR="00E11869" w:rsidRPr="00207748" w:rsidRDefault="00E11869" w:rsidP="004454B6">
            <w:pPr>
              <w:spacing w:after="0"/>
              <w:rPr>
                <w:rStyle w:val="Ohne"/>
                <w:rFonts w:ascii="Cambria" w:eastAsia="Arial" w:hAnsi="Cambria" w:cs="Arial"/>
                <w:sz w:val="20"/>
                <w:szCs w:val="20"/>
              </w:rPr>
            </w:pPr>
          </w:p>
          <w:p w14:paraId="4AD6F2F3"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Evidenzgrad</w:t>
            </w:r>
          </w:p>
          <w:p w14:paraId="33332C78" w14:textId="77777777" w:rsidR="00E11869" w:rsidRPr="00207748" w:rsidRDefault="00E11869" w:rsidP="004454B6">
            <w:pPr>
              <w:spacing w:after="0"/>
              <w:rPr>
                <w:rStyle w:val="Ohne"/>
                <w:rFonts w:ascii="Cambria" w:eastAsia="Arial" w:hAnsi="Cambria" w:cs="Arial"/>
                <w:sz w:val="20"/>
                <w:szCs w:val="20"/>
              </w:rPr>
            </w:pPr>
          </w:p>
          <w:p w14:paraId="4D3DC96A"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 xml:space="preserve">moderat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4CED5" w14:textId="4D1D68AA"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Wir empfehlen, bei der invasiven Beatmung von Patienten mit ARDS den endinspiratorischen Atemwegsdruck (P</w:t>
            </w:r>
            <w:r w:rsidRPr="00207748">
              <w:rPr>
                <w:rStyle w:val="Ohne"/>
                <w:rFonts w:ascii="Cambria" w:hAnsi="Cambria" w:cs="Arial"/>
                <w:b/>
                <w:bCs/>
                <w:sz w:val="20"/>
                <w:szCs w:val="20"/>
                <w:vertAlign w:val="subscript"/>
              </w:rPr>
              <w:t>EI</w:t>
            </w:r>
            <w:r w:rsidRPr="00207748">
              <w:rPr>
                <w:rStyle w:val="Ohne"/>
                <w:rFonts w:ascii="Cambria" w:hAnsi="Cambria" w:cs="Arial"/>
                <w:b/>
                <w:bCs/>
                <w:sz w:val="20"/>
                <w:szCs w:val="20"/>
              </w:rPr>
              <w:t>)</w:t>
            </w:r>
            <w:r w:rsidR="002B1061">
              <w:rPr>
                <w:rStyle w:val="Ohne"/>
                <w:rFonts w:ascii="Cambria" w:hAnsi="Cambria" w:cs="Arial"/>
                <w:b/>
                <w:bCs/>
                <w:sz w:val="20"/>
                <w:szCs w:val="20"/>
              </w:rPr>
              <w:t xml:space="preserve"> </w:t>
            </w:r>
            <w:r w:rsidRPr="00207748">
              <w:rPr>
                <w:rStyle w:val="Ohne"/>
                <w:rFonts w:ascii="Cambria" w:hAnsi="Cambria" w:cs="Arial"/>
                <w:b/>
                <w:bCs/>
                <w:sz w:val="20"/>
                <w:szCs w:val="20"/>
              </w:rPr>
              <w:t>≤ 30 cm H</w:t>
            </w:r>
            <w:r w:rsidRPr="00207748">
              <w:rPr>
                <w:rStyle w:val="Ohne"/>
                <w:rFonts w:ascii="Cambria" w:hAnsi="Cambria" w:cs="Arial"/>
                <w:b/>
                <w:bCs/>
                <w:sz w:val="20"/>
                <w:szCs w:val="20"/>
                <w:vertAlign w:val="subscript"/>
              </w:rPr>
              <w:t>2</w:t>
            </w:r>
            <w:r w:rsidRPr="00207748">
              <w:rPr>
                <w:rStyle w:val="Ohne"/>
                <w:rFonts w:ascii="Cambria" w:hAnsi="Cambria" w:cs="Arial"/>
                <w:b/>
                <w:bCs/>
                <w:sz w:val="20"/>
                <w:szCs w:val="20"/>
              </w:rPr>
              <w:t>O zu halten.</w:t>
            </w:r>
          </w:p>
        </w:tc>
      </w:tr>
      <w:tr w:rsidR="00E11869" w:rsidRPr="00207748" w14:paraId="0B1B45A7" w14:textId="77777777" w:rsidTr="00342FB3">
        <w:trPr>
          <w:trHeight w:val="56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15988513"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5EEEA"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 xml:space="preserve">Adaptation </w:t>
            </w:r>
            <w:r w:rsidR="00B20D2B" w:rsidRPr="00207748">
              <w:rPr>
                <w:rStyle w:val="Ohne"/>
                <w:rFonts w:ascii="Cambria" w:hAnsi="Cambria" w:cs="Arial"/>
                <w:b/>
                <w:bCs/>
                <w:sz w:val="20"/>
                <w:szCs w:val="20"/>
              </w:rPr>
              <w:t xml:space="preserve">der </w:t>
            </w:r>
            <w:r w:rsidRPr="00207748">
              <w:rPr>
                <w:rStyle w:val="Ohne"/>
                <w:rFonts w:ascii="Cambria" w:hAnsi="Cambria" w:cs="Arial"/>
                <w:b/>
                <w:bCs/>
                <w:sz w:val="20"/>
                <w:szCs w:val="20"/>
              </w:rPr>
              <w:t>S3-Leitlinie Beatmung</w:t>
            </w:r>
          </w:p>
        </w:tc>
      </w:tr>
      <w:tr w:rsidR="00E11869" w:rsidRPr="00207748" w14:paraId="4304EE3C"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BC573"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2A5F1"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Konsensstärke: 100 %</w:t>
            </w:r>
          </w:p>
        </w:tc>
      </w:tr>
    </w:tbl>
    <w:p w14:paraId="2F344BEA" w14:textId="6A8A4268" w:rsidR="00E11869" w:rsidRDefault="00E11869" w:rsidP="004454B6">
      <w:pPr>
        <w:rPr>
          <w:rStyle w:val="Ohne"/>
          <w:rFonts w:ascii="Cambria" w:eastAsia="Arial" w:hAnsi="Cambria" w:cs="Arial"/>
          <w:b/>
          <w:bCs/>
          <w:sz w:val="20"/>
          <w:szCs w:val="20"/>
        </w:rPr>
      </w:pPr>
    </w:p>
    <w:p w14:paraId="552284D1" w14:textId="1B907CA7" w:rsidR="00DA3A66" w:rsidRDefault="00DA3A66" w:rsidP="004454B6">
      <w:pPr>
        <w:rPr>
          <w:rStyle w:val="Ohne"/>
          <w:rFonts w:ascii="Cambria" w:eastAsia="Arial" w:hAnsi="Cambria" w:cs="Arial"/>
          <w:b/>
          <w:bCs/>
          <w:sz w:val="20"/>
          <w:szCs w:val="20"/>
        </w:rPr>
      </w:pPr>
    </w:p>
    <w:p w14:paraId="110ACA6B" w14:textId="48F55A0F" w:rsidR="00DA3A66" w:rsidRDefault="00DA3A66" w:rsidP="004454B6">
      <w:pPr>
        <w:rPr>
          <w:rStyle w:val="Ohne"/>
          <w:rFonts w:ascii="Cambria" w:eastAsia="Arial" w:hAnsi="Cambria" w:cs="Arial"/>
          <w:b/>
          <w:bCs/>
          <w:sz w:val="20"/>
          <w:szCs w:val="20"/>
        </w:rPr>
      </w:pPr>
    </w:p>
    <w:p w14:paraId="078CC440" w14:textId="77777777" w:rsidR="00DA3A66" w:rsidRPr="00207748" w:rsidRDefault="00DA3A66" w:rsidP="004454B6">
      <w:pPr>
        <w:rPr>
          <w:rStyle w:val="Ohne"/>
          <w:rFonts w:ascii="Cambria" w:eastAsia="Arial" w:hAnsi="Cambria" w:cs="Arial"/>
          <w:b/>
          <w:bCs/>
          <w:sz w:val="20"/>
          <w:szCs w:val="20"/>
        </w:rPr>
      </w:pP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02"/>
        <w:gridCol w:w="850"/>
      </w:tblGrid>
      <w:tr w:rsidR="00E11869" w:rsidRPr="00207748" w14:paraId="6AB0EC48"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04511ADD" w14:textId="77777777" w:rsidR="00E11869" w:rsidRPr="00207748" w:rsidRDefault="00447357" w:rsidP="004454B6">
            <w:pPr>
              <w:rPr>
                <w:rStyle w:val="Ohne"/>
                <w:rFonts w:ascii="Cambria" w:hAnsi="Cambria"/>
                <w:b/>
                <w:bCs/>
                <w:sz w:val="20"/>
                <w:szCs w:val="20"/>
              </w:rPr>
            </w:pPr>
            <w:r w:rsidRPr="00207748">
              <w:rPr>
                <w:rStyle w:val="Ohne"/>
                <w:rFonts w:ascii="Cambria" w:hAnsi="Cambria" w:cs="Arial"/>
                <w:b/>
                <w:bCs/>
                <w:sz w:val="20"/>
                <w:szCs w:val="20"/>
              </w:rPr>
              <w:t>M.4</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3680555F"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7457E31E"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2676F9E4" w14:textId="77777777" w:rsidTr="00334AF5">
        <w:trPr>
          <w:trHeight w:val="2046"/>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58610"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lastRenderedPageBreak/>
              <w:t>Empfehlungsgrad</w:t>
            </w:r>
          </w:p>
          <w:p w14:paraId="71D4C99C" w14:textId="77777777" w:rsidR="00E11869" w:rsidRPr="00207748" w:rsidRDefault="00E11869" w:rsidP="004454B6">
            <w:pPr>
              <w:spacing w:after="0"/>
              <w:rPr>
                <w:rStyle w:val="Ohne"/>
                <w:rFonts w:ascii="Cambria" w:eastAsia="Arial" w:hAnsi="Cambria" w:cs="Arial"/>
                <w:sz w:val="20"/>
                <w:szCs w:val="20"/>
              </w:rPr>
            </w:pPr>
          </w:p>
          <w:p w14:paraId="0B474F8D" w14:textId="77777777" w:rsidR="00E11869" w:rsidRPr="00207748" w:rsidRDefault="00447357" w:rsidP="004454B6">
            <w:pPr>
              <w:spacing w:after="0"/>
              <w:rPr>
                <w:rStyle w:val="Ohne"/>
                <w:rFonts w:ascii="Cambria" w:eastAsia="Arial" w:hAnsi="Cambria" w:cs="Arial"/>
                <w:b/>
                <w:bCs/>
                <w:sz w:val="20"/>
                <w:szCs w:val="20"/>
              </w:rPr>
            </w:pPr>
            <w:r w:rsidRPr="00207748">
              <w:rPr>
                <w:rStyle w:val="Ohne"/>
                <w:rFonts w:ascii="Cambria" w:hAnsi="Cambria" w:cs="Arial"/>
                <w:b/>
                <w:bCs/>
                <w:sz w:val="20"/>
                <w:szCs w:val="20"/>
              </w:rPr>
              <w:t>schwach</w:t>
            </w:r>
          </w:p>
          <w:p w14:paraId="49C37AA9" w14:textId="77777777" w:rsidR="00E11869" w:rsidRPr="00207748" w:rsidRDefault="00E11869" w:rsidP="004454B6">
            <w:pPr>
              <w:spacing w:after="0"/>
              <w:rPr>
                <w:rStyle w:val="Ohne"/>
                <w:rFonts w:ascii="Cambria" w:eastAsia="Arial" w:hAnsi="Cambria" w:cs="Arial"/>
                <w:sz w:val="20"/>
                <w:szCs w:val="20"/>
              </w:rPr>
            </w:pPr>
          </w:p>
          <w:p w14:paraId="6B458633"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Evidenzgrad</w:t>
            </w:r>
          </w:p>
          <w:p w14:paraId="653A4671" w14:textId="77777777" w:rsidR="00E11869" w:rsidRPr="00207748" w:rsidRDefault="00E11869" w:rsidP="004454B6">
            <w:pPr>
              <w:spacing w:after="0"/>
              <w:rPr>
                <w:rStyle w:val="Ohne"/>
                <w:rFonts w:ascii="Cambria" w:eastAsia="Arial" w:hAnsi="Cambria" w:cs="Arial"/>
                <w:sz w:val="20"/>
                <w:szCs w:val="20"/>
              </w:rPr>
            </w:pPr>
          </w:p>
          <w:p w14:paraId="07AD36E5"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 xml:space="preserve">moderat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F9A81"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Wir schlagen vor, bei der invasiven Beatmung von Patienten mit akuter respiratorischer Insuffizienz einen endinspiratorischen Atemwegsdruck (P</w:t>
            </w:r>
            <w:r w:rsidRPr="00207748">
              <w:rPr>
                <w:rStyle w:val="Ohne"/>
                <w:rFonts w:ascii="Cambria" w:hAnsi="Cambria" w:cs="Arial"/>
                <w:b/>
                <w:bCs/>
                <w:sz w:val="20"/>
                <w:szCs w:val="20"/>
                <w:vertAlign w:val="subscript"/>
              </w:rPr>
              <w:t>EI</w:t>
            </w:r>
            <w:r w:rsidRPr="00207748">
              <w:rPr>
                <w:rStyle w:val="Ohne"/>
                <w:rFonts w:ascii="Cambria" w:hAnsi="Cambria" w:cs="Arial"/>
                <w:b/>
                <w:bCs/>
                <w:sz w:val="20"/>
                <w:szCs w:val="20"/>
              </w:rPr>
              <w:t>) ≤ 30 cm H</w:t>
            </w:r>
            <w:r w:rsidRPr="00207748">
              <w:rPr>
                <w:rStyle w:val="Ohne"/>
                <w:rFonts w:ascii="Cambria" w:hAnsi="Cambria" w:cs="Arial"/>
                <w:b/>
                <w:bCs/>
                <w:sz w:val="20"/>
                <w:szCs w:val="20"/>
                <w:vertAlign w:val="subscript"/>
              </w:rPr>
              <w:t>2</w:t>
            </w:r>
            <w:r w:rsidRPr="00207748">
              <w:rPr>
                <w:rStyle w:val="Ohne"/>
                <w:rFonts w:ascii="Cambria" w:hAnsi="Cambria" w:cs="Arial"/>
                <w:b/>
                <w:bCs/>
                <w:sz w:val="20"/>
                <w:szCs w:val="20"/>
              </w:rPr>
              <w:t>O zu halten.</w:t>
            </w:r>
          </w:p>
        </w:tc>
      </w:tr>
      <w:tr w:rsidR="00E11869" w:rsidRPr="00207748" w14:paraId="5FFF3615" w14:textId="77777777" w:rsidTr="00342FB3">
        <w:trPr>
          <w:trHeight w:val="56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3D5D6E0E"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3DAD7"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 xml:space="preserve">Adaptation </w:t>
            </w:r>
            <w:r w:rsidR="00B20D2B" w:rsidRPr="00207748">
              <w:rPr>
                <w:rStyle w:val="Ohne"/>
                <w:rFonts w:ascii="Cambria" w:hAnsi="Cambria" w:cs="Arial"/>
                <w:b/>
                <w:bCs/>
                <w:sz w:val="20"/>
                <w:szCs w:val="20"/>
              </w:rPr>
              <w:t xml:space="preserve">der </w:t>
            </w:r>
            <w:r w:rsidRPr="00207748">
              <w:rPr>
                <w:rStyle w:val="Ohne"/>
                <w:rFonts w:ascii="Cambria" w:hAnsi="Cambria" w:cs="Arial"/>
                <w:b/>
                <w:bCs/>
                <w:sz w:val="20"/>
                <w:szCs w:val="20"/>
              </w:rPr>
              <w:t xml:space="preserve">S3-Leitlinie Beatmung </w:t>
            </w:r>
          </w:p>
        </w:tc>
      </w:tr>
      <w:tr w:rsidR="00E11869" w:rsidRPr="00207748" w14:paraId="198EA9D1"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AA482"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60A1B"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Konsensstärke: 100 %</w:t>
            </w:r>
          </w:p>
        </w:tc>
      </w:tr>
    </w:tbl>
    <w:p w14:paraId="11158202" w14:textId="77777777" w:rsidR="00E11869" w:rsidRPr="00207748" w:rsidRDefault="00E11869" w:rsidP="004454B6">
      <w:pPr>
        <w:rPr>
          <w:rStyle w:val="Ohne"/>
          <w:rFonts w:ascii="Cambria" w:eastAsia="Arial" w:hAnsi="Cambria" w:cs="Arial"/>
          <w:b/>
          <w:bCs/>
          <w:sz w:val="20"/>
          <w:szCs w:val="20"/>
        </w:rPr>
      </w:pP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02"/>
        <w:gridCol w:w="850"/>
      </w:tblGrid>
      <w:tr w:rsidR="00E11869" w:rsidRPr="00207748" w14:paraId="00E8AA87"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01293A5B" w14:textId="77777777" w:rsidR="00E11869" w:rsidRPr="00207748" w:rsidRDefault="00447357" w:rsidP="004454B6">
            <w:pPr>
              <w:rPr>
                <w:rFonts w:ascii="Cambria" w:hAnsi="Cambria" w:cs="Arial"/>
                <w:sz w:val="20"/>
                <w:szCs w:val="20"/>
              </w:rPr>
            </w:pPr>
            <w:r w:rsidRPr="00207748">
              <w:rPr>
                <w:rStyle w:val="Ohne"/>
                <w:rFonts w:ascii="Cambria" w:hAnsi="Cambria" w:cs="Arial"/>
                <w:b/>
                <w:bCs/>
                <w:sz w:val="20"/>
                <w:szCs w:val="20"/>
              </w:rPr>
              <w:t>M.5</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25B06E4E"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7C84777B"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2018</w:t>
            </w:r>
          </w:p>
        </w:tc>
      </w:tr>
      <w:tr w:rsidR="00E11869" w:rsidRPr="00207748" w14:paraId="7FA21F7B" w14:textId="77777777" w:rsidTr="00334AF5">
        <w:trPr>
          <w:trHeight w:val="147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2AA12"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Empfehlungsgrad</w:t>
            </w:r>
          </w:p>
          <w:p w14:paraId="2AA37B1D" w14:textId="77777777" w:rsidR="00E11869" w:rsidRPr="00207748" w:rsidRDefault="00E11869" w:rsidP="004454B6">
            <w:pPr>
              <w:spacing w:after="0"/>
              <w:rPr>
                <w:rStyle w:val="Ohne"/>
                <w:rFonts w:ascii="Cambria" w:eastAsia="Arial" w:hAnsi="Cambria" w:cs="Arial"/>
                <w:sz w:val="20"/>
                <w:szCs w:val="20"/>
              </w:rPr>
            </w:pPr>
          </w:p>
          <w:p w14:paraId="5CB6CF3D" w14:textId="77777777" w:rsidR="00E11869" w:rsidRPr="00207748" w:rsidRDefault="00447357" w:rsidP="004454B6">
            <w:pPr>
              <w:spacing w:after="0"/>
              <w:rPr>
                <w:rStyle w:val="Ohne"/>
                <w:rFonts w:ascii="Cambria" w:eastAsia="Arial" w:hAnsi="Cambria" w:cs="Arial"/>
                <w:b/>
                <w:bCs/>
                <w:sz w:val="20"/>
                <w:szCs w:val="20"/>
              </w:rPr>
            </w:pPr>
            <w:r w:rsidRPr="00207748">
              <w:rPr>
                <w:rStyle w:val="Ohne"/>
                <w:rFonts w:ascii="Cambria" w:hAnsi="Cambria" w:cs="Arial"/>
                <w:b/>
                <w:bCs/>
                <w:sz w:val="20"/>
                <w:szCs w:val="20"/>
              </w:rPr>
              <w:t>schwach</w:t>
            </w:r>
          </w:p>
          <w:p w14:paraId="6C3950D7" w14:textId="77777777" w:rsidR="00E11869" w:rsidRPr="00207748" w:rsidRDefault="00E11869" w:rsidP="004454B6">
            <w:pPr>
              <w:spacing w:after="0"/>
              <w:rPr>
                <w:rStyle w:val="Ohne"/>
                <w:rFonts w:ascii="Cambria" w:eastAsia="Arial" w:hAnsi="Cambria" w:cs="Arial"/>
                <w:sz w:val="20"/>
                <w:szCs w:val="20"/>
              </w:rPr>
            </w:pPr>
          </w:p>
          <w:p w14:paraId="6DDF47B5"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Evidenzgrad</w:t>
            </w:r>
          </w:p>
          <w:p w14:paraId="29CED17B" w14:textId="77777777" w:rsidR="00E11869" w:rsidRPr="00207748" w:rsidRDefault="00E11869" w:rsidP="004454B6">
            <w:pPr>
              <w:spacing w:after="0"/>
              <w:rPr>
                <w:rStyle w:val="Ohne"/>
                <w:rFonts w:ascii="Cambria" w:eastAsia="Arial" w:hAnsi="Cambria" w:cs="Arial"/>
                <w:sz w:val="20"/>
                <w:szCs w:val="20"/>
              </w:rPr>
            </w:pPr>
          </w:p>
          <w:p w14:paraId="7E4736B8"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niedrig</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B2549"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Wir schlagen vor, bei der invasiven Beatmung eine inspiratorische Druckdifferenz (</w:t>
            </w:r>
            <w:r w:rsidR="001A58EF" w:rsidRPr="00207748">
              <w:rPr>
                <w:rStyle w:val="Ohne"/>
                <w:rFonts w:ascii="Cambria" w:hAnsi="Cambria" w:cs="Arial"/>
                <w:b/>
                <w:bCs/>
                <w:sz w:val="20"/>
                <w:szCs w:val="20"/>
              </w:rPr>
              <w:t>D</w:t>
            </w:r>
            <w:r w:rsidRPr="00207748">
              <w:rPr>
                <w:rStyle w:val="Ohne"/>
                <w:rFonts w:ascii="Cambria" w:hAnsi="Cambria" w:cs="Arial"/>
                <w:b/>
                <w:bCs/>
                <w:sz w:val="20"/>
                <w:szCs w:val="20"/>
              </w:rPr>
              <w:t xml:space="preserve">riving </w:t>
            </w:r>
            <w:r w:rsidR="001A58EF" w:rsidRPr="00207748">
              <w:rPr>
                <w:rStyle w:val="Ohne"/>
                <w:rFonts w:ascii="Cambria" w:hAnsi="Cambria" w:cs="Arial"/>
                <w:b/>
                <w:bCs/>
                <w:sz w:val="20"/>
                <w:szCs w:val="20"/>
              </w:rPr>
              <w:t>P</w:t>
            </w:r>
            <w:r w:rsidRPr="00207748">
              <w:rPr>
                <w:rStyle w:val="Ohne"/>
                <w:rFonts w:ascii="Cambria" w:hAnsi="Cambria" w:cs="Arial"/>
                <w:b/>
                <w:bCs/>
                <w:sz w:val="20"/>
                <w:szCs w:val="20"/>
              </w:rPr>
              <w:t>ressure) von ≤ 15 cm H</w:t>
            </w:r>
            <w:r w:rsidRPr="00207748">
              <w:rPr>
                <w:rStyle w:val="Ohne"/>
                <w:rFonts w:ascii="Cambria" w:hAnsi="Cambria" w:cs="Arial"/>
                <w:b/>
                <w:bCs/>
                <w:sz w:val="20"/>
                <w:szCs w:val="20"/>
                <w:vertAlign w:val="subscript"/>
              </w:rPr>
              <w:t>2</w:t>
            </w:r>
            <w:r w:rsidRPr="00207748">
              <w:rPr>
                <w:rStyle w:val="Ohne"/>
                <w:rFonts w:ascii="Cambria" w:hAnsi="Cambria" w:cs="Arial"/>
                <w:b/>
                <w:bCs/>
                <w:sz w:val="20"/>
                <w:szCs w:val="20"/>
              </w:rPr>
              <w:t>O anzustreben</w:t>
            </w:r>
          </w:p>
        </w:tc>
      </w:tr>
      <w:tr w:rsidR="00E11869" w:rsidRPr="00207748" w14:paraId="04AD78B7" w14:textId="77777777" w:rsidTr="00342FB3">
        <w:trPr>
          <w:trHeight w:val="140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099EBA35"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A34EF"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 xml:space="preserve">Adaptation </w:t>
            </w:r>
            <w:r w:rsidR="00B20D2B" w:rsidRPr="00207748">
              <w:rPr>
                <w:rStyle w:val="Ohne"/>
                <w:rFonts w:ascii="Cambria" w:hAnsi="Cambria" w:cs="Arial"/>
                <w:b/>
                <w:bCs/>
                <w:sz w:val="20"/>
                <w:szCs w:val="20"/>
              </w:rPr>
              <w:t xml:space="preserve">der </w:t>
            </w:r>
            <w:r w:rsidRPr="00207748">
              <w:rPr>
                <w:rStyle w:val="Ohne"/>
                <w:rFonts w:ascii="Cambria" w:hAnsi="Cambria" w:cs="Arial"/>
                <w:b/>
                <w:bCs/>
                <w:sz w:val="20"/>
                <w:szCs w:val="20"/>
              </w:rPr>
              <w:t>S3-Leitlinie Beatmung; Abweichung des Evid</w:t>
            </w:r>
            <w:r w:rsidR="002F45C9" w:rsidRPr="00207748">
              <w:rPr>
                <w:rStyle w:val="Ohne"/>
                <w:rFonts w:ascii="Cambria" w:hAnsi="Cambria" w:cs="Arial"/>
                <w:b/>
                <w:bCs/>
                <w:sz w:val="20"/>
                <w:szCs w:val="20"/>
              </w:rPr>
              <w:t>enzgrades</w:t>
            </w:r>
          </w:p>
        </w:tc>
      </w:tr>
      <w:tr w:rsidR="00E11869" w:rsidRPr="00207748" w14:paraId="4CCC0982"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CA753"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BE063"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Konsensstärke: 100 %</w:t>
            </w:r>
          </w:p>
        </w:tc>
      </w:tr>
    </w:tbl>
    <w:p w14:paraId="4A95AE5F" w14:textId="77777777" w:rsidR="00342FB3" w:rsidRPr="00207748" w:rsidRDefault="00342FB3" w:rsidP="004454B6">
      <w:pPr>
        <w:spacing w:after="0"/>
        <w:rPr>
          <w:rStyle w:val="Ohne"/>
          <w:rFonts w:ascii="Cambria" w:eastAsia="Arial" w:hAnsi="Cambria" w:cs="Arial"/>
          <w:b/>
          <w:bCs/>
          <w:sz w:val="20"/>
          <w:szCs w:val="20"/>
        </w:rPr>
      </w:pPr>
    </w:p>
    <w:p w14:paraId="6B4F4CCC" w14:textId="5575A972" w:rsidR="00E11869" w:rsidRPr="00207748" w:rsidRDefault="00420A45" w:rsidP="00EF1A9E">
      <w:pPr>
        <w:pStyle w:val="Kopf-undFuzeilen"/>
        <w:rPr>
          <w:rStyle w:val="Ohne"/>
          <w:rFonts w:ascii="Cambria" w:eastAsia="Arial" w:hAnsi="Cambria" w:cs="Arial"/>
          <w:sz w:val="20"/>
          <w:szCs w:val="20"/>
        </w:rPr>
      </w:pPr>
      <w:r w:rsidRPr="00207748">
        <w:rPr>
          <w:rStyle w:val="Ohne"/>
          <w:rFonts w:ascii="Cambria" w:hAnsi="Cambria" w:cs="Arial"/>
          <w:b/>
          <w:bCs/>
          <w:sz w:val="20"/>
          <w:szCs w:val="20"/>
        </w:rPr>
        <w:t>Begründung:</w:t>
      </w:r>
      <w:r w:rsidR="00447357" w:rsidRPr="00207748">
        <w:rPr>
          <w:rStyle w:val="Ohne"/>
          <w:rFonts w:ascii="Cambria" w:hAnsi="Cambria" w:cs="Arial"/>
          <w:b/>
          <w:bCs/>
          <w:sz w:val="20"/>
          <w:szCs w:val="20"/>
        </w:rPr>
        <w:t xml:space="preserve"> </w:t>
      </w:r>
      <w:r w:rsidR="00447357" w:rsidRPr="00207748">
        <w:rPr>
          <w:rStyle w:val="Ohne"/>
          <w:rFonts w:ascii="Cambria" w:hAnsi="Cambria" w:cs="Arial"/>
          <w:sz w:val="20"/>
          <w:szCs w:val="20"/>
        </w:rPr>
        <w:t>In einer qualitativ hochwertigen Cochrane-Meta</w:t>
      </w:r>
      <w:r w:rsidR="001A58EF" w:rsidRPr="00207748">
        <w:rPr>
          <w:rStyle w:val="Ohne"/>
          <w:rFonts w:ascii="Cambria" w:hAnsi="Cambria" w:cs="Arial"/>
          <w:sz w:val="20"/>
          <w:szCs w:val="20"/>
        </w:rPr>
        <w:t>-A</w:t>
      </w:r>
      <w:r w:rsidR="00447357" w:rsidRPr="00207748">
        <w:rPr>
          <w:rStyle w:val="Ohne"/>
          <w:rFonts w:ascii="Cambria" w:hAnsi="Cambria" w:cs="Arial"/>
          <w:sz w:val="20"/>
          <w:szCs w:val="20"/>
        </w:rPr>
        <w:t>nalyse</w:t>
      </w:r>
      <w:r w:rsidR="00E06C25" w:rsidRPr="00207748">
        <w:rPr>
          <w:rStyle w:val="Endnotenzeichen"/>
          <w:rFonts w:ascii="Cambria" w:hAnsi="Cambria" w:cs="Arial"/>
          <w:sz w:val="20"/>
          <w:szCs w:val="20"/>
        </w:rPr>
        <w:endnoteReference w:id="377"/>
      </w:r>
      <w:r w:rsidR="00447357" w:rsidRPr="00207748">
        <w:rPr>
          <w:rStyle w:val="Ohne"/>
          <w:rFonts w:ascii="Cambria" w:hAnsi="Cambria" w:cs="Arial"/>
          <w:sz w:val="20"/>
          <w:szCs w:val="20"/>
        </w:rPr>
        <w:t xml:space="preserve"> wurde der Effekt einer lungenprotektiven Beatmung bei Patienten mit ARDS analysiert. Insgesamt wurden sechs RCTs in die Meta-Analyse einbezogen, nur bei drei Studien war in der Kontrollgruppe ein erhöhter endinspiratorischer Druck bei der Beatmung der Patienten notwendig</w:t>
      </w:r>
      <w:r w:rsidR="00EF1A9E" w:rsidRPr="00EF1A9E">
        <w:rPr>
          <w:rStyle w:val="EndnoteRealZchn"/>
        </w:rPr>
        <w:fldChar w:fldCharType="begin"/>
      </w:r>
      <w:r w:rsidR="00EF1A9E" w:rsidRPr="00EF1A9E">
        <w:rPr>
          <w:rStyle w:val="EndnoteRealZchn"/>
        </w:rPr>
        <w:instrText xml:space="preserve"> NOTEREF _Ref31194204 \h </w:instrText>
      </w:r>
      <w:r w:rsidR="00EF1A9E">
        <w:rPr>
          <w:rStyle w:val="EndnoteRealZchn"/>
        </w:rPr>
        <w:instrText xml:space="preserve"> \* MERGEFORMAT </w:instrText>
      </w:r>
      <w:r w:rsidR="00EF1A9E" w:rsidRPr="00EF1A9E">
        <w:rPr>
          <w:rStyle w:val="EndnoteRealZchn"/>
        </w:rPr>
      </w:r>
      <w:r w:rsidR="00EF1A9E" w:rsidRPr="00EF1A9E">
        <w:rPr>
          <w:rStyle w:val="EndnoteRealZchn"/>
        </w:rPr>
        <w:fldChar w:fldCharType="separate"/>
      </w:r>
      <w:r w:rsidR="00EF1A9E" w:rsidRPr="00EF1A9E">
        <w:rPr>
          <w:rStyle w:val="EndnoteRealZchn"/>
        </w:rPr>
        <w:t>367</w:t>
      </w:r>
      <w:r w:rsidR="00EF1A9E" w:rsidRPr="00EF1A9E">
        <w:rPr>
          <w:rStyle w:val="EndnoteRealZchn"/>
        </w:rPr>
        <w:fldChar w:fldCharType="end"/>
      </w:r>
      <w:r w:rsidR="00EF1A9E" w:rsidRPr="00EF1A9E">
        <w:rPr>
          <w:rStyle w:val="EndnoteRealZchn"/>
        </w:rPr>
        <w:t xml:space="preserve"> </w:t>
      </w:r>
      <w:r w:rsidR="00EF1A9E" w:rsidRPr="00EF1A9E">
        <w:rPr>
          <w:rStyle w:val="EndnoteRealZchn"/>
        </w:rPr>
        <w:fldChar w:fldCharType="begin"/>
      </w:r>
      <w:r w:rsidR="00EF1A9E" w:rsidRPr="00EF1A9E">
        <w:rPr>
          <w:rStyle w:val="EndnoteRealZchn"/>
        </w:rPr>
        <w:instrText xml:space="preserve"> NOTEREF _Ref31193821 \h </w:instrText>
      </w:r>
      <w:r w:rsidR="00EF1A9E">
        <w:rPr>
          <w:rStyle w:val="EndnoteRealZchn"/>
        </w:rPr>
        <w:instrText xml:space="preserve"> \* MERGEFORMAT </w:instrText>
      </w:r>
      <w:r w:rsidR="00EF1A9E" w:rsidRPr="00EF1A9E">
        <w:rPr>
          <w:rStyle w:val="EndnoteRealZchn"/>
        </w:rPr>
      </w:r>
      <w:r w:rsidR="00EF1A9E" w:rsidRPr="00EF1A9E">
        <w:rPr>
          <w:rStyle w:val="EndnoteRealZchn"/>
        </w:rPr>
        <w:fldChar w:fldCharType="separate"/>
      </w:r>
      <w:r w:rsidR="00EF1A9E" w:rsidRPr="00EF1A9E">
        <w:rPr>
          <w:rStyle w:val="EndnoteRealZchn"/>
        </w:rPr>
        <w:t>368</w:t>
      </w:r>
      <w:r w:rsidR="00EF1A9E" w:rsidRPr="00EF1A9E">
        <w:rPr>
          <w:rStyle w:val="EndnoteRealZchn"/>
        </w:rPr>
        <w:fldChar w:fldCharType="end"/>
      </w:r>
      <w:r w:rsidR="00EF1A9E">
        <w:rPr>
          <w:rStyle w:val="Ohne"/>
          <w:rFonts w:ascii="Cambria" w:hAnsi="Cambria" w:cs="Arial"/>
          <w:sz w:val="20"/>
          <w:szCs w:val="20"/>
        </w:rPr>
        <w:t xml:space="preserve"> </w:t>
      </w:r>
      <w:r w:rsidR="00EF1A9E">
        <w:rPr>
          <w:rStyle w:val="Endnotenzeichen"/>
          <w:rFonts w:ascii="Cambria" w:hAnsi="Cambria" w:cs="Arial"/>
          <w:sz w:val="20"/>
          <w:szCs w:val="20"/>
        </w:rPr>
        <w:endnoteReference w:id="378"/>
      </w:r>
      <w:r w:rsidR="0090588E" w:rsidRPr="00207748">
        <w:rPr>
          <w:rStyle w:val="Ohne"/>
          <w:rFonts w:ascii="Cambria" w:hAnsi="Cambria" w:cs="Arial"/>
          <w:sz w:val="20"/>
          <w:szCs w:val="20"/>
        </w:rPr>
        <w:t xml:space="preserve"> </w:t>
      </w:r>
      <w:r w:rsidR="00EF1A9E">
        <w:rPr>
          <w:rStyle w:val="Endnotenzeichen"/>
          <w:rFonts w:ascii="Cambria" w:hAnsi="Cambria" w:cs="Arial"/>
          <w:sz w:val="20"/>
          <w:szCs w:val="20"/>
        </w:rPr>
        <w:endnoteReference w:id="379"/>
      </w:r>
      <w:r w:rsidR="00EF1A9E">
        <w:rPr>
          <w:rStyle w:val="Ohne"/>
          <w:rFonts w:ascii="Cambria" w:hAnsi="Cambria" w:cs="Arial"/>
          <w:sz w:val="20"/>
          <w:szCs w:val="20"/>
        </w:rPr>
        <w:t xml:space="preserve"> </w:t>
      </w:r>
      <w:bookmarkStart w:id="429" w:name="_Ref31194642"/>
      <w:r w:rsidR="00EF1A9E" w:rsidRPr="00EF1A9E">
        <w:rPr>
          <w:rStyle w:val="Endnotenzeichen"/>
          <w:rFonts w:ascii="Cambria" w:hAnsi="Cambria" w:cs="Arial"/>
          <w:sz w:val="20"/>
          <w:szCs w:val="20"/>
        </w:rPr>
        <w:endnoteReference w:id="380"/>
      </w:r>
      <w:bookmarkEnd w:id="429"/>
      <w:r w:rsidR="00447357" w:rsidRPr="00EF1A9E">
        <w:rPr>
          <w:rStyle w:val="Ohne"/>
          <w:rFonts w:ascii="Cambria" w:hAnsi="Cambria" w:cs="Arial"/>
          <w:sz w:val="20"/>
          <w:szCs w:val="20"/>
          <w:lang w:val="en-US"/>
        </w:rPr>
        <w:t xml:space="preserve">. </w:t>
      </w:r>
      <w:r w:rsidR="00447357" w:rsidRPr="00EF1A9E">
        <w:rPr>
          <w:rStyle w:val="Ohne"/>
          <w:rFonts w:ascii="Cambria" w:hAnsi="Cambria" w:cs="Arial"/>
          <w:sz w:val="20"/>
          <w:szCs w:val="20"/>
        </w:rPr>
        <w:t>Bei insgesamt 1.009 Patienten aus diesen 3 Studien zeigte sich in der Interventionsgruppe (511 Patienten) mit der Reduktion des P</w:t>
      </w:r>
      <w:r w:rsidR="00447357" w:rsidRPr="00EF1A9E">
        <w:rPr>
          <w:rStyle w:val="Ohne"/>
          <w:rFonts w:ascii="Cambria" w:hAnsi="Cambria" w:cs="Arial"/>
          <w:sz w:val="20"/>
          <w:szCs w:val="20"/>
          <w:vertAlign w:val="subscript"/>
        </w:rPr>
        <w:t>EI</w:t>
      </w:r>
      <w:r w:rsidR="00447357" w:rsidRPr="00EF1A9E">
        <w:rPr>
          <w:rStyle w:val="Ohne"/>
          <w:rFonts w:ascii="Cambria" w:hAnsi="Cambria" w:cs="Arial"/>
          <w:sz w:val="20"/>
          <w:szCs w:val="20"/>
        </w:rPr>
        <w:t xml:space="preserve"> auf ≤ 30 cm H</w:t>
      </w:r>
      <w:r w:rsidR="00447357" w:rsidRPr="00EF1A9E">
        <w:rPr>
          <w:rStyle w:val="Ohne"/>
          <w:rFonts w:ascii="Cambria" w:hAnsi="Cambria" w:cs="Arial"/>
          <w:sz w:val="20"/>
          <w:szCs w:val="20"/>
          <w:vertAlign w:val="subscript"/>
        </w:rPr>
        <w:t>2</w:t>
      </w:r>
      <w:r w:rsidR="00447357" w:rsidRPr="00EF1A9E">
        <w:rPr>
          <w:rStyle w:val="Ohne"/>
          <w:rFonts w:ascii="Cambria" w:hAnsi="Cambria" w:cs="Arial"/>
          <w:sz w:val="20"/>
          <w:szCs w:val="20"/>
        </w:rPr>
        <w:t>O ein relatives Risiko von 0,74 [0,63; 0,87] bezüglich der Sterblichkeit</w:t>
      </w:r>
      <w:r w:rsidR="00EF1A9E" w:rsidRPr="00EF1A9E">
        <w:rPr>
          <w:rStyle w:val="EndnoteRealZchn"/>
        </w:rPr>
        <w:fldChar w:fldCharType="begin"/>
      </w:r>
      <w:r w:rsidR="00EF1A9E" w:rsidRPr="00EF1A9E">
        <w:rPr>
          <w:rStyle w:val="EndnoteRealZchn"/>
        </w:rPr>
        <w:instrText xml:space="preserve"> NOTEREF _Ref31194204 \h  \* MERGEFORMAT </w:instrText>
      </w:r>
      <w:r w:rsidR="00EF1A9E" w:rsidRPr="00EF1A9E">
        <w:rPr>
          <w:rStyle w:val="EndnoteRealZchn"/>
        </w:rPr>
      </w:r>
      <w:r w:rsidR="00EF1A9E" w:rsidRPr="00EF1A9E">
        <w:rPr>
          <w:rStyle w:val="EndnoteRealZchn"/>
        </w:rPr>
        <w:fldChar w:fldCharType="separate"/>
      </w:r>
      <w:r w:rsidR="00EF1A9E" w:rsidRPr="00EF1A9E">
        <w:rPr>
          <w:rStyle w:val="EndnoteRealZchn"/>
        </w:rPr>
        <w:t>367</w:t>
      </w:r>
      <w:r w:rsidR="00EF1A9E" w:rsidRPr="00EF1A9E">
        <w:rPr>
          <w:rStyle w:val="EndnoteRealZchn"/>
        </w:rPr>
        <w:fldChar w:fldCharType="end"/>
      </w:r>
      <w:r w:rsidR="0090588E" w:rsidRPr="00EF1A9E">
        <w:rPr>
          <w:rStyle w:val="Ohne"/>
          <w:rFonts w:ascii="Cambria" w:hAnsi="Cambria" w:cs="Arial"/>
          <w:sz w:val="20"/>
          <w:szCs w:val="20"/>
        </w:rPr>
        <w:t xml:space="preserve"> </w:t>
      </w:r>
      <w:r w:rsidR="00EF1A9E" w:rsidRPr="00EF1A9E">
        <w:rPr>
          <w:rStyle w:val="EndnoteRealZchn"/>
        </w:rPr>
        <w:fldChar w:fldCharType="begin"/>
      </w:r>
      <w:r w:rsidR="00EF1A9E" w:rsidRPr="00EF1A9E">
        <w:rPr>
          <w:rStyle w:val="EndnoteRealZchn"/>
        </w:rPr>
        <w:instrText xml:space="preserve"> NOTEREF _Ref31194642 \h  \* MERGEFORMAT </w:instrText>
      </w:r>
      <w:r w:rsidR="00EF1A9E" w:rsidRPr="00EF1A9E">
        <w:rPr>
          <w:rStyle w:val="EndnoteRealZchn"/>
        </w:rPr>
      </w:r>
      <w:r w:rsidR="00EF1A9E" w:rsidRPr="00EF1A9E">
        <w:rPr>
          <w:rStyle w:val="EndnoteRealZchn"/>
        </w:rPr>
        <w:fldChar w:fldCharType="separate"/>
      </w:r>
      <w:r w:rsidR="00EF1A9E" w:rsidRPr="00EF1A9E">
        <w:rPr>
          <w:rStyle w:val="EndnoteRealZchn"/>
        </w:rPr>
        <w:t>379</w:t>
      </w:r>
      <w:r w:rsidR="00EF1A9E" w:rsidRPr="00EF1A9E">
        <w:rPr>
          <w:rStyle w:val="EndnoteRealZchn"/>
        </w:rPr>
        <w:fldChar w:fldCharType="end"/>
      </w:r>
      <w:r w:rsidR="00447357" w:rsidRPr="00EF1A9E">
        <w:rPr>
          <w:rStyle w:val="Ohne"/>
          <w:rFonts w:ascii="Cambria" w:hAnsi="Cambria" w:cs="Arial"/>
          <w:sz w:val="20"/>
          <w:szCs w:val="20"/>
        </w:rPr>
        <w:t xml:space="preserve">. Die absolute Reduktion der Sterblichkeit betrug 10,7 %. Für die analysierten sekundären Outcome-Parameter Beatmungsdauer, Verweildauer auf ITS und Inzidenz eines Multiorganversagens, </w:t>
      </w:r>
      <w:r w:rsidR="00447357" w:rsidRPr="00EF1A9E">
        <w:rPr>
          <w:rStyle w:val="Ohne"/>
          <w:rFonts w:ascii="Cambria" w:hAnsi="Cambria" w:cs="Arial"/>
          <w:sz w:val="20"/>
          <w:szCs w:val="20"/>
        </w:rPr>
        <w:lastRenderedPageBreak/>
        <w:t>aber auch für Lebensqualität und kognitives Outcome ist die Datenlage ungenügend.</w:t>
      </w:r>
    </w:p>
    <w:p w14:paraId="5C422997" w14:textId="77777777" w:rsidR="00E11869" w:rsidRPr="00207748" w:rsidRDefault="00447357" w:rsidP="004454B6">
      <w:pPr>
        <w:spacing w:before="240"/>
        <w:rPr>
          <w:rStyle w:val="Ohne"/>
          <w:rFonts w:ascii="Cambria" w:eastAsia="Arial" w:hAnsi="Cambria" w:cs="Arial"/>
          <w:sz w:val="20"/>
          <w:szCs w:val="20"/>
        </w:rPr>
      </w:pPr>
      <w:r w:rsidRPr="00207748">
        <w:rPr>
          <w:rStyle w:val="Ohne"/>
          <w:rFonts w:ascii="Cambria" w:hAnsi="Cambria" w:cs="Arial"/>
          <w:sz w:val="20"/>
          <w:szCs w:val="20"/>
        </w:rPr>
        <w:t>Trotz der aktuell noch offenen Frage, ob der inspiratorische Beatmungsdruck Hauptdeterminante oder nur ein Resultat anderer Parameter – wie beispielsweise PEEP, Tidalvolumen und Compliance bei der lungenprotektiven Beatmung sowie der Schwere der Erkrankung – ist, spricht d</w:t>
      </w:r>
      <w:r w:rsidR="00524587" w:rsidRPr="00207748">
        <w:rPr>
          <w:rStyle w:val="Ohne"/>
          <w:rFonts w:ascii="Cambria" w:hAnsi="Cambria" w:cs="Arial"/>
          <w:sz w:val="20"/>
          <w:szCs w:val="20"/>
        </w:rPr>
        <w:t>ie</w:t>
      </w:r>
      <w:r w:rsidRPr="00207748">
        <w:rPr>
          <w:rStyle w:val="Ohne"/>
          <w:rFonts w:ascii="Cambria" w:hAnsi="Cambria" w:cs="Arial"/>
          <w:sz w:val="20"/>
          <w:szCs w:val="20"/>
        </w:rPr>
        <w:t xml:space="preserve"> Leitlinien</w:t>
      </w:r>
      <w:r w:rsidR="00524587" w:rsidRPr="00207748">
        <w:rPr>
          <w:rStyle w:val="Ohne"/>
          <w:rFonts w:ascii="Cambria" w:hAnsi="Cambria" w:cs="Arial"/>
          <w:sz w:val="20"/>
          <w:szCs w:val="20"/>
        </w:rPr>
        <w:t>kommission</w:t>
      </w:r>
      <w:r w:rsidRPr="00207748">
        <w:rPr>
          <w:rStyle w:val="Ohne"/>
          <w:rFonts w:ascii="Cambria" w:hAnsi="Cambria" w:cs="Arial"/>
          <w:sz w:val="20"/>
          <w:szCs w:val="20"/>
        </w:rPr>
        <w:t xml:space="preserve"> in Abwägung von Nutzen und Schaden eine starke Empfehlung zur Limitierung des endinspiratorischen Beatmungsdrucks ≤ 30 cmH2O bei Patienten mit ARDS und eine schwache Empfehlung bei Patienten mit akuter respiratorischer Insuffizienz aus, da ein Nutzen für die Mehrzahl der Patienten angenommen werden kann. </w:t>
      </w:r>
    </w:p>
    <w:p w14:paraId="71426CE1" w14:textId="77777777" w:rsidR="00E11869" w:rsidRPr="00207748" w:rsidRDefault="00447357" w:rsidP="004454B6">
      <w:pPr>
        <w:rPr>
          <w:rStyle w:val="Ohne"/>
          <w:rFonts w:ascii="Cambria" w:eastAsia="Arial" w:hAnsi="Cambria" w:cs="Arial"/>
          <w:sz w:val="20"/>
          <w:szCs w:val="20"/>
        </w:rPr>
      </w:pPr>
      <w:r w:rsidRPr="00207748">
        <w:rPr>
          <w:rStyle w:val="Ohne"/>
          <w:rFonts w:ascii="Cambria" w:hAnsi="Cambria" w:cs="Arial"/>
          <w:sz w:val="20"/>
          <w:szCs w:val="20"/>
        </w:rPr>
        <w:t xml:space="preserve">Das Konzept des „driving pressure“ </w:t>
      </w:r>
      <w:r w:rsidR="001A58EF" w:rsidRPr="00207748">
        <w:rPr>
          <w:rStyle w:val="Ohne"/>
          <w:rFonts w:ascii="Cambria" w:hAnsi="Cambria" w:cs="Arial"/>
          <w:sz w:val="20"/>
          <w:szCs w:val="20"/>
        </w:rPr>
        <w:t xml:space="preserve">(inspiratorische Druckdifferenz) </w:t>
      </w:r>
      <w:r w:rsidRPr="00207748">
        <w:rPr>
          <w:rStyle w:val="Ohne"/>
          <w:rFonts w:ascii="Cambria" w:hAnsi="Cambria" w:cs="Arial"/>
          <w:sz w:val="20"/>
          <w:szCs w:val="20"/>
        </w:rPr>
        <w:t>und dessen Limitierung auf ≤ 15 cmH2O – bisher nur auf retrospektiven Daten</w:t>
      </w:r>
      <w:r w:rsidRPr="00207748">
        <w:rPr>
          <w:rStyle w:val="Ohne"/>
          <w:rFonts w:ascii="Cambria" w:eastAsia="Arial" w:hAnsi="Cambria" w:cs="Arial"/>
          <w:sz w:val="20"/>
          <w:szCs w:val="20"/>
          <w:vertAlign w:val="superscript"/>
        </w:rPr>
        <w:endnoteReference w:id="381"/>
      </w:r>
      <w:r w:rsidRPr="00207748">
        <w:rPr>
          <w:rStyle w:val="Ohne"/>
          <w:rFonts w:ascii="Cambria" w:hAnsi="Cambria" w:cs="Arial"/>
          <w:sz w:val="20"/>
          <w:szCs w:val="20"/>
        </w:rPr>
        <w:t xml:space="preserve"> bzw. einer großen prospektiven Beobachtungsstudie </w:t>
      </w:r>
      <w:r w:rsidRPr="00207748">
        <w:rPr>
          <w:rStyle w:val="Ohne"/>
          <w:rFonts w:ascii="Cambria" w:eastAsia="Arial" w:hAnsi="Cambria" w:cs="Arial"/>
          <w:sz w:val="20"/>
          <w:szCs w:val="20"/>
          <w:vertAlign w:val="superscript"/>
        </w:rPr>
        <w:endnoteReference w:id="382"/>
      </w:r>
      <w:r w:rsidRPr="00207748">
        <w:rPr>
          <w:rStyle w:val="Ohne"/>
          <w:rFonts w:ascii="Cambria" w:hAnsi="Cambria" w:cs="Arial"/>
          <w:sz w:val="20"/>
          <w:szCs w:val="20"/>
        </w:rPr>
        <w:t xml:space="preserve"> beruhend – hat d</w:t>
      </w:r>
      <w:r w:rsidR="00524587" w:rsidRPr="00207748">
        <w:rPr>
          <w:rStyle w:val="Ohne"/>
          <w:rFonts w:ascii="Cambria" w:hAnsi="Cambria" w:cs="Arial"/>
          <w:sz w:val="20"/>
          <w:szCs w:val="20"/>
        </w:rPr>
        <w:t>ie</w:t>
      </w:r>
      <w:r w:rsidRPr="00207748">
        <w:rPr>
          <w:rStyle w:val="Ohne"/>
          <w:rFonts w:ascii="Cambria" w:hAnsi="Cambria" w:cs="Arial"/>
          <w:sz w:val="20"/>
          <w:szCs w:val="20"/>
        </w:rPr>
        <w:t xml:space="preserve"> Leitlinien</w:t>
      </w:r>
      <w:r w:rsidR="00524587" w:rsidRPr="00207748">
        <w:rPr>
          <w:rStyle w:val="Ohne"/>
          <w:rFonts w:ascii="Cambria" w:hAnsi="Cambria" w:cs="Arial"/>
          <w:sz w:val="20"/>
          <w:szCs w:val="20"/>
        </w:rPr>
        <w:t>kommission</w:t>
      </w:r>
      <w:r w:rsidRPr="00207748">
        <w:rPr>
          <w:rStyle w:val="Ohne"/>
          <w:rFonts w:ascii="Cambria" w:hAnsi="Cambria" w:cs="Arial"/>
          <w:sz w:val="20"/>
          <w:szCs w:val="20"/>
        </w:rPr>
        <w:t xml:space="preserve"> in der Abwägung von Nutzen und Schaden zu einer diesbezüglichen (schwachen) Empfehlung veranlasst. Bei adipösen Patienten oder Patienten mit einem erhöhten intraabdominellen Druck kann gegebenenfalls ein höherer endinspiratorischer Druck bis zu 35 cm H2O notwendig werden. Während pathophysiologische Überlegungen dies zu rechtfertigen scheinen, da der transpulmonale Druck unter diesen Umständen reduziert sein kann</w:t>
      </w:r>
      <w:r w:rsidRPr="00207748">
        <w:rPr>
          <w:rStyle w:val="Ohne"/>
          <w:rFonts w:ascii="Cambria" w:eastAsia="Arial" w:hAnsi="Cambria" w:cs="Arial"/>
          <w:sz w:val="20"/>
          <w:szCs w:val="20"/>
          <w:vertAlign w:val="superscript"/>
        </w:rPr>
        <w:endnoteReference w:id="383"/>
      </w:r>
      <w:r w:rsidRPr="00207748">
        <w:rPr>
          <w:rStyle w:val="Ohne"/>
          <w:rFonts w:ascii="Cambria" w:hAnsi="Cambria" w:cs="Arial"/>
          <w:sz w:val="20"/>
          <w:szCs w:val="20"/>
        </w:rPr>
        <w:t xml:space="preserve">, existieren keine prospektiv randomisierten Studien, welche die Unbedenklichkeit eines solchen Vorgehens belegen. </w:t>
      </w:r>
    </w:p>
    <w:p w14:paraId="1C57EA94" w14:textId="77777777" w:rsidR="00E11869" w:rsidRPr="00207748" w:rsidRDefault="00447357" w:rsidP="004454B6">
      <w:pPr>
        <w:rPr>
          <w:rStyle w:val="Ohne"/>
          <w:rFonts w:ascii="Cambria" w:eastAsia="Arial" w:hAnsi="Cambria" w:cs="Arial"/>
          <w:sz w:val="20"/>
          <w:szCs w:val="20"/>
        </w:rPr>
      </w:pPr>
      <w:r w:rsidRPr="00207748">
        <w:rPr>
          <w:rStyle w:val="Ohne"/>
          <w:rFonts w:ascii="Cambria" w:hAnsi="Cambria" w:cs="Arial"/>
          <w:sz w:val="20"/>
          <w:szCs w:val="20"/>
        </w:rPr>
        <w:t>Für die Beatmung von Patienten unter Extrakorporalverfahren wird aufgrund theoretischer Annahmen eine weitere Reduktion des Plateaudrucks</w:t>
      </w:r>
      <w:r w:rsidRPr="00207748">
        <w:rPr>
          <w:rStyle w:val="Ohne"/>
          <w:rFonts w:ascii="Cambria" w:eastAsia="Arial" w:hAnsi="Cambria" w:cs="Arial"/>
          <w:sz w:val="20"/>
          <w:szCs w:val="20"/>
          <w:vertAlign w:val="superscript"/>
        </w:rPr>
        <w:endnoteReference w:id="384"/>
      </w:r>
      <w:r w:rsidRPr="00207748">
        <w:rPr>
          <w:rStyle w:val="Ohne"/>
          <w:rFonts w:ascii="Cambria" w:hAnsi="Cambria" w:cs="Arial"/>
          <w:sz w:val="20"/>
          <w:szCs w:val="20"/>
        </w:rPr>
        <w:t xml:space="preserve"> und des „driving pressure“ </w:t>
      </w:r>
      <w:r w:rsidRPr="00207748">
        <w:rPr>
          <w:rStyle w:val="Ohne"/>
          <w:rFonts w:ascii="Cambria" w:eastAsia="Arial" w:hAnsi="Cambria" w:cs="Arial"/>
          <w:sz w:val="20"/>
          <w:szCs w:val="20"/>
          <w:vertAlign w:val="superscript"/>
        </w:rPr>
        <w:endnoteReference w:id="385"/>
      </w:r>
      <w:r w:rsidRPr="00207748">
        <w:rPr>
          <w:rStyle w:val="Ohne"/>
          <w:rFonts w:ascii="Cambria" w:hAnsi="Cambria" w:cs="Arial"/>
          <w:sz w:val="20"/>
          <w:szCs w:val="20"/>
        </w:rPr>
        <w:t xml:space="preserve"> angestrebt. Prospektiv randomisierte Studien, die hierfür Grenzen untersucht haben, fehlen jedoch bisher.</w:t>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02"/>
        <w:gridCol w:w="850"/>
      </w:tblGrid>
      <w:tr w:rsidR="00E11869" w:rsidRPr="00207748" w14:paraId="7FFDA478"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73CEE689" w14:textId="77777777" w:rsidR="00E11869" w:rsidRPr="00207748" w:rsidRDefault="00447357" w:rsidP="004454B6">
            <w:pPr>
              <w:rPr>
                <w:rStyle w:val="Ohne"/>
                <w:rFonts w:ascii="Cambria" w:hAnsi="Cambria"/>
                <w:b/>
                <w:bCs/>
                <w:sz w:val="20"/>
                <w:szCs w:val="20"/>
              </w:rPr>
            </w:pPr>
            <w:r w:rsidRPr="00207748">
              <w:rPr>
                <w:rStyle w:val="Ohne"/>
                <w:rFonts w:ascii="Cambria" w:hAnsi="Cambria" w:cs="Arial"/>
                <w:b/>
                <w:bCs/>
                <w:sz w:val="20"/>
                <w:szCs w:val="20"/>
              </w:rPr>
              <w:t>M.6</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36F0D81"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3665F1E5"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32DC8F51" w14:textId="77777777" w:rsidTr="00342FB3">
        <w:trPr>
          <w:trHeight w:val="156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B9E55"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lastRenderedPageBreak/>
              <w:t>Empfehlungsgrad</w:t>
            </w:r>
          </w:p>
          <w:p w14:paraId="2D15FDC5" w14:textId="77777777" w:rsidR="00E11869" w:rsidRPr="00207748" w:rsidRDefault="00E11869" w:rsidP="004454B6">
            <w:pPr>
              <w:spacing w:after="0"/>
              <w:rPr>
                <w:rStyle w:val="Ohne"/>
                <w:rFonts w:ascii="Cambria" w:eastAsia="Arial" w:hAnsi="Cambria" w:cs="Arial"/>
                <w:sz w:val="20"/>
                <w:szCs w:val="20"/>
              </w:rPr>
            </w:pPr>
          </w:p>
          <w:p w14:paraId="3FB52EB5" w14:textId="77777777" w:rsidR="00E11869" w:rsidRPr="00207748" w:rsidRDefault="00447357" w:rsidP="004454B6">
            <w:pPr>
              <w:spacing w:after="0"/>
              <w:rPr>
                <w:rStyle w:val="Ohne"/>
                <w:rFonts w:ascii="Cambria" w:eastAsia="Arial" w:hAnsi="Cambria" w:cs="Arial"/>
                <w:b/>
                <w:bCs/>
                <w:sz w:val="20"/>
                <w:szCs w:val="20"/>
              </w:rPr>
            </w:pPr>
            <w:r w:rsidRPr="00207748">
              <w:rPr>
                <w:rStyle w:val="Ohne"/>
                <w:rFonts w:ascii="Cambria" w:hAnsi="Cambria" w:cs="Arial"/>
                <w:b/>
                <w:bCs/>
                <w:sz w:val="20"/>
                <w:szCs w:val="20"/>
              </w:rPr>
              <w:t>stark</w:t>
            </w:r>
          </w:p>
          <w:p w14:paraId="24CD9BD0" w14:textId="77777777" w:rsidR="00E11869" w:rsidRPr="00207748" w:rsidRDefault="00E11869" w:rsidP="004454B6">
            <w:pPr>
              <w:spacing w:after="0"/>
              <w:rPr>
                <w:rStyle w:val="Ohne"/>
                <w:rFonts w:ascii="Cambria" w:eastAsia="Arial" w:hAnsi="Cambria" w:cs="Arial"/>
                <w:sz w:val="20"/>
                <w:szCs w:val="20"/>
              </w:rPr>
            </w:pPr>
          </w:p>
          <w:p w14:paraId="7EDF4E07"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Evidenzgrad</w:t>
            </w:r>
          </w:p>
          <w:p w14:paraId="57C17015" w14:textId="77777777" w:rsidR="00E11869" w:rsidRPr="00207748" w:rsidRDefault="00E11869" w:rsidP="004454B6">
            <w:pPr>
              <w:spacing w:after="0"/>
              <w:rPr>
                <w:rStyle w:val="Ohne"/>
                <w:rFonts w:ascii="Cambria" w:eastAsia="Arial" w:hAnsi="Cambria" w:cs="Arial"/>
                <w:sz w:val="20"/>
                <w:szCs w:val="20"/>
              </w:rPr>
            </w:pPr>
          </w:p>
          <w:p w14:paraId="32F5B41D"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sehr niedrig</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0B9840" w14:textId="532ECF31" w:rsidR="00E11869" w:rsidRPr="00207748" w:rsidRDefault="00447357" w:rsidP="00B26F79">
            <w:pPr>
              <w:spacing w:after="0"/>
              <w:rPr>
                <w:rFonts w:ascii="Cambria" w:hAnsi="Cambria" w:cs="Arial"/>
                <w:sz w:val="20"/>
                <w:szCs w:val="20"/>
              </w:rPr>
            </w:pPr>
            <w:r w:rsidRPr="00207748">
              <w:rPr>
                <w:rStyle w:val="Ohne"/>
                <w:rFonts w:ascii="Cambria" w:hAnsi="Cambria" w:cs="Arial"/>
                <w:b/>
                <w:bCs/>
                <w:sz w:val="20"/>
                <w:szCs w:val="20"/>
              </w:rPr>
              <w:t xml:space="preserve">Wir empfehlen, invasiv beatmete Patienten mit einem PEEP </w:t>
            </w:r>
            <w:r w:rsidR="00B26F79">
              <w:rPr>
                <w:rStyle w:val="Ohne"/>
                <w:rFonts w:ascii="Cambria" w:hAnsi="Cambria" w:cs="Arial"/>
                <w:b/>
                <w:bCs/>
                <w:sz w:val="20"/>
                <w:szCs w:val="20"/>
              </w:rPr>
              <w:t>NICHT</w:t>
            </w:r>
            <w:r w:rsidRPr="00207748">
              <w:rPr>
                <w:rStyle w:val="Ohne"/>
                <w:rFonts w:ascii="Cambria" w:hAnsi="Cambria" w:cs="Arial"/>
                <w:b/>
                <w:bCs/>
                <w:sz w:val="20"/>
                <w:szCs w:val="20"/>
              </w:rPr>
              <w:t xml:space="preserve"> unter 5 cm H</w:t>
            </w:r>
            <w:r w:rsidRPr="00207748">
              <w:rPr>
                <w:rStyle w:val="Ohne"/>
                <w:rFonts w:ascii="Cambria" w:hAnsi="Cambria" w:cs="Arial"/>
                <w:b/>
                <w:bCs/>
                <w:sz w:val="20"/>
                <w:szCs w:val="20"/>
                <w:vertAlign w:val="subscript"/>
              </w:rPr>
              <w:t>2</w:t>
            </w:r>
            <w:r w:rsidRPr="00207748">
              <w:rPr>
                <w:rStyle w:val="Ohne"/>
                <w:rFonts w:ascii="Cambria" w:hAnsi="Cambria" w:cs="Arial"/>
                <w:b/>
                <w:bCs/>
                <w:sz w:val="20"/>
                <w:szCs w:val="20"/>
              </w:rPr>
              <w:t>O zu beatmen.</w:t>
            </w:r>
          </w:p>
        </w:tc>
      </w:tr>
      <w:tr w:rsidR="00E11869" w:rsidRPr="00207748" w14:paraId="3BFFBB4C" w14:textId="77777777" w:rsidTr="00342FB3">
        <w:trPr>
          <w:trHeight w:val="56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5272D584"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76008C"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 xml:space="preserve">Adaptation </w:t>
            </w:r>
            <w:r w:rsidR="00B20D2B" w:rsidRPr="00207748">
              <w:rPr>
                <w:rStyle w:val="Ohne"/>
                <w:rFonts w:ascii="Cambria" w:hAnsi="Cambria" w:cs="Arial"/>
                <w:b/>
                <w:bCs/>
                <w:sz w:val="20"/>
                <w:szCs w:val="20"/>
              </w:rPr>
              <w:t xml:space="preserve">der </w:t>
            </w:r>
            <w:r w:rsidRPr="00207748">
              <w:rPr>
                <w:rStyle w:val="Ohne"/>
                <w:rFonts w:ascii="Cambria" w:hAnsi="Cambria" w:cs="Arial"/>
                <w:b/>
                <w:bCs/>
                <w:sz w:val="20"/>
                <w:szCs w:val="20"/>
              </w:rPr>
              <w:t xml:space="preserve">S3-Leitline Beatmung </w:t>
            </w:r>
          </w:p>
        </w:tc>
      </w:tr>
      <w:tr w:rsidR="00E11869" w:rsidRPr="00207748" w14:paraId="35D3065C"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1348A"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97B7B"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Konsensstärke: 100 %</w:t>
            </w:r>
          </w:p>
        </w:tc>
      </w:tr>
    </w:tbl>
    <w:p w14:paraId="7BA7C7D1" w14:textId="77777777" w:rsidR="00E11869" w:rsidRPr="00207748" w:rsidRDefault="00E11869" w:rsidP="004454B6">
      <w:pPr>
        <w:rPr>
          <w:rStyle w:val="Ohne"/>
          <w:rFonts w:ascii="Cambria" w:eastAsia="Arial" w:hAnsi="Cambria" w:cs="Arial"/>
          <w:iCs/>
          <w:sz w:val="20"/>
          <w:szCs w:val="20"/>
        </w:rPr>
      </w:pP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02"/>
        <w:gridCol w:w="850"/>
      </w:tblGrid>
      <w:tr w:rsidR="00E11869" w:rsidRPr="00207748" w14:paraId="6840FAD9"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EA9994E" w14:textId="77777777" w:rsidR="00E11869" w:rsidRPr="00207748" w:rsidRDefault="00447357" w:rsidP="004454B6">
            <w:pPr>
              <w:rPr>
                <w:rStyle w:val="Ohne"/>
                <w:rFonts w:ascii="Cambria" w:hAnsi="Cambria"/>
                <w:b/>
                <w:bCs/>
                <w:sz w:val="20"/>
                <w:szCs w:val="20"/>
              </w:rPr>
            </w:pPr>
            <w:r w:rsidRPr="00207748">
              <w:rPr>
                <w:rStyle w:val="Ohne"/>
                <w:rFonts w:ascii="Cambria" w:hAnsi="Cambria" w:cs="Arial"/>
                <w:b/>
                <w:bCs/>
                <w:sz w:val="20"/>
                <w:szCs w:val="20"/>
              </w:rPr>
              <w:t>M.7</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7B6B3341"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A9A306F"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3C3F8283" w14:textId="77777777" w:rsidTr="00342FB3">
        <w:trPr>
          <w:trHeight w:val="112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43F96"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Empfehlungsgrad</w:t>
            </w:r>
          </w:p>
          <w:p w14:paraId="12680E6C" w14:textId="77777777" w:rsidR="00E11869" w:rsidRPr="00207748" w:rsidRDefault="00E11869" w:rsidP="004454B6">
            <w:pPr>
              <w:spacing w:after="0"/>
              <w:rPr>
                <w:rStyle w:val="Ohne"/>
                <w:rFonts w:ascii="Cambria" w:eastAsia="Arial" w:hAnsi="Cambria" w:cs="Arial"/>
                <w:sz w:val="20"/>
                <w:szCs w:val="20"/>
              </w:rPr>
            </w:pPr>
          </w:p>
          <w:p w14:paraId="3CFE102A" w14:textId="77777777" w:rsidR="00E11869" w:rsidRPr="00207748" w:rsidRDefault="00447357" w:rsidP="004454B6">
            <w:pPr>
              <w:spacing w:after="0"/>
              <w:rPr>
                <w:rStyle w:val="Ohne"/>
                <w:rFonts w:ascii="Cambria" w:eastAsia="Arial" w:hAnsi="Cambria" w:cs="Arial"/>
                <w:b/>
                <w:bCs/>
                <w:sz w:val="20"/>
                <w:szCs w:val="20"/>
              </w:rPr>
            </w:pPr>
            <w:r w:rsidRPr="00207748">
              <w:rPr>
                <w:rStyle w:val="Ohne"/>
                <w:rFonts w:ascii="Cambria" w:hAnsi="Cambria" w:cs="Arial"/>
                <w:b/>
                <w:bCs/>
                <w:sz w:val="20"/>
                <w:szCs w:val="20"/>
              </w:rPr>
              <w:t>stark</w:t>
            </w:r>
          </w:p>
          <w:p w14:paraId="79BEE74F" w14:textId="77777777" w:rsidR="00E11869" w:rsidRPr="00207748" w:rsidRDefault="00E11869" w:rsidP="004454B6">
            <w:pPr>
              <w:spacing w:after="0"/>
              <w:rPr>
                <w:rStyle w:val="Ohne"/>
                <w:rFonts w:ascii="Cambria" w:eastAsia="Arial" w:hAnsi="Cambria" w:cs="Arial"/>
                <w:sz w:val="20"/>
                <w:szCs w:val="20"/>
              </w:rPr>
            </w:pPr>
          </w:p>
          <w:p w14:paraId="2BBCA98D"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Evidenzgrad</w:t>
            </w:r>
          </w:p>
          <w:p w14:paraId="7FC156C4" w14:textId="77777777" w:rsidR="00E11869" w:rsidRPr="00207748" w:rsidRDefault="00E11869" w:rsidP="004454B6">
            <w:pPr>
              <w:spacing w:after="0"/>
              <w:rPr>
                <w:rStyle w:val="Ohne"/>
                <w:rFonts w:ascii="Cambria" w:eastAsia="Arial" w:hAnsi="Cambria" w:cs="Arial"/>
                <w:sz w:val="20"/>
                <w:szCs w:val="20"/>
              </w:rPr>
            </w:pPr>
          </w:p>
          <w:p w14:paraId="372AA786"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hoch</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697F24"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Wir empfehlen, Patienten mit ARDS mit einem höheren PEEP zu beatmen.</w:t>
            </w:r>
          </w:p>
        </w:tc>
      </w:tr>
      <w:tr w:rsidR="00E11869" w:rsidRPr="00207748" w14:paraId="37D3D953" w14:textId="77777777" w:rsidTr="00342FB3">
        <w:trPr>
          <w:trHeight w:val="680"/>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6B7EADEF"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E39B90"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 xml:space="preserve">Adaptation S3-Leitline Beatmung </w:t>
            </w:r>
          </w:p>
        </w:tc>
      </w:tr>
      <w:tr w:rsidR="00E11869" w:rsidRPr="00207748" w14:paraId="5A979B7E"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5224A"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14241"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Konsensstärke: 100 %</w:t>
            </w:r>
          </w:p>
        </w:tc>
      </w:tr>
    </w:tbl>
    <w:p w14:paraId="6D79B4FC" w14:textId="05EB5885" w:rsidR="00DA3A66" w:rsidRDefault="00DA3A66">
      <w:pPr>
        <w:spacing w:after="0" w:line="240" w:lineRule="auto"/>
        <w:rPr>
          <w:rStyle w:val="Ohne"/>
          <w:rFonts w:ascii="Cambria" w:eastAsia="Arial" w:hAnsi="Cambria" w:cs="Arial"/>
          <w:iCs/>
          <w:sz w:val="20"/>
          <w:szCs w:val="20"/>
        </w:rPr>
      </w:pP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02"/>
        <w:gridCol w:w="850"/>
      </w:tblGrid>
      <w:tr w:rsidR="00E11869" w:rsidRPr="00207748" w14:paraId="40DDD2DC"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F9FD24D" w14:textId="77777777" w:rsidR="00E11869" w:rsidRPr="00207748" w:rsidRDefault="00447357" w:rsidP="004454B6">
            <w:pPr>
              <w:rPr>
                <w:rStyle w:val="Ohne"/>
                <w:rFonts w:ascii="Cambria" w:hAnsi="Cambria"/>
                <w:b/>
                <w:bCs/>
                <w:sz w:val="20"/>
                <w:szCs w:val="20"/>
              </w:rPr>
            </w:pPr>
            <w:r w:rsidRPr="00207748">
              <w:rPr>
                <w:rStyle w:val="Ohne"/>
                <w:rFonts w:ascii="Cambria" w:hAnsi="Cambria" w:cs="Arial"/>
                <w:b/>
                <w:bCs/>
                <w:sz w:val="20"/>
                <w:szCs w:val="20"/>
              </w:rPr>
              <w:t>M.8</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1153AE0A"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24875D8"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4CD5165D" w14:textId="77777777" w:rsidTr="00334AF5">
        <w:trPr>
          <w:trHeight w:val="403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F1146"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Empfehlungsgrad</w:t>
            </w:r>
          </w:p>
          <w:p w14:paraId="26766B9F" w14:textId="77777777" w:rsidR="00E11869" w:rsidRPr="00207748" w:rsidRDefault="00E11869" w:rsidP="004454B6">
            <w:pPr>
              <w:spacing w:after="0"/>
              <w:rPr>
                <w:rStyle w:val="Ohne"/>
                <w:rFonts w:ascii="Cambria" w:eastAsia="Arial" w:hAnsi="Cambria" w:cs="Arial"/>
                <w:sz w:val="20"/>
                <w:szCs w:val="20"/>
              </w:rPr>
            </w:pPr>
          </w:p>
          <w:p w14:paraId="280B674A" w14:textId="77777777" w:rsidR="00E11869" w:rsidRPr="00207748" w:rsidRDefault="00447357" w:rsidP="004454B6">
            <w:pPr>
              <w:spacing w:after="0"/>
              <w:rPr>
                <w:rStyle w:val="Ohne"/>
                <w:rFonts w:ascii="Cambria" w:eastAsia="Arial" w:hAnsi="Cambria" w:cs="Arial"/>
                <w:b/>
                <w:bCs/>
                <w:sz w:val="20"/>
                <w:szCs w:val="20"/>
              </w:rPr>
            </w:pPr>
            <w:r w:rsidRPr="00207748">
              <w:rPr>
                <w:rStyle w:val="Ohne"/>
                <w:rFonts w:ascii="Cambria" w:hAnsi="Cambria" w:cs="Arial"/>
                <w:b/>
                <w:bCs/>
                <w:sz w:val="20"/>
                <w:szCs w:val="20"/>
              </w:rPr>
              <w:t>schwach</w:t>
            </w:r>
          </w:p>
          <w:p w14:paraId="58864205" w14:textId="77777777" w:rsidR="00E11869" w:rsidRPr="00207748" w:rsidRDefault="00E11869" w:rsidP="004454B6">
            <w:pPr>
              <w:spacing w:after="0"/>
              <w:rPr>
                <w:rStyle w:val="Ohne"/>
                <w:rFonts w:ascii="Cambria" w:eastAsia="Arial" w:hAnsi="Cambria" w:cs="Arial"/>
                <w:sz w:val="20"/>
                <w:szCs w:val="20"/>
              </w:rPr>
            </w:pPr>
          </w:p>
          <w:p w14:paraId="319FA63D"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Evidenzgrad</w:t>
            </w:r>
          </w:p>
          <w:p w14:paraId="54B945A1" w14:textId="77777777" w:rsidR="00E11869" w:rsidRPr="00207748" w:rsidRDefault="00E11869" w:rsidP="004454B6">
            <w:pPr>
              <w:spacing w:after="0"/>
              <w:rPr>
                <w:rStyle w:val="Ohne"/>
                <w:rFonts w:ascii="Cambria" w:eastAsia="Arial" w:hAnsi="Cambria" w:cs="Arial"/>
                <w:sz w:val="20"/>
                <w:szCs w:val="20"/>
              </w:rPr>
            </w:pPr>
          </w:p>
          <w:p w14:paraId="62B118AA"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niedrig</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C102B" w14:textId="50655B1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Wir schlagen vor, für die orientierende Einstellung des PEEP eine der im einleitenden Abschnitt dieses Kapitels in der S3-Leitlinie „Beatmung“ vorgeschlagenen bettseitigen Methoden anzuwenden. Unter Berücksichtigung der einfachen Anwendbarkeit schlagen wir orientierend die Einstellung nach der ARDS-Network Tabelle vor</w:t>
            </w:r>
            <w:r w:rsidR="00665775" w:rsidRPr="00207748">
              <w:rPr>
                <w:rStyle w:val="Ohne"/>
                <w:rFonts w:ascii="Cambria" w:hAnsi="Cambria" w:cs="Arial"/>
                <w:b/>
                <w:bCs/>
                <w:sz w:val="20"/>
                <w:szCs w:val="20"/>
              </w:rPr>
              <w:t>.</w:t>
            </w:r>
            <w:r w:rsidR="00773ECC" w:rsidRPr="00207748">
              <w:rPr>
                <w:rStyle w:val="Ohne"/>
                <w:rFonts w:ascii="Cambria" w:hAnsi="Cambria" w:cs="Arial"/>
                <w:b/>
                <w:bCs/>
                <w:sz w:val="20"/>
                <w:szCs w:val="20"/>
              </w:rPr>
              <w:t xml:space="preserve"> (Tabelle 1, Anhang)</w:t>
            </w:r>
          </w:p>
        </w:tc>
      </w:tr>
      <w:tr w:rsidR="00E11869" w:rsidRPr="00207748" w14:paraId="1DC7A71E" w14:textId="77777777" w:rsidTr="00342FB3">
        <w:trPr>
          <w:trHeight w:val="56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25C7D856"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319F4"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 xml:space="preserve">Adaptation </w:t>
            </w:r>
            <w:r w:rsidR="00B20D2B" w:rsidRPr="00207748">
              <w:rPr>
                <w:rStyle w:val="Ohne"/>
                <w:rFonts w:ascii="Cambria" w:hAnsi="Cambria" w:cs="Arial"/>
                <w:b/>
                <w:bCs/>
                <w:sz w:val="20"/>
                <w:szCs w:val="20"/>
              </w:rPr>
              <w:t xml:space="preserve">der </w:t>
            </w:r>
            <w:r w:rsidRPr="00207748">
              <w:rPr>
                <w:rStyle w:val="Ohne"/>
                <w:rFonts w:ascii="Cambria" w:hAnsi="Cambria" w:cs="Arial"/>
                <w:b/>
                <w:bCs/>
                <w:sz w:val="20"/>
                <w:szCs w:val="20"/>
              </w:rPr>
              <w:t xml:space="preserve">S3-Leitline Beatmung </w:t>
            </w:r>
          </w:p>
        </w:tc>
      </w:tr>
      <w:tr w:rsidR="00E11869" w:rsidRPr="00207748" w14:paraId="6DBD8C43"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2FEF2"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B439B"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Konsensstärke: 77 %</w:t>
            </w:r>
          </w:p>
        </w:tc>
      </w:tr>
    </w:tbl>
    <w:p w14:paraId="6E95A8CC" w14:textId="77777777" w:rsidR="00665775" w:rsidRPr="00207748" w:rsidRDefault="00420A45" w:rsidP="004454B6">
      <w:pPr>
        <w:spacing w:before="240" w:after="0"/>
        <w:rPr>
          <w:rStyle w:val="Ohne"/>
          <w:rFonts w:ascii="Cambria" w:eastAsia="Arial" w:hAnsi="Cambria" w:cs="Arial"/>
          <w:b/>
          <w:bCs/>
          <w:sz w:val="20"/>
          <w:szCs w:val="20"/>
        </w:rPr>
      </w:pPr>
      <w:r w:rsidRPr="00207748">
        <w:rPr>
          <w:rStyle w:val="Ohne"/>
          <w:rFonts w:ascii="Cambria" w:hAnsi="Cambria" w:cs="Arial"/>
          <w:b/>
          <w:bCs/>
          <w:sz w:val="20"/>
          <w:szCs w:val="20"/>
        </w:rPr>
        <w:lastRenderedPageBreak/>
        <w:t>Begründung:</w:t>
      </w:r>
      <w:r w:rsidR="00342FB3" w:rsidRPr="00207748">
        <w:rPr>
          <w:rStyle w:val="Ohne"/>
          <w:rFonts w:ascii="Cambria" w:eastAsia="Arial" w:hAnsi="Cambria" w:cs="Arial"/>
          <w:b/>
          <w:bCs/>
          <w:sz w:val="20"/>
          <w:szCs w:val="20"/>
        </w:rPr>
        <w:t xml:space="preserve"> </w:t>
      </w:r>
    </w:p>
    <w:p w14:paraId="1BBAE951" w14:textId="7E799AD5" w:rsidR="00E11869" w:rsidRPr="00207748" w:rsidRDefault="00447357" w:rsidP="004454B6">
      <w:pPr>
        <w:spacing w:before="240" w:after="0"/>
        <w:rPr>
          <w:rStyle w:val="Ohne"/>
          <w:rFonts w:ascii="Cambria" w:eastAsia="Arial" w:hAnsi="Cambria" w:cs="Arial"/>
          <w:b/>
          <w:bCs/>
          <w:sz w:val="20"/>
          <w:szCs w:val="20"/>
        </w:rPr>
      </w:pPr>
      <w:r w:rsidRPr="00207748">
        <w:rPr>
          <w:rStyle w:val="Ohne"/>
          <w:rFonts w:ascii="Cambria" w:hAnsi="Cambria" w:cs="Arial"/>
          <w:i/>
          <w:iCs/>
          <w:sz w:val="20"/>
          <w:szCs w:val="20"/>
        </w:rPr>
        <w:t>Patienten ohne ARDS</w:t>
      </w:r>
    </w:p>
    <w:p w14:paraId="6C958F61" w14:textId="198088CF" w:rsidR="00E11869" w:rsidRPr="00207748" w:rsidRDefault="00447357" w:rsidP="004454B6">
      <w:pPr>
        <w:spacing w:after="120"/>
        <w:rPr>
          <w:rStyle w:val="Ohne"/>
          <w:rFonts w:ascii="Cambria" w:eastAsia="Arial" w:hAnsi="Cambria" w:cs="Arial"/>
          <w:sz w:val="20"/>
          <w:szCs w:val="20"/>
        </w:rPr>
      </w:pPr>
      <w:r w:rsidRPr="00207748">
        <w:rPr>
          <w:rStyle w:val="Ohne"/>
          <w:rFonts w:ascii="Cambria" w:hAnsi="Cambria" w:cs="Arial"/>
          <w:sz w:val="20"/>
          <w:szCs w:val="20"/>
        </w:rPr>
        <w:t>Pathophysiologische Überlegungen legen nahe, Patienten nicht mit einem PEEP von weniger als 5 cmH</w:t>
      </w:r>
      <w:r w:rsidRPr="00207748">
        <w:rPr>
          <w:rStyle w:val="Ohne"/>
          <w:rFonts w:ascii="Cambria" w:hAnsi="Cambria" w:cs="Arial"/>
          <w:sz w:val="20"/>
          <w:szCs w:val="20"/>
          <w:vertAlign w:val="subscript"/>
        </w:rPr>
        <w:t>2</w:t>
      </w:r>
      <w:r w:rsidRPr="00207748">
        <w:rPr>
          <w:rStyle w:val="Ohne"/>
          <w:rFonts w:ascii="Cambria" w:hAnsi="Cambria" w:cs="Arial"/>
          <w:sz w:val="20"/>
          <w:szCs w:val="20"/>
        </w:rPr>
        <w:t>O invasiv zu beatmen. Entsprechend lautende Empfehlungen werden in mehreren Leitlinien im Sinne einer Expertenmeinung ausgesprochen</w:t>
      </w:r>
      <w:r w:rsidR="00FB5B41" w:rsidRPr="00207748">
        <w:rPr>
          <w:rStyle w:val="Endnotenzeichen"/>
          <w:rFonts w:ascii="Cambria" w:hAnsi="Cambria" w:cs="Arial"/>
          <w:sz w:val="20"/>
          <w:szCs w:val="20"/>
        </w:rPr>
        <w:endnoteReference w:id="386"/>
      </w:r>
      <w:r w:rsidRPr="00207748">
        <w:rPr>
          <w:rStyle w:val="Ohne"/>
          <w:rFonts w:ascii="Cambria" w:hAnsi="Cambria" w:cs="Arial"/>
          <w:sz w:val="20"/>
          <w:szCs w:val="20"/>
        </w:rPr>
        <w:t xml:space="preserve"> </w:t>
      </w:r>
      <w:r w:rsidR="00FB5B41" w:rsidRPr="00207748">
        <w:rPr>
          <w:rStyle w:val="Endnotenzeichen"/>
          <w:rFonts w:ascii="Cambria" w:hAnsi="Cambria" w:cs="Arial"/>
          <w:sz w:val="20"/>
          <w:szCs w:val="20"/>
        </w:rPr>
        <w:endnoteReference w:id="387"/>
      </w:r>
      <w:r w:rsidR="00FB5B41" w:rsidRPr="00207748">
        <w:rPr>
          <w:rStyle w:val="Ohne"/>
          <w:rFonts w:ascii="Cambria" w:hAnsi="Cambria" w:cs="Arial"/>
          <w:sz w:val="20"/>
          <w:szCs w:val="20"/>
        </w:rPr>
        <w:t xml:space="preserve"> </w:t>
      </w:r>
      <w:r w:rsidR="00FB5B41" w:rsidRPr="00207748">
        <w:rPr>
          <w:rStyle w:val="Endnotenzeichen"/>
          <w:rFonts w:ascii="Cambria" w:hAnsi="Cambria" w:cs="Arial"/>
          <w:sz w:val="20"/>
          <w:szCs w:val="20"/>
        </w:rPr>
        <w:endnoteReference w:id="388"/>
      </w:r>
      <w:r w:rsidRPr="00207748">
        <w:rPr>
          <w:rStyle w:val="Ohne"/>
          <w:rFonts w:ascii="Cambria" w:hAnsi="Cambria" w:cs="Arial"/>
          <w:sz w:val="20"/>
          <w:szCs w:val="20"/>
        </w:rPr>
        <w:t xml:space="preserve"> </w:t>
      </w:r>
      <w:r w:rsidR="00FB5B41" w:rsidRPr="00207748">
        <w:rPr>
          <w:rStyle w:val="Endnotenzeichen"/>
          <w:rFonts w:ascii="Cambria" w:hAnsi="Cambria" w:cs="Arial"/>
          <w:sz w:val="20"/>
          <w:szCs w:val="20"/>
        </w:rPr>
        <w:endnoteReference w:id="389"/>
      </w:r>
      <w:r w:rsidR="00FB5B41" w:rsidRPr="00207748">
        <w:rPr>
          <w:rStyle w:val="Ohne"/>
          <w:rFonts w:ascii="Cambria" w:hAnsi="Cambria" w:cs="Arial"/>
          <w:sz w:val="20"/>
          <w:szCs w:val="20"/>
        </w:rPr>
        <w:t xml:space="preserve"> </w:t>
      </w:r>
      <w:r w:rsidRPr="00207748">
        <w:rPr>
          <w:rStyle w:val="Ohne"/>
          <w:rFonts w:ascii="Cambria" w:hAnsi="Cambria" w:cs="Arial"/>
          <w:sz w:val="20"/>
          <w:szCs w:val="20"/>
        </w:rPr>
        <w:t>und wurden beispielsweise in den Kontrollgruppen der oben erwähnten RCTs zur Beatmung mit niedrigen Tidalvolumina auch ausnahmslos angewendet. Die aktualisierte Version der SSC-Leitlinie enthält keine allgemeine Empfehlung zur Anwendung von PEEP.</w:t>
      </w:r>
      <w:r w:rsidR="00587AE4">
        <w:rPr>
          <w:rStyle w:val="Endnotenzeichen"/>
          <w:rFonts w:ascii="Cambria" w:hAnsi="Cambria" w:cs="Arial"/>
          <w:sz w:val="20"/>
          <w:szCs w:val="20"/>
        </w:rPr>
        <w:fldChar w:fldCharType="begin"/>
      </w:r>
      <w:r w:rsidR="00587AE4">
        <w:rPr>
          <w:rStyle w:val="Ohne"/>
          <w:rFonts w:ascii="Cambria" w:hAnsi="Cambria" w:cs="Arial"/>
          <w:sz w:val="20"/>
          <w:szCs w:val="20"/>
        </w:rPr>
        <w:instrText xml:space="preserve"> NOTEREF _Ref30424572 \h </w:instrText>
      </w:r>
      <w:r w:rsidR="00587AE4">
        <w:rPr>
          <w:rStyle w:val="Endnotenzeichen"/>
          <w:rFonts w:ascii="Cambria" w:hAnsi="Cambria" w:cs="Arial"/>
          <w:sz w:val="20"/>
          <w:szCs w:val="20"/>
        </w:rPr>
      </w:r>
      <w:r w:rsidR="00587AE4">
        <w:rPr>
          <w:rStyle w:val="Endnotenzeichen"/>
          <w:rFonts w:ascii="Cambria" w:hAnsi="Cambria" w:cs="Arial"/>
          <w:sz w:val="20"/>
          <w:szCs w:val="20"/>
        </w:rPr>
        <w:fldChar w:fldCharType="separate"/>
      </w:r>
      <w:r w:rsidR="001A283B">
        <w:rPr>
          <w:rStyle w:val="Ohne"/>
          <w:rFonts w:ascii="Cambria" w:hAnsi="Cambria" w:cs="Arial"/>
          <w:sz w:val="20"/>
          <w:szCs w:val="20"/>
        </w:rPr>
        <w:t>2</w:t>
      </w:r>
      <w:r w:rsidR="00587AE4">
        <w:rPr>
          <w:rStyle w:val="Endnotenzeichen"/>
          <w:rFonts w:ascii="Cambria" w:hAnsi="Cambria" w:cs="Arial"/>
          <w:sz w:val="20"/>
          <w:szCs w:val="20"/>
        </w:rPr>
        <w:fldChar w:fldCharType="end"/>
      </w:r>
      <w:r w:rsidRPr="00207748">
        <w:rPr>
          <w:rStyle w:val="Ohne"/>
          <w:rFonts w:ascii="Cambria" w:hAnsi="Cambria" w:cs="Arial"/>
          <w:sz w:val="20"/>
          <w:szCs w:val="20"/>
        </w:rPr>
        <w:t xml:space="preserve"> Eine wirklich fundierte Evidenz für diese Empfehlung bestand bisher nicht.</w:t>
      </w:r>
    </w:p>
    <w:p w14:paraId="40AA7CF7" w14:textId="23A9DDE0" w:rsidR="00E11869" w:rsidRPr="00207748" w:rsidRDefault="00447357" w:rsidP="004454B6">
      <w:pPr>
        <w:spacing w:after="120"/>
        <w:rPr>
          <w:rStyle w:val="Ohne"/>
          <w:rFonts w:ascii="Cambria" w:eastAsia="Arial" w:hAnsi="Cambria" w:cs="Arial"/>
          <w:sz w:val="20"/>
          <w:szCs w:val="20"/>
        </w:rPr>
      </w:pPr>
      <w:r w:rsidRPr="00207748">
        <w:rPr>
          <w:rStyle w:val="Ohne"/>
          <w:rFonts w:ascii="Cambria" w:hAnsi="Cambria" w:cs="Arial"/>
          <w:sz w:val="20"/>
          <w:szCs w:val="20"/>
        </w:rPr>
        <w:t>Trotz der bisher fehlenden Nachweise positiver Effekte einer</w:t>
      </w:r>
      <w:r w:rsidR="002B1061">
        <w:rPr>
          <w:rStyle w:val="Ohne"/>
          <w:rFonts w:ascii="Cambria" w:hAnsi="Cambria" w:cs="Arial"/>
          <w:sz w:val="20"/>
          <w:szCs w:val="20"/>
        </w:rPr>
        <w:t xml:space="preserve"> </w:t>
      </w:r>
      <w:r w:rsidRPr="00207748">
        <w:rPr>
          <w:rStyle w:val="Ohne"/>
          <w:rFonts w:ascii="Cambria" w:hAnsi="Cambria" w:cs="Arial"/>
          <w:sz w:val="20"/>
          <w:szCs w:val="20"/>
        </w:rPr>
        <w:t>Beatmung mit mindestens 5 cm H2O PEEP beim Patienten ohne ARDS auf kritische Outcome-Parameter wie Überleben und ITS-Verweildauer vergibt d</w:t>
      </w:r>
      <w:r w:rsidR="00524587" w:rsidRPr="00207748">
        <w:rPr>
          <w:rStyle w:val="Ohne"/>
          <w:rFonts w:ascii="Cambria" w:hAnsi="Cambria" w:cs="Arial"/>
          <w:sz w:val="20"/>
          <w:szCs w:val="20"/>
        </w:rPr>
        <w:t>ie</w:t>
      </w:r>
      <w:r w:rsidRPr="00207748">
        <w:rPr>
          <w:rStyle w:val="Ohne"/>
          <w:rFonts w:ascii="Cambria" w:hAnsi="Cambria" w:cs="Arial"/>
          <w:sz w:val="20"/>
          <w:szCs w:val="20"/>
        </w:rPr>
        <w:t xml:space="preserve"> Leitlinien</w:t>
      </w:r>
      <w:r w:rsidR="00524587" w:rsidRPr="00207748">
        <w:rPr>
          <w:rStyle w:val="Ohne"/>
          <w:rFonts w:ascii="Cambria" w:hAnsi="Cambria" w:cs="Arial"/>
          <w:sz w:val="20"/>
          <w:szCs w:val="20"/>
        </w:rPr>
        <w:t>kommission</w:t>
      </w:r>
      <w:r w:rsidRPr="00207748">
        <w:rPr>
          <w:rStyle w:val="Ohne"/>
          <w:rFonts w:ascii="Cambria" w:hAnsi="Cambria" w:cs="Arial"/>
          <w:sz w:val="20"/>
          <w:szCs w:val="20"/>
        </w:rPr>
        <w:t xml:space="preserve"> aufgrund der nachgewiesenen positiven Effekte auf Oxygenierung und Lungen</w:t>
      </w:r>
      <w:r w:rsidR="001A58EF" w:rsidRPr="00207748">
        <w:rPr>
          <w:rStyle w:val="Ohne"/>
          <w:rFonts w:ascii="Cambria" w:hAnsi="Cambria" w:cs="Arial"/>
          <w:sz w:val="20"/>
          <w:szCs w:val="20"/>
        </w:rPr>
        <w:t>-C</w:t>
      </w:r>
      <w:r w:rsidRPr="00207748">
        <w:rPr>
          <w:rStyle w:val="Ohne"/>
          <w:rFonts w:ascii="Cambria" w:hAnsi="Cambria" w:cs="Arial"/>
          <w:sz w:val="20"/>
          <w:szCs w:val="20"/>
        </w:rPr>
        <w:t>ompliance und wegen fehlender Hinweise auf relevante Risiken eine starke Empfehlung für die Anwendung von mindestens 5 cm H2O PEEP bei invasiv beatmeten Patienten ohne respiratorisches Versagen auf der ITS.</w:t>
      </w:r>
    </w:p>
    <w:p w14:paraId="6788EBF7" w14:textId="77777777" w:rsidR="00E11869" w:rsidRPr="00207748" w:rsidRDefault="00E11869" w:rsidP="004454B6">
      <w:pPr>
        <w:spacing w:after="0"/>
        <w:rPr>
          <w:rStyle w:val="Ohne"/>
          <w:rFonts w:ascii="Cambria" w:eastAsia="Arial" w:hAnsi="Cambria" w:cs="Arial"/>
          <w:iCs/>
          <w:sz w:val="20"/>
          <w:szCs w:val="20"/>
        </w:rPr>
      </w:pPr>
    </w:p>
    <w:p w14:paraId="0AD15393" w14:textId="77777777" w:rsidR="00E11869" w:rsidRPr="00207748" w:rsidRDefault="00447357" w:rsidP="004454B6">
      <w:pPr>
        <w:spacing w:after="0"/>
        <w:rPr>
          <w:rStyle w:val="Ohne"/>
          <w:rFonts w:ascii="Cambria" w:eastAsia="Arial" w:hAnsi="Cambria" w:cs="Arial"/>
          <w:i/>
          <w:iCs/>
          <w:sz w:val="20"/>
          <w:szCs w:val="20"/>
        </w:rPr>
      </w:pPr>
      <w:r w:rsidRPr="00207748">
        <w:rPr>
          <w:rStyle w:val="Ohne"/>
          <w:rFonts w:ascii="Cambria" w:hAnsi="Cambria" w:cs="Arial"/>
          <w:i/>
          <w:iCs/>
          <w:sz w:val="20"/>
          <w:szCs w:val="20"/>
        </w:rPr>
        <w:t>Patienten mit ARDS</w:t>
      </w:r>
    </w:p>
    <w:p w14:paraId="1B7FF703" w14:textId="5BA267E3"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Die aktualisierte Version der SSC-Leitlinie 2016 vergibt eine schwache Empfehlung zur Anwendung höherer statt niedriger PEEP-Level in adulten Patienten mit schwerem ARDS (schwache Empfehlung, moderate Qualität der Evidenz).</w:t>
      </w:r>
      <w:r w:rsidR="00587AE4">
        <w:rPr>
          <w:rStyle w:val="Endnotenzeichen"/>
          <w:rFonts w:ascii="Cambria" w:hAnsi="Cambria" w:cs="Arial"/>
          <w:sz w:val="20"/>
          <w:szCs w:val="20"/>
        </w:rPr>
        <w:fldChar w:fldCharType="begin"/>
      </w:r>
      <w:r w:rsidR="00587AE4">
        <w:rPr>
          <w:rStyle w:val="Ohne"/>
          <w:rFonts w:ascii="Cambria" w:hAnsi="Cambria" w:cs="Arial"/>
          <w:sz w:val="20"/>
          <w:szCs w:val="20"/>
        </w:rPr>
        <w:instrText xml:space="preserve"> NOTEREF _Ref30424572 \h </w:instrText>
      </w:r>
      <w:r w:rsidR="00587AE4">
        <w:rPr>
          <w:rStyle w:val="Endnotenzeichen"/>
          <w:rFonts w:ascii="Cambria" w:hAnsi="Cambria" w:cs="Arial"/>
          <w:sz w:val="20"/>
          <w:szCs w:val="20"/>
        </w:rPr>
      </w:r>
      <w:r w:rsidR="00587AE4">
        <w:rPr>
          <w:rStyle w:val="Endnotenzeichen"/>
          <w:rFonts w:ascii="Cambria" w:hAnsi="Cambria" w:cs="Arial"/>
          <w:sz w:val="20"/>
          <w:szCs w:val="20"/>
        </w:rPr>
        <w:fldChar w:fldCharType="separate"/>
      </w:r>
      <w:r w:rsidR="001A283B">
        <w:rPr>
          <w:rStyle w:val="Ohne"/>
          <w:rFonts w:ascii="Cambria" w:hAnsi="Cambria" w:cs="Arial"/>
          <w:sz w:val="20"/>
          <w:szCs w:val="20"/>
        </w:rPr>
        <w:t>2</w:t>
      </w:r>
      <w:r w:rsidR="00587AE4">
        <w:rPr>
          <w:rStyle w:val="Endnotenzeichen"/>
          <w:rFonts w:ascii="Cambria" w:hAnsi="Cambria" w:cs="Arial"/>
          <w:sz w:val="20"/>
          <w:szCs w:val="20"/>
        </w:rPr>
        <w:fldChar w:fldCharType="end"/>
      </w:r>
    </w:p>
    <w:p w14:paraId="1733E1F1" w14:textId="0205B0B8"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Der Effekt einer invasiven Beatmung mit höherem PEEP (typischerweise 12-15 cmH</w:t>
      </w:r>
      <w:r w:rsidRPr="00207748">
        <w:rPr>
          <w:rStyle w:val="Ohne"/>
          <w:rFonts w:ascii="Cambria" w:hAnsi="Cambria" w:cs="Arial"/>
          <w:sz w:val="20"/>
          <w:szCs w:val="20"/>
          <w:vertAlign w:val="subscript"/>
        </w:rPr>
        <w:t>2</w:t>
      </w:r>
      <w:r w:rsidRPr="00207748">
        <w:rPr>
          <w:rStyle w:val="Ohne"/>
          <w:rFonts w:ascii="Cambria" w:hAnsi="Cambria" w:cs="Arial"/>
          <w:sz w:val="20"/>
          <w:szCs w:val="20"/>
        </w:rPr>
        <w:t>O und höher) im Vergleich zu einer konventionellen PEEP-Einstellung (typischerweise 5-10 cmH2O) bei Patienten mit einem ARDS wurde anhand von</w:t>
      </w:r>
      <w:r w:rsidR="00B97D89" w:rsidRPr="00207748">
        <w:rPr>
          <w:rStyle w:val="Ohne"/>
          <w:rFonts w:ascii="Cambria" w:hAnsi="Cambria" w:cs="Arial"/>
          <w:sz w:val="20"/>
          <w:szCs w:val="20"/>
        </w:rPr>
        <w:t xml:space="preserve"> </w:t>
      </w:r>
      <w:r w:rsidRPr="00207748">
        <w:rPr>
          <w:rStyle w:val="Ohne"/>
          <w:rFonts w:ascii="Cambria" w:hAnsi="Cambria" w:cs="Arial"/>
          <w:sz w:val="20"/>
          <w:szCs w:val="20"/>
        </w:rPr>
        <w:t xml:space="preserve">qualitativ hochstehenden systematischen Übersichtsarbeiten/Meta-Analysen (SR/MA) untersucht </w:t>
      </w:r>
      <w:r w:rsidR="00460284" w:rsidRPr="00207748">
        <w:rPr>
          <w:rStyle w:val="Endnotenzeichen"/>
          <w:rFonts w:ascii="Cambria" w:hAnsi="Cambria" w:cs="Arial"/>
          <w:sz w:val="20"/>
          <w:szCs w:val="20"/>
        </w:rPr>
        <w:endnoteReference w:id="390"/>
      </w:r>
      <w:r w:rsidR="00460284" w:rsidRPr="00207748">
        <w:rPr>
          <w:rStyle w:val="Ohne"/>
          <w:rFonts w:ascii="Cambria" w:hAnsi="Cambria" w:cs="Arial"/>
          <w:sz w:val="20"/>
          <w:szCs w:val="20"/>
        </w:rPr>
        <w:t xml:space="preserve"> </w:t>
      </w:r>
      <w:bookmarkStart w:id="430" w:name="_Ref30670951"/>
      <w:r w:rsidR="00460284" w:rsidRPr="00207748">
        <w:rPr>
          <w:rStyle w:val="Endnotenzeichen"/>
          <w:rFonts w:ascii="Cambria" w:hAnsi="Cambria" w:cs="Arial"/>
          <w:sz w:val="20"/>
          <w:szCs w:val="20"/>
        </w:rPr>
        <w:endnoteReference w:id="391"/>
      </w:r>
      <w:bookmarkEnd w:id="430"/>
      <w:r w:rsidR="00460284" w:rsidRPr="00207748">
        <w:rPr>
          <w:rStyle w:val="Ohne"/>
          <w:rFonts w:ascii="Cambria" w:hAnsi="Cambria" w:cs="Arial"/>
          <w:sz w:val="20"/>
          <w:szCs w:val="20"/>
        </w:rPr>
        <w:t xml:space="preserve"> </w:t>
      </w:r>
      <w:r w:rsidR="00460284" w:rsidRPr="00207748">
        <w:rPr>
          <w:rStyle w:val="Endnotenzeichen"/>
          <w:rFonts w:ascii="Cambria" w:hAnsi="Cambria" w:cs="Arial"/>
          <w:sz w:val="20"/>
          <w:szCs w:val="20"/>
        </w:rPr>
        <w:endnoteReference w:id="392"/>
      </w:r>
      <w:r w:rsidR="00460284" w:rsidRPr="00207748">
        <w:rPr>
          <w:rStyle w:val="Ohne"/>
          <w:rFonts w:ascii="Cambria" w:hAnsi="Cambria" w:cs="Arial"/>
          <w:sz w:val="20"/>
          <w:szCs w:val="20"/>
        </w:rPr>
        <w:t xml:space="preserve"> </w:t>
      </w:r>
      <w:bookmarkStart w:id="431" w:name="_Ref31189798"/>
      <w:r w:rsidR="00460284" w:rsidRPr="00207748">
        <w:rPr>
          <w:rStyle w:val="Endnotenzeichen"/>
          <w:rFonts w:ascii="Cambria" w:hAnsi="Cambria" w:cs="Arial"/>
          <w:sz w:val="20"/>
          <w:szCs w:val="20"/>
        </w:rPr>
        <w:endnoteReference w:id="393"/>
      </w:r>
      <w:bookmarkEnd w:id="431"/>
      <w:r w:rsidR="00460284" w:rsidRPr="00207748">
        <w:rPr>
          <w:rStyle w:val="Ohne"/>
          <w:rFonts w:ascii="Cambria" w:hAnsi="Cambria" w:cs="Arial"/>
          <w:sz w:val="20"/>
          <w:szCs w:val="20"/>
        </w:rPr>
        <w:t xml:space="preserve"> </w:t>
      </w:r>
      <w:r w:rsidR="00460284" w:rsidRPr="00207748">
        <w:rPr>
          <w:rStyle w:val="Endnotenzeichen"/>
          <w:rFonts w:ascii="Cambria" w:hAnsi="Cambria" w:cs="Arial"/>
          <w:sz w:val="20"/>
          <w:szCs w:val="20"/>
        </w:rPr>
        <w:endnoteReference w:id="394"/>
      </w:r>
      <w:r w:rsidR="00460284" w:rsidRPr="00207748">
        <w:rPr>
          <w:rStyle w:val="Ohne"/>
          <w:rFonts w:ascii="Cambria" w:hAnsi="Cambria" w:cs="Arial"/>
          <w:sz w:val="20"/>
          <w:szCs w:val="20"/>
        </w:rPr>
        <w:t xml:space="preserve"> </w:t>
      </w:r>
      <w:bookmarkStart w:id="432" w:name="_Ref31189886"/>
      <w:r w:rsidR="00460284" w:rsidRPr="00207748">
        <w:rPr>
          <w:rStyle w:val="Endnotenzeichen"/>
          <w:rFonts w:ascii="Cambria" w:hAnsi="Cambria" w:cs="Arial"/>
          <w:sz w:val="20"/>
          <w:szCs w:val="20"/>
        </w:rPr>
        <w:endnoteReference w:id="395"/>
      </w:r>
      <w:bookmarkEnd w:id="432"/>
      <w:r w:rsidRPr="00207748">
        <w:rPr>
          <w:rStyle w:val="Ohne"/>
          <w:rFonts w:ascii="Cambria" w:hAnsi="Cambria" w:cs="Arial"/>
          <w:sz w:val="20"/>
          <w:szCs w:val="20"/>
        </w:rPr>
        <w:t xml:space="preserve">, die auf RCTs </w:t>
      </w:r>
      <w:r w:rsidR="00B97D89" w:rsidRPr="00207748">
        <w:rPr>
          <w:rStyle w:val="Ohne"/>
          <w:rFonts w:ascii="Cambria" w:hAnsi="Cambria" w:cs="Arial"/>
          <w:sz w:val="20"/>
          <w:szCs w:val="20"/>
        </w:rPr>
        <w:t>basier</w:t>
      </w:r>
      <w:r w:rsidRPr="00207748">
        <w:rPr>
          <w:rStyle w:val="Ohne"/>
          <w:rFonts w:ascii="Cambria" w:hAnsi="Cambria" w:cs="Arial"/>
          <w:sz w:val="20"/>
          <w:szCs w:val="20"/>
        </w:rPr>
        <w:t xml:space="preserve">en </w:t>
      </w:r>
      <w:r w:rsidR="00460284" w:rsidRPr="00207748">
        <w:rPr>
          <w:rStyle w:val="Endnotenzeichen"/>
          <w:rFonts w:ascii="Cambria" w:hAnsi="Cambria" w:cs="Arial"/>
          <w:sz w:val="20"/>
          <w:szCs w:val="20"/>
        </w:rPr>
        <w:endnoteReference w:id="396"/>
      </w:r>
      <w:r w:rsidR="00FC467C" w:rsidRPr="00207748">
        <w:rPr>
          <w:rStyle w:val="Ohne"/>
          <w:rFonts w:ascii="Cambria" w:hAnsi="Cambria" w:cs="Arial"/>
          <w:sz w:val="20"/>
          <w:szCs w:val="20"/>
        </w:rPr>
        <w:t xml:space="preserve"> </w:t>
      </w:r>
      <w:r w:rsidR="00FC467C" w:rsidRPr="00207748">
        <w:rPr>
          <w:rStyle w:val="Endnotenzeichen"/>
          <w:rFonts w:ascii="Cambria" w:hAnsi="Cambria" w:cs="Arial"/>
          <w:sz w:val="20"/>
          <w:szCs w:val="20"/>
        </w:rPr>
        <w:endnoteReference w:id="397"/>
      </w:r>
      <w:r w:rsidR="00FC467C" w:rsidRPr="00207748">
        <w:rPr>
          <w:rStyle w:val="Ohne"/>
          <w:rFonts w:ascii="Cambria" w:hAnsi="Cambria" w:cs="Arial"/>
          <w:sz w:val="20"/>
          <w:szCs w:val="20"/>
        </w:rPr>
        <w:t xml:space="preserve"> </w:t>
      </w:r>
      <w:bookmarkStart w:id="433" w:name="_Ref31187952"/>
      <w:r w:rsidR="00FC467C" w:rsidRPr="00207748">
        <w:rPr>
          <w:rStyle w:val="Endnotenzeichen"/>
          <w:rFonts w:ascii="Cambria" w:hAnsi="Cambria" w:cs="Arial"/>
          <w:sz w:val="20"/>
          <w:szCs w:val="20"/>
        </w:rPr>
        <w:endnoteReference w:id="398"/>
      </w:r>
      <w:bookmarkEnd w:id="433"/>
      <w:r w:rsidR="00FC467C" w:rsidRPr="00207748">
        <w:rPr>
          <w:rStyle w:val="Ohne"/>
          <w:rFonts w:ascii="Cambria" w:hAnsi="Cambria" w:cs="Arial"/>
          <w:sz w:val="20"/>
          <w:szCs w:val="20"/>
        </w:rPr>
        <w:t xml:space="preserve"> </w:t>
      </w:r>
      <w:bookmarkStart w:id="434" w:name="_Ref31190017"/>
      <w:r w:rsidR="00FC467C" w:rsidRPr="00207748">
        <w:rPr>
          <w:rStyle w:val="Endnotenzeichen"/>
          <w:rFonts w:ascii="Cambria" w:hAnsi="Cambria" w:cs="Arial"/>
          <w:sz w:val="20"/>
          <w:szCs w:val="20"/>
        </w:rPr>
        <w:endnoteReference w:id="399"/>
      </w:r>
      <w:bookmarkEnd w:id="434"/>
      <w:r w:rsidR="00FC467C" w:rsidRPr="00207748">
        <w:rPr>
          <w:rStyle w:val="Ohne"/>
          <w:rFonts w:ascii="Cambria" w:hAnsi="Cambria" w:cs="Arial"/>
          <w:sz w:val="20"/>
          <w:szCs w:val="20"/>
        </w:rPr>
        <w:t xml:space="preserve"> </w:t>
      </w:r>
      <w:r w:rsidR="00EF1A9E" w:rsidRPr="00EF1A9E">
        <w:rPr>
          <w:rStyle w:val="EndnoteRealZchn"/>
        </w:rPr>
        <w:fldChar w:fldCharType="begin"/>
      </w:r>
      <w:r w:rsidR="00EF1A9E" w:rsidRPr="00EF1A9E">
        <w:rPr>
          <w:rStyle w:val="EndnoteRealZchn"/>
        </w:rPr>
        <w:instrText xml:space="preserve"> NOTEREF _Ref31189798 \h </w:instrText>
      </w:r>
      <w:r w:rsidR="00EF1A9E">
        <w:rPr>
          <w:rStyle w:val="EndnoteRealZchn"/>
        </w:rPr>
        <w:instrText xml:space="preserve"> \* MERGEFORMAT </w:instrText>
      </w:r>
      <w:r w:rsidR="00EF1A9E" w:rsidRPr="00EF1A9E">
        <w:rPr>
          <w:rStyle w:val="EndnoteRealZchn"/>
        </w:rPr>
      </w:r>
      <w:r w:rsidR="00EF1A9E" w:rsidRPr="00EF1A9E">
        <w:rPr>
          <w:rStyle w:val="EndnoteRealZchn"/>
        </w:rPr>
        <w:fldChar w:fldCharType="separate"/>
      </w:r>
      <w:r w:rsidR="00EF1A9E" w:rsidRPr="00EF1A9E">
        <w:rPr>
          <w:rStyle w:val="EndnoteRealZchn"/>
        </w:rPr>
        <w:t>391</w:t>
      </w:r>
      <w:r w:rsidR="00EF1A9E" w:rsidRPr="00EF1A9E">
        <w:rPr>
          <w:rStyle w:val="EndnoteRealZchn"/>
        </w:rPr>
        <w:fldChar w:fldCharType="end"/>
      </w:r>
      <w:r w:rsidR="00FC467C" w:rsidRPr="00207748">
        <w:rPr>
          <w:rStyle w:val="Ohne"/>
          <w:rFonts w:ascii="Cambria" w:hAnsi="Cambria" w:cs="Arial"/>
          <w:sz w:val="20"/>
          <w:szCs w:val="20"/>
        </w:rPr>
        <w:t xml:space="preserve"> </w:t>
      </w:r>
      <w:r w:rsidR="00FC467C" w:rsidRPr="00207748">
        <w:rPr>
          <w:rStyle w:val="Endnotenzeichen"/>
          <w:rFonts w:ascii="Cambria" w:hAnsi="Cambria" w:cs="Arial"/>
          <w:sz w:val="20"/>
          <w:szCs w:val="20"/>
        </w:rPr>
        <w:endnoteReference w:id="400"/>
      </w:r>
      <w:r w:rsidR="00FC467C" w:rsidRPr="00207748">
        <w:rPr>
          <w:rStyle w:val="Ohne"/>
          <w:rFonts w:ascii="Cambria" w:hAnsi="Cambria" w:cs="Arial"/>
          <w:sz w:val="20"/>
          <w:szCs w:val="20"/>
        </w:rPr>
        <w:t xml:space="preserve"> </w:t>
      </w:r>
      <w:r w:rsidR="00FC467C" w:rsidRPr="00207748">
        <w:rPr>
          <w:rStyle w:val="Endnotenzeichen"/>
          <w:rFonts w:ascii="Cambria" w:hAnsi="Cambria" w:cs="Arial"/>
          <w:sz w:val="20"/>
          <w:szCs w:val="20"/>
        </w:rPr>
        <w:endnoteReference w:id="401"/>
      </w:r>
      <w:r w:rsidR="00FC467C" w:rsidRPr="00207748">
        <w:rPr>
          <w:rStyle w:val="Ohne"/>
          <w:rFonts w:ascii="Cambria" w:hAnsi="Cambria" w:cs="Arial"/>
          <w:sz w:val="20"/>
          <w:szCs w:val="20"/>
        </w:rPr>
        <w:t>.</w:t>
      </w:r>
    </w:p>
    <w:p w14:paraId="3C6FA8B4"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lastRenderedPageBreak/>
        <w:t>Die Erkenntnisse aus diesen Studien bzw. Meta-Analysen lassen sich wie folgt zusammenfassen:</w:t>
      </w:r>
    </w:p>
    <w:p w14:paraId="22A7C62D" w14:textId="6F1F7641"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Die Kombination aus hohem PEEP und niedrigem V</w:t>
      </w:r>
      <w:r w:rsidRPr="00207748">
        <w:rPr>
          <w:rStyle w:val="Ohne"/>
          <w:rFonts w:ascii="Cambria" w:hAnsi="Cambria" w:cs="Arial"/>
          <w:sz w:val="20"/>
          <w:szCs w:val="20"/>
          <w:vertAlign w:val="subscript"/>
        </w:rPr>
        <w:t>T</w:t>
      </w:r>
      <w:r w:rsidRPr="00207748">
        <w:rPr>
          <w:rStyle w:val="Ohne"/>
          <w:rFonts w:ascii="Cambria" w:hAnsi="Cambria" w:cs="Arial"/>
          <w:sz w:val="20"/>
          <w:szCs w:val="20"/>
        </w:rPr>
        <w:t xml:space="preserve"> (um 6 ml/kg KG) ist gegenüber einer Beatmung mit niedrigem PEEP (und hohem oder niedrigem V</w:t>
      </w:r>
      <w:r w:rsidRPr="00207748">
        <w:rPr>
          <w:rStyle w:val="Ohne"/>
          <w:rFonts w:ascii="Cambria" w:hAnsi="Cambria" w:cs="Arial"/>
          <w:sz w:val="20"/>
          <w:szCs w:val="20"/>
          <w:vertAlign w:val="subscript"/>
        </w:rPr>
        <w:t>T</w:t>
      </w:r>
      <w:r w:rsidRPr="00207748">
        <w:rPr>
          <w:rStyle w:val="Ohne"/>
          <w:rFonts w:ascii="Cambria" w:hAnsi="Cambria" w:cs="Arial"/>
          <w:sz w:val="20"/>
          <w:szCs w:val="20"/>
        </w:rPr>
        <w:t>) mehrheitlich mit einer signifikant besseren ITS-, Krankenhaus- und (teilweise) Tag-28 Überlebensrate verbunden</w:t>
      </w:r>
      <w:r w:rsidR="00B97D89" w:rsidRPr="00207748">
        <w:rPr>
          <w:rStyle w:val="Ohne"/>
          <w:rFonts w:ascii="Cambria" w:hAnsi="Cambria" w:cs="Arial"/>
          <w:sz w:val="20"/>
          <w:szCs w:val="20"/>
        </w:rPr>
        <w:t>.</w:t>
      </w:r>
      <w:r w:rsidRPr="00207748">
        <w:rPr>
          <w:rStyle w:val="Ohne"/>
          <w:rFonts w:ascii="Cambria" w:hAnsi="Cambria" w:cs="Arial"/>
          <w:sz w:val="20"/>
          <w:szCs w:val="20"/>
        </w:rPr>
        <w:t xml:space="preserve"> </w:t>
      </w:r>
      <w:r w:rsidR="00FC467C" w:rsidRPr="00207748">
        <w:rPr>
          <w:rStyle w:val="Endnotenzeichen"/>
          <w:rFonts w:ascii="Cambria" w:hAnsi="Cambria" w:cs="Arial"/>
          <w:sz w:val="20"/>
          <w:szCs w:val="20"/>
        </w:rPr>
        <w:endnoteReference w:id="402"/>
      </w:r>
      <w:r w:rsidR="00B97D89" w:rsidRPr="00207748">
        <w:rPr>
          <w:rStyle w:val="Ohne"/>
          <w:rFonts w:ascii="Cambria" w:hAnsi="Cambria" w:cs="Arial"/>
          <w:sz w:val="20"/>
          <w:szCs w:val="20"/>
        </w:rPr>
        <w:t xml:space="preserve"> </w:t>
      </w:r>
      <w:r w:rsidR="00FC467C" w:rsidRPr="00207748">
        <w:rPr>
          <w:rStyle w:val="Endnotenzeichen"/>
          <w:rFonts w:ascii="Cambria" w:hAnsi="Cambria" w:cs="Arial"/>
          <w:sz w:val="20"/>
          <w:szCs w:val="20"/>
        </w:rPr>
        <w:endnoteReference w:id="403"/>
      </w:r>
      <w:r w:rsidR="00B97D89" w:rsidRPr="00207748">
        <w:rPr>
          <w:rStyle w:val="Ohne"/>
          <w:rFonts w:ascii="Cambria" w:hAnsi="Cambria" w:cs="Arial"/>
          <w:sz w:val="20"/>
          <w:szCs w:val="20"/>
        </w:rPr>
        <w:t xml:space="preserve"> </w:t>
      </w:r>
      <w:r w:rsidR="00EF1A9E">
        <w:rPr>
          <w:rStyle w:val="Ohne"/>
          <w:rFonts w:ascii="Cambria" w:hAnsi="Cambria" w:cs="Arial"/>
          <w:sz w:val="20"/>
          <w:szCs w:val="20"/>
        </w:rPr>
        <w:fldChar w:fldCharType="begin"/>
      </w:r>
      <w:r w:rsidR="00EF1A9E">
        <w:rPr>
          <w:rStyle w:val="Ohne"/>
          <w:rFonts w:ascii="Cambria" w:hAnsi="Cambria" w:cs="Arial"/>
          <w:sz w:val="20"/>
          <w:szCs w:val="20"/>
        </w:rPr>
        <w:instrText xml:space="preserve"> NOTEREF _Ref31190017 \h </w:instrText>
      </w:r>
      <w:r w:rsidR="00EF1A9E">
        <w:rPr>
          <w:rStyle w:val="Ohne"/>
          <w:rFonts w:ascii="Cambria" w:hAnsi="Cambria" w:cs="Arial"/>
          <w:sz w:val="20"/>
          <w:szCs w:val="20"/>
        </w:rPr>
      </w:r>
      <w:r w:rsidR="00EF1A9E">
        <w:rPr>
          <w:rStyle w:val="Ohne"/>
          <w:rFonts w:ascii="Cambria" w:hAnsi="Cambria" w:cs="Arial"/>
          <w:sz w:val="20"/>
          <w:szCs w:val="20"/>
        </w:rPr>
        <w:fldChar w:fldCharType="separate"/>
      </w:r>
      <w:r w:rsidR="00EF1A9E">
        <w:rPr>
          <w:rStyle w:val="Ohne"/>
          <w:rFonts w:ascii="Cambria" w:hAnsi="Cambria" w:cs="Arial"/>
          <w:sz w:val="20"/>
          <w:szCs w:val="20"/>
        </w:rPr>
        <w:t>397</w:t>
      </w:r>
      <w:r w:rsidR="00EF1A9E">
        <w:rPr>
          <w:rStyle w:val="Ohne"/>
          <w:rFonts w:ascii="Cambria" w:hAnsi="Cambria" w:cs="Arial"/>
          <w:sz w:val="20"/>
          <w:szCs w:val="20"/>
        </w:rPr>
        <w:fldChar w:fldCharType="end"/>
      </w:r>
      <w:r w:rsidR="00B97D89" w:rsidRPr="00207748">
        <w:rPr>
          <w:rStyle w:val="Ohne"/>
          <w:rFonts w:ascii="Cambria" w:hAnsi="Cambria" w:cs="Arial"/>
          <w:sz w:val="20"/>
          <w:szCs w:val="20"/>
        </w:rPr>
        <w:t xml:space="preserve"> </w:t>
      </w:r>
      <w:r w:rsidR="00EF1A9E">
        <w:rPr>
          <w:rStyle w:val="Ohne"/>
          <w:rFonts w:ascii="Cambria" w:hAnsi="Cambria" w:cs="Arial"/>
          <w:sz w:val="20"/>
          <w:szCs w:val="20"/>
        </w:rPr>
        <w:fldChar w:fldCharType="begin"/>
      </w:r>
      <w:r w:rsidR="00EF1A9E">
        <w:rPr>
          <w:rStyle w:val="Ohne"/>
          <w:rFonts w:ascii="Cambria" w:hAnsi="Cambria" w:cs="Arial"/>
          <w:sz w:val="20"/>
          <w:szCs w:val="20"/>
        </w:rPr>
        <w:instrText xml:space="preserve"> NOTEREF _Ref31189886 \h </w:instrText>
      </w:r>
      <w:r w:rsidR="00EF1A9E">
        <w:rPr>
          <w:rStyle w:val="Ohne"/>
          <w:rFonts w:ascii="Cambria" w:hAnsi="Cambria" w:cs="Arial"/>
          <w:sz w:val="20"/>
          <w:szCs w:val="20"/>
        </w:rPr>
      </w:r>
      <w:r w:rsidR="00EF1A9E">
        <w:rPr>
          <w:rStyle w:val="Ohne"/>
          <w:rFonts w:ascii="Cambria" w:hAnsi="Cambria" w:cs="Arial"/>
          <w:sz w:val="20"/>
          <w:szCs w:val="20"/>
        </w:rPr>
        <w:fldChar w:fldCharType="separate"/>
      </w:r>
      <w:r w:rsidR="00EF1A9E">
        <w:rPr>
          <w:rStyle w:val="Ohne"/>
          <w:rFonts w:ascii="Cambria" w:hAnsi="Cambria" w:cs="Arial"/>
          <w:sz w:val="20"/>
          <w:szCs w:val="20"/>
        </w:rPr>
        <w:t>393</w:t>
      </w:r>
      <w:r w:rsidR="00EF1A9E">
        <w:rPr>
          <w:rStyle w:val="Ohne"/>
          <w:rFonts w:ascii="Cambria" w:hAnsi="Cambria" w:cs="Arial"/>
          <w:sz w:val="20"/>
          <w:szCs w:val="20"/>
        </w:rPr>
        <w:fldChar w:fldCharType="end"/>
      </w:r>
      <w:r w:rsidR="00B97D89" w:rsidRPr="00207748">
        <w:rPr>
          <w:rStyle w:val="Ohne"/>
          <w:rFonts w:ascii="Cambria" w:hAnsi="Cambria" w:cs="Arial"/>
          <w:sz w:val="20"/>
          <w:szCs w:val="20"/>
        </w:rPr>
        <w:t xml:space="preserve"> </w:t>
      </w:r>
      <w:r w:rsidR="00D60A69" w:rsidRPr="00D60A69">
        <w:rPr>
          <w:rStyle w:val="EndnoteRealZchn"/>
          <w:sz w:val="20"/>
          <w:szCs w:val="20"/>
        </w:rPr>
        <w:fldChar w:fldCharType="begin"/>
      </w:r>
      <w:r w:rsidR="00D60A69" w:rsidRPr="00D60A69">
        <w:rPr>
          <w:rStyle w:val="EndnoteRealZchn"/>
          <w:sz w:val="20"/>
          <w:szCs w:val="20"/>
        </w:rPr>
        <w:instrText xml:space="preserve"> NOTEREF _Ref30670951 \h  \* MERGEFORMAT </w:instrText>
      </w:r>
      <w:r w:rsidR="00D60A69" w:rsidRPr="00D60A69">
        <w:rPr>
          <w:rStyle w:val="EndnoteRealZchn"/>
          <w:sz w:val="20"/>
          <w:szCs w:val="20"/>
        </w:rPr>
      </w:r>
      <w:r w:rsidR="00D60A69" w:rsidRPr="00D60A69">
        <w:rPr>
          <w:rStyle w:val="EndnoteRealZchn"/>
          <w:sz w:val="20"/>
          <w:szCs w:val="20"/>
        </w:rPr>
        <w:fldChar w:fldCharType="separate"/>
      </w:r>
      <w:r w:rsidR="001A283B">
        <w:rPr>
          <w:rStyle w:val="EndnoteRealZchn"/>
          <w:sz w:val="20"/>
          <w:szCs w:val="20"/>
        </w:rPr>
        <w:t>431</w:t>
      </w:r>
      <w:r w:rsidR="00D60A69" w:rsidRPr="00D60A69">
        <w:rPr>
          <w:rStyle w:val="EndnoteRealZchn"/>
          <w:sz w:val="20"/>
          <w:szCs w:val="20"/>
        </w:rPr>
        <w:fldChar w:fldCharType="end"/>
      </w:r>
    </w:p>
    <w:p w14:paraId="196A7C73" w14:textId="18393FF2"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 xml:space="preserve">Eine invasive Beatmung mit einem höheren PEEP verbessert die Oxygenierung (PaO2/FiO2-Ratio) signifikant an Tag 1 und 3 </w:t>
      </w:r>
      <w:r w:rsidR="00D60A69" w:rsidRPr="00D60A69">
        <w:rPr>
          <w:rStyle w:val="EndnoteRealZchn"/>
        </w:rPr>
        <w:fldChar w:fldCharType="begin"/>
      </w:r>
      <w:r w:rsidR="00D60A69" w:rsidRPr="00D60A69">
        <w:rPr>
          <w:rStyle w:val="EndnoteRealZchn"/>
        </w:rPr>
        <w:instrText xml:space="preserve"> NOTEREF _Ref30670951 \h </w:instrText>
      </w:r>
      <w:r w:rsidR="00D60A69">
        <w:rPr>
          <w:rStyle w:val="EndnoteRealZchn"/>
        </w:rPr>
        <w:instrText xml:space="preserve"> \* MERGEFORMAT </w:instrText>
      </w:r>
      <w:r w:rsidR="00D60A69" w:rsidRPr="00D60A69">
        <w:rPr>
          <w:rStyle w:val="EndnoteRealZchn"/>
        </w:rPr>
      </w:r>
      <w:r w:rsidR="00D60A69" w:rsidRPr="00D60A69">
        <w:rPr>
          <w:rStyle w:val="EndnoteRealZchn"/>
        </w:rPr>
        <w:fldChar w:fldCharType="separate"/>
      </w:r>
      <w:r w:rsidR="001A283B">
        <w:rPr>
          <w:rStyle w:val="EndnoteRealZchn"/>
        </w:rPr>
        <w:t>431</w:t>
      </w:r>
      <w:r w:rsidR="00D60A69" w:rsidRPr="00D60A69">
        <w:rPr>
          <w:rStyle w:val="EndnoteRealZchn"/>
        </w:rPr>
        <w:fldChar w:fldCharType="end"/>
      </w:r>
      <w:r w:rsidR="00D60A69">
        <w:t xml:space="preserve"> </w:t>
      </w:r>
      <w:r w:rsidR="00EF1A9E" w:rsidRPr="00EF1A9E">
        <w:rPr>
          <w:rStyle w:val="EndnoteRealZchn"/>
        </w:rPr>
        <w:fldChar w:fldCharType="begin"/>
      </w:r>
      <w:r w:rsidR="00EF1A9E" w:rsidRPr="00EF1A9E">
        <w:rPr>
          <w:rStyle w:val="EndnoteRealZchn"/>
        </w:rPr>
        <w:instrText xml:space="preserve"> NOTEREF _Ref31187952 \h </w:instrText>
      </w:r>
      <w:r w:rsidR="00EF1A9E">
        <w:rPr>
          <w:rStyle w:val="EndnoteRealZchn"/>
        </w:rPr>
        <w:instrText xml:space="preserve"> \* MERGEFORMAT </w:instrText>
      </w:r>
      <w:r w:rsidR="00EF1A9E" w:rsidRPr="00EF1A9E">
        <w:rPr>
          <w:rStyle w:val="EndnoteRealZchn"/>
        </w:rPr>
      </w:r>
      <w:r w:rsidR="00EF1A9E" w:rsidRPr="00EF1A9E">
        <w:rPr>
          <w:rStyle w:val="EndnoteRealZchn"/>
        </w:rPr>
        <w:fldChar w:fldCharType="separate"/>
      </w:r>
      <w:r w:rsidR="00EF1A9E" w:rsidRPr="00EF1A9E">
        <w:rPr>
          <w:rStyle w:val="EndnoteRealZchn"/>
        </w:rPr>
        <w:t>396</w:t>
      </w:r>
      <w:r w:rsidR="00EF1A9E" w:rsidRPr="00EF1A9E">
        <w:rPr>
          <w:rStyle w:val="EndnoteRealZchn"/>
        </w:rPr>
        <w:fldChar w:fldCharType="end"/>
      </w:r>
      <w:r w:rsidR="00EF1A9E">
        <w:t xml:space="preserve"> </w:t>
      </w:r>
      <w:r w:rsidR="00B97D89" w:rsidRPr="00207748">
        <w:rPr>
          <w:rStyle w:val="Endnotenzeichen"/>
          <w:rFonts w:ascii="Cambria" w:hAnsi="Cambria" w:cs="Arial"/>
          <w:sz w:val="20"/>
          <w:szCs w:val="20"/>
        </w:rPr>
        <w:endnoteReference w:id="404"/>
      </w:r>
      <w:r w:rsidRPr="00207748">
        <w:rPr>
          <w:rStyle w:val="Ohne"/>
          <w:rFonts w:ascii="Cambria" w:hAnsi="Cambria" w:cs="Arial"/>
          <w:sz w:val="20"/>
          <w:szCs w:val="20"/>
        </w:rPr>
        <w:t xml:space="preserve">und ist nicht mit einer höheren Rate an Barotraumata verbunden </w:t>
      </w:r>
      <w:r w:rsidR="00EF1A9E">
        <w:rPr>
          <w:rStyle w:val="Ohne"/>
          <w:rFonts w:ascii="Cambria" w:hAnsi="Cambria" w:cs="Arial"/>
          <w:sz w:val="20"/>
          <w:szCs w:val="20"/>
        </w:rPr>
        <w:fldChar w:fldCharType="begin"/>
      </w:r>
      <w:r w:rsidR="00EF1A9E">
        <w:rPr>
          <w:rStyle w:val="Ohne"/>
          <w:rFonts w:ascii="Cambria" w:hAnsi="Cambria" w:cs="Arial"/>
          <w:sz w:val="20"/>
          <w:szCs w:val="20"/>
        </w:rPr>
        <w:instrText xml:space="preserve"> NOTEREF _Ref31189886 \h </w:instrText>
      </w:r>
      <w:r w:rsidR="00EF1A9E">
        <w:rPr>
          <w:rStyle w:val="Ohne"/>
          <w:rFonts w:ascii="Cambria" w:hAnsi="Cambria" w:cs="Arial"/>
          <w:sz w:val="20"/>
          <w:szCs w:val="20"/>
        </w:rPr>
      </w:r>
      <w:r w:rsidR="00EF1A9E">
        <w:rPr>
          <w:rStyle w:val="Ohne"/>
          <w:rFonts w:ascii="Cambria" w:hAnsi="Cambria" w:cs="Arial"/>
          <w:sz w:val="20"/>
          <w:szCs w:val="20"/>
        </w:rPr>
        <w:fldChar w:fldCharType="separate"/>
      </w:r>
      <w:r w:rsidR="00EF1A9E">
        <w:rPr>
          <w:rStyle w:val="Ohne"/>
          <w:rFonts w:ascii="Cambria" w:hAnsi="Cambria" w:cs="Arial"/>
          <w:sz w:val="20"/>
          <w:szCs w:val="20"/>
        </w:rPr>
        <w:t>393</w:t>
      </w:r>
      <w:r w:rsidR="00EF1A9E">
        <w:rPr>
          <w:rStyle w:val="Ohne"/>
          <w:rFonts w:ascii="Cambria" w:hAnsi="Cambria" w:cs="Arial"/>
          <w:sz w:val="20"/>
          <w:szCs w:val="20"/>
        </w:rPr>
        <w:fldChar w:fldCharType="end"/>
      </w:r>
      <w:r w:rsidR="00B97D89" w:rsidRPr="00207748">
        <w:rPr>
          <w:rStyle w:val="Ohne"/>
          <w:rFonts w:ascii="Cambria" w:hAnsi="Cambria" w:cs="Arial"/>
          <w:sz w:val="20"/>
          <w:szCs w:val="20"/>
        </w:rPr>
        <w:t xml:space="preserve"> </w:t>
      </w:r>
      <w:r w:rsidR="00B97D89" w:rsidRPr="00207748">
        <w:rPr>
          <w:rStyle w:val="Endnotenzeichen"/>
          <w:rFonts w:ascii="Cambria" w:hAnsi="Cambria" w:cs="Arial"/>
          <w:sz w:val="20"/>
          <w:szCs w:val="20"/>
        </w:rPr>
        <w:endnoteReference w:id="405"/>
      </w:r>
      <w:r w:rsidR="00B97D89" w:rsidRPr="00207748">
        <w:rPr>
          <w:rStyle w:val="Ohne"/>
          <w:rFonts w:ascii="Cambria" w:hAnsi="Cambria" w:cs="Arial"/>
          <w:sz w:val="20"/>
          <w:szCs w:val="20"/>
        </w:rPr>
        <w:t xml:space="preserve"> </w:t>
      </w:r>
      <w:r w:rsidR="00EF1A9E" w:rsidRPr="00EF1A9E">
        <w:rPr>
          <w:rStyle w:val="EndnoteRealZchn"/>
        </w:rPr>
        <w:fldChar w:fldCharType="begin"/>
      </w:r>
      <w:r w:rsidR="00EF1A9E" w:rsidRPr="00EF1A9E">
        <w:rPr>
          <w:rStyle w:val="EndnoteRealZchn"/>
        </w:rPr>
        <w:instrText xml:space="preserve"> NOTEREF _Ref31189798 \h </w:instrText>
      </w:r>
      <w:r w:rsidR="00EF1A9E">
        <w:rPr>
          <w:rStyle w:val="EndnoteRealZchn"/>
        </w:rPr>
        <w:instrText xml:space="preserve"> \* MERGEFORMAT </w:instrText>
      </w:r>
      <w:r w:rsidR="00EF1A9E" w:rsidRPr="00EF1A9E">
        <w:rPr>
          <w:rStyle w:val="EndnoteRealZchn"/>
        </w:rPr>
      </w:r>
      <w:r w:rsidR="00EF1A9E" w:rsidRPr="00EF1A9E">
        <w:rPr>
          <w:rStyle w:val="EndnoteRealZchn"/>
        </w:rPr>
        <w:fldChar w:fldCharType="separate"/>
      </w:r>
      <w:r w:rsidR="00EF1A9E" w:rsidRPr="00EF1A9E">
        <w:rPr>
          <w:rStyle w:val="EndnoteRealZchn"/>
        </w:rPr>
        <w:t>391</w:t>
      </w:r>
      <w:r w:rsidR="00EF1A9E" w:rsidRPr="00EF1A9E">
        <w:rPr>
          <w:rStyle w:val="EndnoteRealZchn"/>
        </w:rPr>
        <w:fldChar w:fldCharType="end"/>
      </w:r>
      <w:r w:rsidR="00B97D89" w:rsidRPr="00207748">
        <w:rPr>
          <w:rStyle w:val="Ohne"/>
          <w:rFonts w:ascii="Cambria" w:hAnsi="Cambria" w:cs="Arial"/>
          <w:sz w:val="20"/>
          <w:szCs w:val="20"/>
        </w:rPr>
        <w:t xml:space="preserve"> </w:t>
      </w:r>
      <w:r w:rsidR="00B97D89" w:rsidRPr="00207748">
        <w:rPr>
          <w:rStyle w:val="Endnotenzeichen"/>
          <w:rFonts w:ascii="Cambria" w:hAnsi="Cambria" w:cs="Arial"/>
          <w:sz w:val="20"/>
          <w:szCs w:val="20"/>
        </w:rPr>
        <w:endnoteReference w:id="406"/>
      </w:r>
      <w:r w:rsidR="00B97D89" w:rsidRPr="00207748">
        <w:rPr>
          <w:rStyle w:val="Ohne"/>
          <w:rFonts w:ascii="Cambria" w:hAnsi="Cambria" w:cs="Arial"/>
          <w:sz w:val="20"/>
          <w:szCs w:val="20"/>
        </w:rPr>
        <w:t xml:space="preserve"> </w:t>
      </w:r>
      <w:r w:rsidR="00D60A69" w:rsidRPr="00D60A69">
        <w:rPr>
          <w:rStyle w:val="EndnoteRealZchn"/>
          <w:sz w:val="20"/>
          <w:szCs w:val="20"/>
        </w:rPr>
        <w:fldChar w:fldCharType="begin"/>
      </w:r>
      <w:r w:rsidR="00D60A69" w:rsidRPr="00D60A69">
        <w:rPr>
          <w:rStyle w:val="EndnoteRealZchn"/>
          <w:sz w:val="20"/>
          <w:szCs w:val="20"/>
        </w:rPr>
        <w:instrText xml:space="preserve"> NOTEREF _Ref30670951 \h  \* MERGEFORMAT </w:instrText>
      </w:r>
      <w:r w:rsidR="00D60A69" w:rsidRPr="00D60A69">
        <w:rPr>
          <w:rStyle w:val="EndnoteRealZchn"/>
          <w:sz w:val="20"/>
          <w:szCs w:val="20"/>
        </w:rPr>
      </w:r>
      <w:r w:rsidR="00D60A69" w:rsidRPr="00D60A69">
        <w:rPr>
          <w:rStyle w:val="EndnoteRealZchn"/>
          <w:sz w:val="20"/>
          <w:szCs w:val="20"/>
        </w:rPr>
        <w:fldChar w:fldCharType="separate"/>
      </w:r>
      <w:r w:rsidR="001A283B">
        <w:rPr>
          <w:rStyle w:val="EndnoteRealZchn"/>
          <w:sz w:val="20"/>
          <w:szCs w:val="20"/>
        </w:rPr>
        <w:t>431</w:t>
      </w:r>
      <w:r w:rsidR="00D60A69" w:rsidRPr="00D60A69">
        <w:rPr>
          <w:rStyle w:val="EndnoteRealZchn"/>
          <w:sz w:val="20"/>
          <w:szCs w:val="20"/>
        </w:rPr>
        <w:fldChar w:fldCharType="end"/>
      </w:r>
      <w:r w:rsidRPr="00207748">
        <w:rPr>
          <w:rStyle w:val="Ohne"/>
          <w:rFonts w:ascii="Cambria" w:hAnsi="Cambria" w:cs="Arial"/>
          <w:sz w:val="20"/>
          <w:szCs w:val="20"/>
        </w:rPr>
        <w:t xml:space="preserve"> bzw. geht in Kombination mit einem niedrigen Tidalvolumen sogar mit einer geringeren Rate an Barotraumata einher</w:t>
      </w:r>
      <w:r w:rsidR="00B97D89" w:rsidRPr="00207748">
        <w:rPr>
          <w:rStyle w:val="Ohne"/>
          <w:rFonts w:ascii="Cambria" w:hAnsi="Cambria" w:cs="Arial"/>
          <w:sz w:val="20"/>
          <w:szCs w:val="20"/>
        </w:rPr>
        <w:t>.</w:t>
      </w:r>
      <w:r w:rsidR="00B97D89" w:rsidRPr="00207748">
        <w:rPr>
          <w:rStyle w:val="Endnotenzeichen"/>
          <w:rFonts w:ascii="Cambria" w:hAnsi="Cambria" w:cs="Arial"/>
          <w:sz w:val="20"/>
          <w:szCs w:val="20"/>
        </w:rPr>
        <w:endnoteReference w:id="407"/>
      </w:r>
      <w:r w:rsidR="00B97D89" w:rsidRPr="00207748">
        <w:rPr>
          <w:rStyle w:val="Ohne"/>
          <w:rFonts w:ascii="Cambria" w:hAnsi="Cambria" w:cs="Arial"/>
          <w:sz w:val="20"/>
          <w:szCs w:val="20"/>
        </w:rPr>
        <w:t xml:space="preserve"> </w:t>
      </w:r>
      <w:r w:rsidR="00EF1A9E">
        <w:rPr>
          <w:rStyle w:val="Ohne"/>
          <w:rFonts w:ascii="Cambria" w:hAnsi="Cambria" w:cs="Arial"/>
          <w:sz w:val="20"/>
          <w:szCs w:val="20"/>
        </w:rPr>
        <w:fldChar w:fldCharType="begin"/>
      </w:r>
      <w:r w:rsidR="00EF1A9E">
        <w:rPr>
          <w:rStyle w:val="Ohne"/>
          <w:rFonts w:ascii="Cambria" w:hAnsi="Cambria" w:cs="Arial"/>
          <w:sz w:val="20"/>
          <w:szCs w:val="20"/>
        </w:rPr>
        <w:instrText xml:space="preserve"> NOTEREF _Ref31190017 \h </w:instrText>
      </w:r>
      <w:r w:rsidR="00EF1A9E">
        <w:rPr>
          <w:rStyle w:val="Ohne"/>
          <w:rFonts w:ascii="Cambria" w:hAnsi="Cambria" w:cs="Arial"/>
          <w:sz w:val="20"/>
          <w:szCs w:val="20"/>
        </w:rPr>
      </w:r>
      <w:r w:rsidR="00EF1A9E">
        <w:rPr>
          <w:rStyle w:val="Ohne"/>
          <w:rFonts w:ascii="Cambria" w:hAnsi="Cambria" w:cs="Arial"/>
          <w:sz w:val="20"/>
          <w:szCs w:val="20"/>
        </w:rPr>
        <w:fldChar w:fldCharType="separate"/>
      </w:r>
      <w:r w:rsidR="00EF1A9E">
        <w:rPr>
          <w:rStyle w:val="Ohne"/>
          <w:rFonts w:ascii="Cambria" w:hAnsi="Cambria" w:cs="Arial"/>
          <w:sz w:val="20"/>
          <w:szCs w:val="20"/>
        </w:rPr>
        <w:t>397</w:t>
      </w:r>
      <w:r w:rsidR="00EF1A9E">
        <w:rPr>
          <w:rStyle w:val="Ohne"/>
          <w:rFonts w:ascii="Cambria" w:hAnsi="Cambria" w:cs="Arial"/>
          <w:sz w:val="20"/>
          <w:szCs w:val="20"/>
        </w:rPr>
        <w:fldChar w:fldCharType="end"/>
      </w:r>
      <w:r w:rsidRPr="00207748">
        <w:rPr>
          <w:rStyle w:val="Ohne"/>
          <w:rFonts w:ascii="Cambria" w:hAnsi="Cambria" w:cs="Arial"/>
          <w:sz w:val="20"/>
          <w:szCs w:val="20"/>
        </w:rPr>
        <w:t xml:space="preserve">Allerdings vermag eine invasive Beatmung mit höherem PEEP weder die Aufenthaltsdauer auf der </w:t>
      </w:r>
      <w:r w:rsidR="00B97D89" w:rsidRPr="00207748">
        <w:rPr>
          <w:rStyle w:val="Ohne"/>
          <w:rFonts w:ascii="Cambria" w:hAnsi="Cambria" w:cs="Arial"/>
          <w:sz w:val="20"/>
          <w:szCs w:val="20"/>
        </w:rPr>
        <w:t xml:space="preserve">ist </w:t>
      </w:r>
      <w:r w:rsidRPr="00207748">
        <w:rPr>
          <w:rStyle w:val="Ohne"/>
          <w:rFonts w:ascii="Cambria" w:hAnsi="Cambria" w:cs="Arial"/>
          <w:sz w:val="20"/>
          <w:szCs w:val="20"/>
        </w:rPr>
        <w:t>noch die Beatmungsdauer signifikant zu verkürzen bzw. die Anzahl an beatmungsfreien Tagen zu erhöhen.</w:t>
      </w:r>
      <w:r w:rsidR="00D60A69" w:rsidRPr="00D60A69">
        <w:rPr>
          <w:rStyle w:val="EndnoteZchn"/>
          <w:sz w:val="20"/>
          <w:szCs w:val="20"/>
        </w:rPr>
        <w:fldChar w:fldCharType="begin"/>
      </w:r>
      <w:r w:rsidR="00D60A69" w:rsidRPr="00D60A69">
        <w:rPr>
          <w:rStyle w:val="EndnoteZchn"/>
          <w:sz w:val="20"/>
          <w:szCs w:val="20"/>
        </w:rPr>
        <w:instrText xml:space="preserve"> NOTEREF _Ref30670951 \h  \* MERGEFORMAT </w:instrText>
      </w:r>
      <w:r w:rsidR="00D60A69" w:rsidRPr="00D60A69">
        <w:rPr>
          <w:rStyle w:val="EndnoteZchn"/>
          <w:sz w:val="20"/>
          <w:szCs w:val="20"/>
        </w:rPr>
      </w:r>
      <w:r w:rsidR="00D60A69" w:rsidRPr="00D60A69">
        <w:rPr>
          <w:rStyle w:val="EndnoteZchn"/>
          <w:sz w:val="20"/>
          <w:szCs w:val="20"/>
        </w:rPr>
        <w:fldChar w:fldCharType="separate"/>
      </w:r>
      <w:r w:rsidR="001A283B">
        <w:rPr>
          <w:rStyle w:val="EndnoteZchn"/>
          <w:sz w:val="20"/>
          <w:szCs w:val="20"/>
        </w:rPr>
        <w:t>431</w:t>
      </w:r>
      <w:r w:rsidR="00D60A69" w:rsidRPr="00D60A69">
        <w:rPr>
          <w:rStyle w:val="EndnoteZchn"/>
          <w:sz w:val="20"/>
          <w:szCs w:val="20"/>
        </w:rPr>
        <w:fldChar w:fldCharType="end"/>
      </w:r>
      <w:r w:rsidR="00945DF8" w:rsidRPr="00207748">
        <w:rPr>
          <w:rStyle w:val="Ohne"/>
          <w:rFonts w:ascii="Cambria" w:hAnsi="Cambria" w:cs="Arial"/>
          <w:sz w:val="20"/>
          <w:szCs w:val="20"/>
        </w:rPr>
        <w:t xml:space="preserve"> </w:t>
      </w:r>
      <w:r w:rsidR="00EF1A9E" w:rsidRPr="00EF1A9E">
        <w:rPr>
          <w:rStyle w:val="EndnoteRealZchn"/>
        </w:rPr>
        <w:fldChar w:fldCharType="begin"/>
      </w:r>
      <w:r w:rsidR="00EF1A9E" w:rsidRPr="00EF1A9E">
        <w:rPr>
          <w:rStyle w:val="EndnoteRealZchn"/>
        </w:rPr>
        <w:instrText xml:space="preserve"> NOTEREF _Ref31189886 \h </w:instrText>
      </w:r>
      <w:r w:rsidR="00EF1A9E">
        <w:rPr>
          <w:rStyle w:val="EndnoteRealZchn"/>
        </w:rPr>
        <w:instrText xml:space="preserve"> \* MERGEFORMAT </w:instrText>
      </w:r>
      <w:r w:rsidR="00EF1A9E" w:rsidRPr="00EF1A9E">
        <w:rPr>
          <w:rStyle w:val="EndnoteRealZchn"/>
        </w:rPr>
      </w:r>
      <w:r w:rsidR="00EF1A9E" w:rsidRPr="00EF1A9E">
        <w:rPr>
          <w:rStyle w:val="EndnoteRealZchn"/>
        </w:rPr>
        <w:fldChar w:fldCharType="separate"/>
      </w:r>
      <w:r w:rsidR="00EF1A9E" w:rsidRPr="00EF1A9E">
        <w:rPr>
          <w:rStyle w:val="EndnoteRealZchn"/>
        </w:rPr>
        <w:t>393</w:t>
      </w:r>
      <w:r w:rsidR="00EF1A9E" w:rsidRPr="00EF1A9E">
        <w:rPr>
          <w:rStyle w:val="EndnoteRealZchn"/>
        </w:rPr>
        <w:fldChar w:fldCharType="end"/>
      </w:r>
    </w:p>
    <w:p w14:paraId="253501EC"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 xml:space="preserve">Ob bei invasiver Beatmung die Wahl eines höheren PEEP per se zu pulmonalen Langzeitschäden führt, kann aufgrund der derzeitigen Studienlage nicht beantwortet werden. Ebenfalls sind keine Studien bekannt, welche den Einfluss einer Beatmung mit höherem PEEP (per se) auf das Langzeitüberleben und die Lebensqualität untersucht haben. </w:t>
      </w:r>
    </w:p>
    <w:p w14:paraId="7D9792C6" w14:textId="77777777" w:rsidR="00E11869" w:rsidRPr="00207748" w:rsidRDefault="00E11869" w:rsidP="004454B6">
      <w:pPr>
        <w:spacing w:after="0"/>
        <w:rPr>
          <w:rStyle w:val="Ohne"/>
          <w:rFonts w:ascii="Cambria" w:eastAsia="Arial" w:hAnsi="Cambria" w:cs="Arial"/>
          <w:iCs/>
          <w:sz w:val="20"/>
          <w:szCs w:val="20"/>
        </w:rPr>
      </w:pPr>
    </w:p>
    <w:p w14:paraId="3AE6A02E" w14:textId="77777777" w:rsidR="00E11869" w:rsidRPr="00207748" w:rsidRDefault="00447357" w:rsidP="004454B6">
      <w:pPr>
        <w:spacing w:after="0"/>
        <w:rPr>
          <w:rStyle w:val="Ohne"/>
          <w:rFonts w:ascii="Cambria" w:eastAsia="Arial" w:hAnsi="Cambria" w:cs="Arial"/>
          <w:i/>
          <w:iCs/>
          <w:sz w:val="20"/>
          <w:szCs w:val="20"/>
        </w:rPr>
      </w:pPr>
      <w:r w:rsidRPr="00207748">
        <w:rPr>
          <w:rStyle w:val="Ohne"/>
          <w:rFonts w:ascii="Cambria" w:hAnsi="Cambria" w:cs="Arial"/>
          <w:i/>
          <w:iCs/>
          <w:sz w:val="20"/>
          <w:szCs w:val="20"/>
        </w:rPr>
        <w:t>Patienten mit erhöhten ICP</w:t>
      </w:r>
    </w:p>
    <w:p w14:paraId="3C9BCE11" w14:textId="77777777" w:rsidR="00E11869" w:rsidRPr="00207748" w:rsidRDefault="00447357" w:rsidP="004454B6">
      <w:pPr>
        <w:spacing w:after="0"/>
        <w:rPr>
          <w:rStyle w:val="Ohne"/>
          <w:rFonts w:ascii="Cambria" w:eastAsia="Arial" w:hAnsi="Cambria" w:cs="Arial"/>
          <w:sz w:val="20"/>
          <w:szCs w:val="20"/>
          <w:shd w:val="clear" w:color="auto" w:fill="FFFF00"/>
        </w:rPr>
      </w:pPr>
      <w:r w:rsidRPr="00207748">
        <w:rPr>
          <w:rStyle w:val="Ohne"/>
          <w:rFonts w:ascii="Cambria" w:hAnsi="Cambria" w:cs="Arial"/>
          <w:sz w:val="20"/>
          <w:szCs w:val="20"/>
        </w:rPr>
        <w:t>Es sind derzeit keine kontrollierten Studien bekannt, welche bei Patienten mit ARDS und erhöhtem ICP den Effekt eines unterschiedlich hohen PEEPs auf Überleben, neurologischen Outcome, usw. untersucht haben. Die in Reviews</w:t>
      </w:r>
      <w:r w:rsidR="00945DF8" w:rsidRPr="00207748">
        <w:rPr>
          <w:rStyle w:val="Endnotenzeichen"/>
          <w:rFonts w:ascii="Cambria" w:hAnsi="Cambria" w:cs="Arial"/>
          <w:sz w:val="20"/>
          <w:szCs w:val="20"/>
        </w:rPr>
        <w:endnoteReference w:id="408"/>
      </w:r>
      <w:r w:rsidRPr="00207748">
        <w:rPr>
          <w:rStyle w:val="Ohne"/>
          <w:rFonts w:ascii="Cambria" w:hAnsi="Cambria" w:cs="Arial"/>
          <w:sz w:val="20"/>
          <w:szCs w:val="20"/>
        </w:rPr>
        <w:t xml:space="preserve"> zum Ausdruck gebrachten Expertenmeinungen sprechen sich in solchen Situationen für die Wahl eines höheren PEEPs unter kontinuierlicher Kontrolle von ICP und zerebralem Perfusionsdruck (CPP) aus.</w:t>
      </w:r>
    </w:p>
    <w:p w14:paraId="403D3559" w14:textId="77777777" w:rsidR="00E11869" w:rsidRPr="00207748" w:rsidRDefault="00E11869" w:rsidP="004454B6">
      <w:pPr>
        <w:spacing w:after="120"/>
        <w:rPr>
          <w:rStyle w:val="Ohne"/>
          <w:rFonts w:ascii="Cambria" w:eastAsia="Arial" w:hAnsi="Cambria" w:cs="Arial"/>
          <w:sz w:val="20"/>
          <w:szCs w:val="20"/>
        </w:rPr>
      </w:pPr>
    </w:p>
    <w:p w14:paraId="073462A4"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 xml:space="preserve">Von den verschiedenen Möglichkeiten der Einstellung eines für den individuellen Patienten adäquaten PEEP-Niveaus ist aus Sicht der LL-Gruppe die Anwendung der ARDS-Network-Tabelle die am häufigsten verwendete und </w:t>
      </w:r>
      <w:r w:rsidRPr="00207748">
        <w:rPr>
          <w:rStyle w:val="Ohne"/>
          <w:rFonts w:ascii="Cambria" w:hAnsi="Cambria" w:cs="Arial"/>
          <w:sz w:val="20"/>
          <w:szCs w:val="20"/>
        </w:rPr>
        <w:lastRenderedPageBreak/>
        <w:t xml:space="preserve">zugleich einfachste Methode; sie lässt aber individuelle atemmechanische Begebenheiten unberücksichtigt. Gleichzeitig ist die Qualität der zugrundeliegenden Evidenz für die Einstellung eines individuell adäquaten PEEP sowie für konkret für die Auswahl der Methode als gering einzuschätzen. </w:t>
      </w:r>
    </w:p>
    <w:p w14:paraId="7FB8CFBE"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Daher gibt d</w:t>
      </w:r>
      <w:r w:rsidR="00524587" w:rsidRPr="00207748">
        <w:rPr>
          <w:rStyle w:val="Ohne"/>
          <w:rFonts w:ascii="Cambria" w:hAnsi="Cambria" w:cs="Arial"/>
          <w:sz w:val="20"/>
          <w:szCs w:val="20"/>
        </w:rPr>
        <w:t>ie</w:t>
      </w:r>
      <w:r w:rsidRPr="00207748">
        <w:rPr>
          <w:rStyle w:val="Ohne"/>
          <w:rFonts w:ascii="Cambria" w:hAnsi="Cambria" w:cs="Arial"/>
          <w:sz w:val="20"/>
          <w:szCs w:val="20"/>
        </w:rPr>
        <w:t xml:space="preserve"> Leitlinien</w:t>
      </w:r>
      <w:r w:rsidR="00524587" w:rsidRPr="00207748">
        <w:rPr>
          <w:rStyle w:val="Ohne"/>
          <w:rFonts w:ascii="Cambria" w:hAnsi="Cambria" w:cs="Arial"/>
          <w:sz w:val="20"/>
          <w:szCs w:val="20"/>
        </w:rPr>
        <w:t>kommission</w:t>
      </w:r>
      <w:r w:rsidRPr="00207748">
        <w:rPr>
          <w:rStyle w:val="Ohne"/>
          <w:rFonts w:ascii="Cambria" w:hAnsi="Cambria" w:cs="Arial"/>
          <w:sz w:val="20"/>
          <w:szCs w:val="20"/>
        </w:rPr>
        <w:t xml:space="preserve"> hier eine schwache Empfehlung für diese Methode als orientierende Hilfe zur Einstellung eines adäquaten PEEP-Niveaus.</w:t>
      </w:r>
    </w:p>
    <w:p w14:paraId="7006A5A1" w14:textId="77777777" w:rsidR="00E11869" w:rsidRPr="00207748" w:rsidRDefault="00E11869" w:rsidP="004454B6">
      <w:pPr>
        <w:spacing w:after="0"/>
        <w:rPr>
          <w:rStyle w:val="Ohne"/>
          <w:rFonts w:ascii="Cambria" w:eastAsia="Arial" w:hAnsi="Cambria" w:cs="Arial"/>
          <w:sz w:val="20"/>
          <w:szCs w:val="20"/>
        </w:rPr>
      </w:pPr>
    </w:p>
    <w:p w14:paraId="4A0D0A33"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Aufgrund der erwähnten Nebenwirkungen sind bei Patienten mit instabiler Herzkreislauffunktion Nutzen und Risiko eines höheren PEEP individuell zu bewerten. Ebenso</w:t>
      </w:r>
      <w:r w:rsidR="00B757D2" w:rsidRPr="00207748">
        <w:rPr>
          <w:rStyle w:val="Ohne"/>
          <w:rFonts w:ascii="Cambria" w:hAnsi="Cambria" w:cs="Arial"/>
          <w:sz w:val="20"/>
          <w:szCs w:val="20"/>
        </w:rPr>
        <w:t xml:space="preserve"> sind</w:t>
      </w:r>
      <w:r w:rsidRPr="00207748">
        <w:rPr>
          <w:rStyle w:val="Ohne"/>
          <w:rFonts w:ascii="Cambria" w:hAnsi="Cambria" w:cs="Arial"/>
          <w:sz w:val="20"/>
          <w:szCs w:val="20"/>
        </w:rPr>
        <w:t xml:space="preserve"> bei Patienten mit regional unterschiedlicher Ausprägung des ARDS der Nutzen (Rekrutierung atelektatischer Lungenareale, Verminderung von Scherstress) und das Risiko (Überdehnung weniger betroffener Lungenareale mit konsekutiver Totraumventilation) bei der Applikation eines höheren PEEP zu berücksichtigen.</w:t>
      </w:r>
    </w:p>
    <w:p w14:paraId="714D11FA" w14:textId="77777777" w:rsidR="00E11869" w:rsidRPr="00207748" w:rsidRDefault="00E11869" w:rsidP="004454B6">
      <w:pPr>
        <w:rPr>
          <w:rStyle w:val="Ohne"/>
          <w:rFonts w:ascii="Cambria" w:eastAsia="Arial" w:hAnsi="Cambria" w:cs="Arial"/>
          <w:iCs/>
          <w:sz w:val="20"/>
          <w:szCs w:val="20"/>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787"/>
        <w:gridCol w:w="1698"/>
        <w:gridCol w:w="848"/>
      </w:tblGrid>
      <w:tr w:rsidR="00E11869" w:rsidRPr="00207748" w14:paraId="16FCDA61" w14:textId="77777777" w:rsidTr="00DA3A66">
        <w:trPr>
          <w:trHeight w:val="282"/>
        </w:trPr>
        <w:tc>
          <w:tcPr>
            <w:tcW w:w="2063"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34B7A0A7" w14:textId="77777777" w:rsidR="00E11869" w:rsidRPr="00207748" w:rsidRDefault="00447357" w:rsidP="004454B6">
            <w:pPr>
              <w:rPr>
                <w:rStyle w:val="Ohne"/>
                <w:rFonts w:ascii="Cambria" w:hAnsi="Cambria"/>
                <w:b/>
                <w:bCs/>
                <w:sz w:val="20"/>
                <w:szCs w:val="20"/>
              </w:rPr>
            </w:pPr>
            <w:r w:rsidRPr="00207748">
              <w:rPr>
                <w:rStyle w:val="Ohne"/>
                <w:rFonts w:ascii="Cambria" w:hAnsi="Cambria" w:cs="Arial"/>
                <w:b/>
                <w:bCs/>
                <w:sz w:val="20"/>
                <w:szCs w:val="20"/>
              </w:rPr>
              <w:t>M.9</w:t>
            </w:r>
          </w:p>
        </w:tc>
        <w:tc>
          <w:tcPr>
            <w:tcW w:w="1959"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039AF1D3"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 xml:space="preserve">Empfehlung </w:t>
            </w:r>
          </w:p>
        </w:tc>
        <w:tc>
          <w:tcPr>
            <w:tcW w:w="978"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A3BE63E"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2AC69613" w14:textId="77777777" w:rsidTr="00DA3A66">
        <w:trPr>
          <w:trHeight w:val="1195"/>
        </w:trPr>
        <w:tc>
          <w:tcPr>
            <w:tcW w:w="2063"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26665"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Empfehlungsgrad</w:t>
            </w:r>
          </w:p>
          <w:p w14:paraId="5D2F2282" w14:textId="77777777" w:rsidR="00E11869" w:rsidRPr="00207748" w:rsidRDefault="00E11869" w:rsidP="004454B6">
            <w:pPr>
              <w:spacing w:after="0"/>
              <w:rPr>
                <w:rStyle w:val="Ohne"/>
                <w:rFonts w:ascii="Cambria" w:eastAsia="Arial" w:hAnsi="Cambria" w:cs="Arial"/>
                <w:sz w:val="20"/>
                <w:szCs w:val="20"/>
              </w:rPr>
            </w:pPr>
          </w:p>
          <w:p w14:paraId="744BABC4" w14:textId="77777777" w:rsidR="00E11869" w:rsidRPr="00207748" w:rsidRDefault="00447357" w:rsidP="004454B6">
            <w:pPr>
              <w:spacing w:after="0"/>
              <w:rPr>
                <w:rStyle w:val="Ohne"/>
                <w:rFonts w:ascii="Cambria" w:eastAsia="Arial" w:hAnsi="Cambria" w:cs="Arial"/>
                <w:b/>
                <w:bCs/>
                <w:sz w:val="20"/>
                <w:szCs w:val="20"/>
              </w:rPr>
            </w:pPr>
            <w:r w:rsidRPr="00207748">
              <w:rPr>
                <w:rStyle w:val="Ohne"/>
                <w:rFonts w:ascii="Cambria" w:hAnsi="Cambria" w:cs="Arial"/>
                <w:b/>
                <w:bCs/>
                <w:sz w:val="20"/>
                <w:szCs w:val="20"/>
              </w:rPr>
              <w:t>schwach</w:t>
            </w:r>
          </w:p>
          <w:p w14:paraId="1609768A" w14:textId="77777777" w:rsidR="00E11869" w:rsidRPr="00207748" w:rsidRDefault="00E11869" w:rsidP="004454B6">
            <w:pPr>
              <w:spacing w:after="0"/>
              <w:rPr>
                <w:rStyle w:val="Ohne"/>
                <w:rFonts w:ascii="Cambria" w:eastAsia="Arial" w:hAnsi="Cambria" w:cs="Arial"/>
                <w:b/>
                <w:bCs/>
                <w:sz w:val="20"/>
                <w:szCs w:val="20"/>
              </w:rPr>
            </w:pPr>
          </w:p>
          <w:p w14:paraId="04155B30" w14:textId="77777777" w:rsidR="00E11869" w:rsidRPr="00207748" w:rsidRDefault="00E11869" w:rsidP="004454B6">
            <w:pPr>
              <w:spacing w:after="0"/>
              <w:rPr>
                <w:rStyle w:val="Ohne"/>
                <w:rFonts w:ascii="Cambria" w:eastAsia="Arial" w:hAnsi="Cambria" w:cs="Arial"/>
                <w:sz w:val="20"/>
                <w:szCs w:val="20"/>
              </w:rPr>
            </w:pPr>
          </w:p>
          <w:p w14:paraId="4257E5C1"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Evidenzgrad</w:t>
            </w:r>
          </w:p>
          <w:p w14:paraId="4115E21F" w14:textId="77777777" w:rsidR="00E11869" w:rsidRPr="00207748" w:rsidRDefault="00E11869" w:rsidP="004454B6">
            <w:pPr>
              <w:spacing w:after="0"/>
              <w:rPr>
                <w:rStyle w:val="Ohne"/>
                <w:rFonts w:ascii="Cambria" w:eastAsia="Arial" w:hAnsi="Cambria" w:cs="Arial"/>
                <w:sz w:val="20"/>
                <w:szCs w:val="20"/>
              </w:rPr>
            </w:pPr>
          </w:p>
          <w:p w14:paraId="7F90A443"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moderat</w:t>
            </w:r>
          </w:p>
        </w:tc>
        <w:tc>
          <w:tcPr>
            <w:tcW w:w="293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A98D8" w14:textId="7864FD72"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Wir schlagen vor, bei invasiv beatmeten Patienten mit ARDS keine Rekrutierungs</w:t>
            </w:r>
            <w:r w:rsidR="00B26F79">
              <w:rPr>
                <w:rStyle w:val="Ohne"/>
                <w:rFonts w:ascii="Cambria" w:hAnsi="Cambria" w:cs="Arial"/>
                <w:b/>
                <w:bCs/>
                <w:sz w:val="20"/>
                <w:szCs w:val="20"/>
              </w:rPr>
              <w:t>-</w:t>
            </w:r>
            <w:r w:rsidRPr="00207748">
              <w:rPr>
                <w:rStyle w:val="Ohne"/>
                <w:rFonts w:ascii="Cambria" w:hAnsi="Cambria" w:cs="Arial"/>
                <w:b/>
                <w:bCs/>
                <w:sz w:val="20"/>
                <w:szCs w:val="20"/>
              </w:rPr>
              <w:t>man</w:t>
            </w:r>
            <w:r w:rsidRPr="00207748">
              <w:rPr>
                <w:rStyle w:val="Ohne"/>
                <w:rFonts w:ascii="Cambria" w:hAnsi="Cambria" w:cs="Arial"/>
                <w:b/>
                <w:bCs/>
                <w:sz w:val="20"/>
                <w:szCs w:val="20"/>
                <w:lang w:val="sv-SE"/>
              </w:rPr>
              <w:t>ö</w:t>
            </w:r>
            <w:r w:rsidRPr="00207748">
              <w:rPr>
                <w:rStyle w:val="Ohne"/>
                <w:rFonts w:ascii="Cambria" w:hAnsi="Cambria" w:cs="Arial"/>
                <w:b/>
                <w:bCs/>
                <w:sz w:val="20"/>
                <w:szCs w:val="20"/>
              </w:rPr>
              <w:t xml:space="preserve">ver </w:t>
            </w:r>
            <w:r w:rsidR="00E873A9" w:rsidRPr="00207748">
              <w:rPr>
                <w:rStyle w:val="Ohne"/>
                <w:rFonts w:ascii="Cambria" w:hAnsi="Cambria" w:cs="Arial"/>
                <w:b/>
                <w:bCs/>
                <w:sz w:val="20"/>
                <w:szCs w:val="20"/>
              </w:rPr>
              <w:t xml:space="preserve">(RM) </w:t>
            </w:r>
            <w:r w:rsidRPr="00207748">
              <w:rPr>
                <w:rStyle w:val="Ohne"/>
                <w:rFonts w:ascii="Cambria" w:hAnsi="Cambria" w:cs="Arial"/>
                <w:b/>
                <w:bCs/>
                <w:sz w:val="20"/>
                <w:szCs w:val="20"/>
              </w:rPr>
              <w:t xml:space="preserve">durchzuführen. </w:t>
            </w:r>
          </w:p>
        </w:tc>
      </w:tr>
      <w:tr w:rsidR="00E11869" w:rsidRPr="00207748" w14:paraId="656C753A" w14:textId="77777777" w:rsidTr="00DA3A66">
        <w:trPr>
          <w:trHeight w:val="366"/>
        </w:trPr>
        <w:tc>
          <w:tcPr>
            <w:tcW w:w="2063" w:type="pct"/>
            <w:vMerge/>
            <w:tcBorders>
              <w:top w:val="single" w:sz="4" w:space="0" w:color="000000"/>
              <w:left w:val="single" w:sz="4" w:space="0" w:color="000000"/>
              <w:bottom w:val="single" w:sz="4" w:space="0" w:color="000000"/>
              <w:right w:val="single" w:sz="4" w:space="0" w:color="000000"/>
            </w:tcBorders>
            <w:shd w:val="clear" w:color="auto" w:fill="auto"/>
          </w:tcPr>
          <w:p w14:paraId="1F781745" w14:textId="77777777" w:rsidR="00E11869" w:rsidRPr="00207748" w:rsidRDefault="00E11869" w:rsidP="004454B6">
            <w:pPr>
              <w:rPr>
                <w:rFonts w:ascii="Cambria" w:hAnsi="Cambria" w:cs="Arial"/>
                <w:sz w:val="20"/>
                <w:szCs w:val="20"/>
              </w:rPr>
            </w:pPr>
          </w:p>
        </w:tc>
        <w:tc>
          <w:tcPr>
            <w:tcW w:w="293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166AA" w14:textId="77777777" w:rsidR="00E11869" w:rsidRPr="00207748" w:rsidRDefault="00064141" w:rsidP="004454B6">
            <w:pPr>
              <w:rPr>
                <w:rFonts w:ascii="Cambria" w:hAnsi="Cambria" w:cs="Arial"/>
                <w:sz w:val="20"/>
                <w:szCs w:val="20"/>
              </w:rPr>
            </w:pPr>
            <w:r w:rsidRPr="00207748">
              <w:rPr>
                <w:rStyle w:val="Ohne"/>
                <w:rFonts w:ascii="Cambria" w:hAnsi="Cambria" w:cs="Arial"/>
                <w:b/>
                <w:bCs/>
                <w:sz w:val="20"/>
                <w:szCs w:val="20"/>
                <w:lang w:val="en-US"/>
              </w:rPr>
              <w:t xml:space="preserve">Zusätzliche </w:t>
            </w:r>
            <w:r w:rsidR="00447357" w:rsidRPr="00207748">
              <w:rPr>
                <w:rStyle w:val="Ohne"/>
                <w:rFonts w:ascii="Cambria" w:hAnsi="Cambria" w:cs="Arial"/>
                <w:b/>
                <w:bCs/>
                <w:sz w:val="20"/>
                <w:szCs w:val="20"/>
                <w:lang w:val="en-US"/>
              </w:rPr>
              <w:t>DSG-Leitlinien-Empfehlung</w:t>
            </w:r>
          </w:p>
        </w:tc>
      </w:tr>
      <w:tr w:rsidR="00E11869" w:rsidRPr="00207748" w14:paraId="7ABFC0B6" w14:textId="77777777" w:rsidTr="00DA3A66">
        <w:trPr>
          <w:trHeight w:val="282"/>
        </w:trPr>
        <w:tc>
          <w:tcPr>
            <w:tcW w:w="20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A1A60" w14:textId="77777777" w:rsidR="00E11869" w:rsidRPr="00207748" w:rsidRDefault="00E11869" w:rsidP="004454B6">
            <w:pPr>
              <w:rPr>
                <w:rFonts w:ascii="Cambria" w:hAnsi="Cambria" w:cs="Arial"/>
                <w:sz w:val="20"/>
                <w:szCs w:val="20"/>
              </w:rPr>
            </w:pPr>
          </w:p>
        </w:tc>
        <w:tc>
          <w:tcPr>
            <w:tcW w:w="293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2825C"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Konsensstärke: 100 %</w:t>
            </w:r>
          </w:p>
        </w:tc>
      </w:tr>
    </w:tbl>
    <w:p w14:paraId="2950F649" w14:textId="7D942AF6" w:rsidR="00E11869" w:rsidRDefault="00E11869" w:rsidP="004454B6">
      <w:pPr>
        <w:rPr>
          <w:rStyle w:val="Ohne"/>
          <w:rFonts w:ascii="Cambria" w:eastAsia="Arial" w:hAnsi="Cambria" w:cs="Arial"/>
          <w:sz w:val="20"/>
          <w:szCs w:val="20"/>
          <w:shd w:val="clear" w:color="auto" w:fill="FFFF00"/>
        </w:rPr>
      </w:pPr>
    </w:p>
    <w:p w14:paraId="384129E9" w14:textId="77777777" w:rsidR="00E15D93" w:rsidRPr="00207748" w:rsidRDefault="00E15D93" w:rsidP="004454B6">
      <w:pPr>
        <w:rPr>
          <w:rStyle w:val="Ohne"/>
          <w:rFonts w:ascii="Cambria" w:eastAsia="Arial" w:hAnsi="Cambria" w:cs="Arial"/>
          <w:sz w:val="20"/>
          <w:szCs w:val="20"/>
          <w:shd w:val="clear" w:color="auto" w:fill="FFFF00"/>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760"/>
        <w:gridCol w:w="1715"/>
        <w:gridCol w:w="858"/>
      </w:tblGrid>
      <w:tr w:rsidR="00E11869" w:rsidRPr="00207748" w14:paraId="111DBCE2" w14:textId="77777777" w:rsidTr="00DA3A66">
        <w:trPr>
          <w:trHeight w:val="282"/>
        </w:trPr>
        <w:tc>
          <w:tcPr>
            <w:tcW w:w="2031"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22052537" w14:textId="77777777" w:rsidR="00E11869" w:rsidRPr="00207748" w:rsidRDefault="00447357" w:rsidP="004454B6">
            <w:pPr>
              <w:rPr>
                <w:rStyle w:val="Ohne"/>
                <w:rFonts w:ascii="Cambria" w:hAnsi="Cambria"/>
                <w:b/>
                <w:bCs/>
                <w:sz w:val="20"/>
                <w:szCs w:val="20"/>
              </w:rPr>
            </w:pPr>
            <w:r w:rsidRPr="00207748">
              <w:rPr>
                <w:rStyle w:val="Ohne"/>
                <w:rFonts w:ascii="Cambria" w:hAnsi="Cambria" w:cs="Arial"/>
                <w:b/>
                <w:bCs/>
                <w:sz w:val="20"/>
                <w:szCs w:val="20"/>
              </w:rPr>
              <w:t>M.10</w:t>
            </w:r>
          </w:p>
        </w:tc>
        <w:tc>
          <w:tcPr>
            <w:tcW w:w="1979"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3A716887"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 xml:space="preserve">Empfehlung </w:t>
            </w:r>
          </w:p>
        </w:tc>
        <w:tc>
          <w:tcPr>
            <w:tcW w:w="990"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2BC3C9B4"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3B7D47D5" w14:textId="77777777" w:rsidTr="00DA3A66">
        <w:trPr>
          <w:trHeight w:val="1821"/>
        </w:trPr>
        <w:tc>
          <w:tcPr>
            <w:tcW w:w="2031"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3F04F"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lastRenderedPageBreak/>
              <w:t>Empfehlungsgrad</w:t>
            </w:r>
          </w:p>
          <w:p w14:paraId="0F86E81C" w14:textId="77777777" w:rsidR="00E11869" w:rsidRPr="00207748" w:rsidRDefault="00E11869" w:rsidP="004454B6">
            <w:pPr>
              <w:spacing w:after="0"/>
              <w:rPr>
                <w:rStyle w:val="Ohne"/>
                <w:rFonts w:ascii="Cambria" w:eastAsia="Arial" w:hAnsi="Cambria" w:cs="Arial"/>
                <w:sz w:val="20"/>
                <w:szCs w:val="20"/>
              </w:rPr>
            </w:pPr>
          </w:p>
          <w:p w14:paraId="458332BE" w14:textId="77777777" w:rsidR="00E11869" w:rsidRPr="00207748" w:rsidRDefault="00447357" w:rsidP="004454B6">
            <w:pPr>
              <w:spacing w:after="0"/>
              <w:rPr>
                <w:rStyle w:val="Ohne"/>
                <w:rFonts w:ascii="Cambria" w:eastAsia="Arial" w:hAnsi="Cambria" w:cs="Arial"/>
                <w:b/>
                <w:bCs/>
                <w:sz w:val="20"/>
                <w:szCs w:val="20"/>
              </w:rPr>
            </w:pPr>
            <w:r w:rsidRPr="00207748">
              <w:rPr>
                <w:rStyle w:val="Ohne"/>
                <w:rFonts w:ascii="Cambria" w:hAnsi="Cambria" w:cs="Arial"/>
                <w:b/>
                <w:bCs/>
                <w:sz w:val="20"/>
                <w:szCs w:val="20"/>
              </w:rPr>
              <w:t xml:space="preserve">stark </w:t>
            </w:r>
          </w:p>
          <w:p w14:paraId="553E822E" w14:textId="77777777" w:rsidR="00E11869" w:rsidRPr="00207748" w:rsidRDefault="00E11869" w:rsidP="004454B6">
            <w:pPr>
              <w:spacing w:after="0"/>
              <w:rPr>
                <w:rStyle w:val="Ohne"/>
                <w:rFonts w:ascii="Cambria" w:eastAsia="Arial" w:hAnsi="Cambria" w:cs="Arial"/>
                <w:sz w:val="20"/>
                <w:szCs w:val="20"/>
              </w:rPr>
            </w:pPr>
          </w:p>
          <w:p w14:paraId="5A1512C6"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Evidenzgrad</w:t>
            </w:r>
          </w:p>
          <w:p w14:paraId="757E1DA1" w14:textId="77777777" w:rsidR="00E11869" w:rsidRPr="00207748" w:rsidRDefault="00E11869" w:rsidP="004454B6">
            <w:pPr>
              <w:spacing w:after="0"/>
              <w:rPr>
                <w:rStyle w:val="Ohne"/>
                <w:rFonts w:ascii="Cambria" w:eastAsia="Arial" w:hAnsi="Cambria" w:cs="Arial"/>
                <w:sz w:val="20"/>
                <w:szCs w:val="20"/>
              </w:rPr>
            </w:pPr>
          </w:p>
          <w:p w14:paraId="02439251"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moderat</w:t>
            </w:r>
          </w:p>
        </w:tc>
        <w:tc>
          <w:tcPr>
            <w:tcW w:w="296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0E565"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Wir empfehlen bei invasiv beatmeten Patienten mit ARDS keine Durchführung von Rekrutierungsman</w:t>
            </w:r>
            <w:r w:rsidRPr="00207748">
              <w:rPr>
                <w:rStyle w:val="Ohne"/>
                <w:rFonts w:ascii="Cambria" w:hAnsi="Cambria" w:cs="Arial"/>
                <w:b/>
                <w:bCs/>
                <w:sz w:val="20"/>
                <w:szCs w:val="20"/>
                <w:lang w:val="sv-SE"/>
              </w:rPr>
              <w:t>ö</w:t>
            </w:r>
            <w:r w:rsidRPr="00207748">
              <w:rPr>
                <w:rStyle w:val="Ohne"/>
                <w:rFonts w:ascii="Cambria" w:hAnsi="Cambria" w:cs="Arial"/>
                <w:b/>
                <w:bCs/>
                <w:sz w:val="20"/>
                <w:szCs w:val="20"/>
              </w:rPr>
              <w:t>vern mit endinspiratorischen Drücken über 50 cm H</w:t>
            </w:r>
            <w:r w:rsidRPr="00207748">
              <w:rPr>
                <w:rStyle w:val="Ohne"/>
                <w:rFonts w:ascii="Cambria" w:hAnsi="Cambria" w:cs="Arial"/>
                <w:b/>
                <w:bCs/>
                <w:sz w:val="20"/>
                <w:szCs w:val="20"/>
                <w:vertAlign w:val="subscript"/>
              </w:rPr>
              <w:t>2</w:t>
            </w:r>
            <w:r w:rsidRPr="00207748">
              <w:rPr>
                <w:rStyle w:val="Ohne"/>
                <w:rFonts w:ascii="Cambria" w:hAnsi="Cambria" w:cs="Arial"/>
                <w:b/>
                <w:bCs/>
                <w:sz w:val="20"/>
                <w:szCs w:val="20"/>
              </w:rPr>
              <w:t xml:space="preserve">O. </w:t>
            </w:r>
          </w:p>
        </w:tc>
      </w:tr>
      <w:tr w:rsidR="00E11869" w:rsidRPr="00207748" w14:paraId="64A2BCC0" w14:textId="77777777" w:rsidTr="00DA3A66">
        <w:trPr>
          <w:trHeight w:val="475"/>
        </w:trPr>
        <w:tc>
          <w:tcPr>
            <w:tcW w:w="2031" w:type="pct"/>
            <w:vMerge/>
            <w:tcBorders>
              <w:top w:val="single" w:sz="4" w:space="0" w:color="000000"/>
              <w:left w:val="single" w:sz="4" w:space="0" w:color="000000"/>
              <w:bottom w:val="single" w:sz="4" w:space="0" w:color="000000"/>
              <w:right w:val="single" w:sz="4" w:space="0" w:color="000000"/>
            </w:tcBorders>
            <w:shd w:val="clear" w:color="auto" w:fill="auto"/>
          </w:tcPr>
          <w:p w14:paraId="503995C3" w14:textId="77777777" w:rsidR="00E11869" w:rsidRPr="00207748" w:rsidRDefault="00E11869" w:rsidP="004454B6">
            <w:pPr>
              <w:rPr>
                <w:rFonts w:ascii="Cambria" w:hAnsi="Cambria" w:cs="Arial"/>
                <w:sz w:val="20"/>
                <w:szCs w:val="20"/>
              </w:rPr>
            </w:pPr>
          </w:p>
        </w:tc>
        <w:tc>
          <w:tcPr>
            <w:tcW w:w="296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33C72" w14:textId="77777777" w:rsidR="00E11869" w:rsidRPr="00207748" w:rsidRDefault="00064141" w:rsidP="004454B6">
            <w:pPr>
              <w:spacing w:after="0"/>
              <w:rPr>
                <w:rFonts w:ascii="Cambria" w:hAnsi="Cambria" w:cs="Arial"/>
                <w:sz w:val="20"/>
                <w:szCs w:val="20"/>
              </w:rPr>
            </w:pPr>
            <w:r w:rsidRPr="00207748">
              <w:rPr>
                <w:rStyle w:val="Ohne"/>
                <w:rFonts w:ascii="Cambria" w:hAnsi="Cambria" w:cs="Arial"/>
                <w:b/>
                <w:bCs/>
                <w:sz w:val="20"/>
                <w:szCs w:val="20"/>
              </w:rPr>
              <w:t xml:space="preserve">Zusätzliche </w:t>
            </w:r>
            <w:r w:rsidR="00447357" w:rsidRPr="00207748">
              <w:rPr>
                <w:rStyle w:val="Ohne"/>
                <w:rFonts w:ascii="Cambria" w:hAnsi="Cambria" w:cs="Arial"/>
                <w:b/>
                <w:bCs/>
                <w:sz w:val="20"/>
                <w:szCs w:val="20"/>
              </w:rPr>
              <w:t>DSG-Leitlinien-Empfehlung</w:t>
            </w:r>
          </w:p>
        </w:tc>
      </w:tr>
      <w:tr w:rsidR="00E11869" w:rsidRPr="00207748" w14:paraId="142EEFEE" w14:textId="77777777" w:rsidTr="00DA3A66">
        <w:trPr>
          <w:trHeight w:val="282"/>
        </w:trPr>
        <w:tc>
          <w:tcPr>
            <w:tcW w:w="20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FFBB3" w14:textId="77777777" w:rsidR="00E11869" w:rsidRPr="00207748" w:rsidRDefault="00E11869" w:rsidP="004454B6">
            <w:pPr>
              <w:rPr>
                <w:rFonts w:ascii="Cambria" w:hAnsi="Cambria" w:cs="Arial"/>
                <w:sz w:val="20"/>
                <w:szCs w:val="20"/>
              </w:rPr>
            </w:pPr>
          </w:p>
        </w:tc>
        <w:tc>
          <w:tcPr>
            <w:tcW w:w="296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7D5BA"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Konsensstärke: 100 %</w:t>
            </w:r>
          </w:p>
        </w:tc>
      </w:tr>
    </w:tbl>
    <w:p w14:paraId="78B2464E" w14:textId="1292CB35" w:rsidR="00E11869" w:rsidRPr="00207748" w:rsidRDefault="00420A45" w:rsidP="004454B6">
      <w:pPr>
        <w:spacing w:before="240" w:after="0"/>
        <w:rPr>
          <w:rStyle w:val="Ohne"/>
          <w:rFonts w:ascii="Cambria" w:eastAsia="Arial" w:hAnsi="Cambria" w:cs="Arial"/>
          <w:sz w:val="20"/>
          <w:szCs w:val="20"/>
        </w:rPr>
      </w:pPr>
      <w:r w:rsidRPr="00207748">
        <w:rPr>
          <w:rStyle w:val="Ohne"/>
          <w:rFonts w:ascii="Cambria" w:hAnsi="Cambria" w:cs="Arial"/>
          <w:b/>
          <w:bCs/>
          <w:sz w:val="20"/>
          <w:szCs w:val="20"/>
        </w:rPr>
        <w:t>Begründung:</w:t>
      </w:r>
      <w:r w:rsidR="00447357" w:rsidRPr="00207748">
        <w:rPr>
          <w:rStyle w:val="Ohne"/>
          <w:rFonts w:ascii="Cambria" w:hAnsi="Cambria" w:cs="Arial"/>
          <w:b/>
          <w:bCs/>
          <w:sz w:val="20"/>
          <w:szCs w:val="20"/>
        </w:rPr>
        <w:t xml:space="preserve"> </w:t>
      </w:r>
      <w:r w:rsidR="00447357" w:rsidRPr="00207748">
        <w:rPr>
          <w:rStyle w:val="Ohne"/>
          <w:rFonts w:ascii="Cambria" w:hAnsi="Cambria" w:cs="Arial"/>
          <w:sz w:val="20"/>
          <w:szCs w:val="20"/>
        </w:rPr>
        <w:t xml:space="preserve">In der aktualisierten Version der SSC-Leitlinie 2016 wird eine schwache Empfehlung für die Anwendung von Rekrutierungsmanövern </w:t>
      </w:r>
      <w:r w:rsidR="005454B0">
        <w:rPr>
          <w:rStyle w:val="Ohne"/>
          <w:rFonts w:ascii="Cambria" w:hAnsi="Cambria" w:cs="Arial"/>
          <w:sz w:val="20"/>
          <w:szCs w:val="20"/>
        </w:rPr>
        <w:t xml:space="preserve">(RM) </w:t>
      </w:r>
      <w:r w:rsidR="00447357" w:rsidRPr="00207748">
        <w:rPr>
          <w:rStyle w:val="Ohne"/>
          <w:rFonts w:ascii="Cambria" w:hAnsi="Cambria" w:cs="Arial"/>
          <w:sz w:val="20"/>
          <w:szCs w:val="20"/>
        </w:rPr>
        <w:t xml:space="preserve">in adulten Patienten mit </w:t>
      </w:r>
      <w:r w:rsidR="001A58EF" w:rsidRPr="00207748">
        <w:rPr>
          <w:rStyle w:val="Ohne"/>
          <w:rFonts w:ascii="Cambria" w:hAnsi="Cambria" w:cs="Arial"/>
          <w:sz w:val="20"/>
          <w:szCs w:val="20"/>
        </w:rPr>
        <w:t>S</w:t>
      </w:r>
      <w:r w:rsidR="00447357" w:rsidRPr="00207748">
        <w:rPr>
          <w:rStyle w:val="Ohne"/>
          <w:rFonts w:ascii="Cambria" w:hAnsi="Cambria" w:cs="Arial"/>
          <w:sz w:val="20"/>
          <w:szCs w:val="20"/>
        </w:rPr>
        <w:t>epsis-induziertem</w:t>
      </w:r>
      <w:r w:rsidR="00B757D2" w:rsidRPr="00207748">
        <w:rPr>
          <w:rStyle w:val="Ohne"/>
          <w:rFonts w:ascii="Cambria" w:hAnsi="Cambria" w:cs="Arial"/>
          <w:sz w:val="20"/>
          <w:szCs w:val="20"/>
        </w:rPr>
        <w:t xml:space="preserve"> </w:t>
      </w:r>
      <w:r w:rsidR="00447357" w:rsidRPr="00207748">
        <w:rPr>
          <w:rStyle w:val="Ohne"/>
          <w:rFonts w:ascii="Cambria" w:hAnsi="Cambria" w:cs="Arial"/>
          <w:sz w:val="20"/>
          <w:szCs w:val="20"/>
        </w:rPr>
        <w:t>schwere</w:t>
      </w:r>
      <w:r w:rsidR="00D35967" w:rsidRPr="00207748">
        <w:rPr>
          <w:rStyle w:val="Ohne"/>
          <w:rFonts w:ascii="Cambria" w:hAnsi="Cambria" w:cs="Arial"/>
          <w:sz w:val="20"/>
          <w:szCs w:val="20"/>
        </w:rPr>
        <w:t>m</w:t>
      </w:r>
      <w:r w:rsidR="00447357" w:rsidRPr="00207748">
        <w:rPr>
          <w:rStyle w:val="Ohne"/>
          <w:rFonts w:ascii="Cambria" w:hAnsi="Cambria" w:cs="Arial"/>
          <w:sz w:val="20"/>
          <w:szCs w:val="20"/>
        </w:rPr>
        <w:t xml:space="preserve"> ARDS gegeben (schwache Empfehlung, moderate Qualität der Evidenz). Die Autoren beziehen sich auf eine ältere Meta-Analyse aus dem Jahr 2008, geben im Hintergrundtext jedoch später einschränkend an, dass ausgewählte Patienten mit schwerer Hypoxämie von Rekrutierungsmanövern im Verbindung mit hohem PEEP profitieren könnten und bezeichnen die Evidenz für einen routinemäßigen Einsatz als gering</w:t>
      </w:r>
      <w:r w:rsidR="00587AE4">
        <w:rPr>
          <w:rStyle w:val="Ohne"/>
          <w:rFonts w:ascii="Cambria" w:hAnsi="Cambria" w:cs="Arial"/>
          <w:sz w:val="20"/>
          <w:szCs w:val="20"/>
        </w:rPr>
        <w:t>.</w:t>
      </w:r>
      <w:r w:rsidR="00587AE4" w:rsidRPr="00E15D93">
        <w:rPr>
          <w:rStyle w:val="EndnoteRealZchn"/>
        </w:rPr>
        <w:fldChar w:fldCharType="begin"/>
      </w:r>
      <w:r w:rsidR="00587AE4" w:rsidRPr="00E15D93">
        <w:rPr>
          <w:rStyle w:val="EndnoteRealZchn"/>
        </w:rPr>
        <w:instrText xml:space="preserve"> NOTEREF _Ref30424572 \h </w:instrText>
      </w:r>
      <w:r w:rsidR="00E15D93">
        <w:rPr>
          <w:rStyle w:val="EndnoteRealZchn"/>
        </w:rPr>
        <w:instrText xml:space="preserve"> \* MERGEFORMAT </w:instrText>
      </w:r>
      <w:r w:rsidR="00587AE4" w:rsidRPr="00E15D93">
        <w:rPr>
          <w:rStyle w:val="EndnoteRealZchn"/>
        </w:rPr>
      </w:r>
      <w:r w:rsidR="00587AE4" w:rsidRPr="00E15D93">
        <w:rPr>
          <w:rStyle w:val="EndnoteRealZchn"/>
        </w:rPr>
        <w:fldChar w:fldCharType="separate"/>
      </w:r>
      <w:r w:rsidR="001A283B" w:rsidRPr="00E15D93">
        <w:rPr>
          <w:rStyle w:val="EndnoteRealZchn"/>
        </w:rPr>
        <w:t>2</w:t>
      </w:r>
      <w:r w:rsidR="00587AE4" w:rsidRPr="00E15D93">
        <w:rPr>
          <w:rStyle w:val="EndnoteRealZchn"/>
        </w:rPr>
        <w:fldChar w:fldCharType="end"/>
      </w:r>
      <w:r w:rsidR="00587AE4" w:rsidRPr="00E15D93">
        <w:rPr>
          <w:rStyle w:val="EndnoteRealZchn"/>
        </w:rPr>
        <w:t xml:space="preserve"> </w:t>
      </w:r>
      <w:r w:rsidR="00447357" w:rsidRPr="00207748">
        <w:rPr>
          <w:rStyle w:val="Ohne"/>
          <w:rFonts w:ascii="Cambria" w:hAnsi="Cambria" w:cs="Arial"/>
          <w:sz w:val="20"/>
          <w:szCs w:val="20"/>
        </w:rPr>
        <w:t>Die hier verabschiedete Empfehlung beruht auf der Bewertung einer aktuellen Meta-Analyse von 10 prospektiv randomisierten Studien, die den Einfluss von RM auf die Krankenhaussterblichkeit</w:t>
      </w:r>
      <w:r w:rsidR="00264D62" w:rsidRPr="00207748">
        <w:rPr>
          <w:rStyle w:val="Ohne"/>
          <w:rFonts w:ascii="Cambria" w:hAnsi="Cambria" w:cs="Arial"/>
          <w:sz w:val="20"/>
          <w:szCs w:val="20"/>
        </w:rPr>
        <w:t xml:space="preserve"> zusammenfasst.</w:t>
      </w:r>
      <w:r w:rsidR="006B2B71" w:rsidRPr="006B2B71">
        <w:rPr>
          <w:rStyle w:val="EndnoteRealZchn"/>
        </w:rPr>
        <w:fldChar w:fldCharType="begin"/>
      </w:r>
      <w:r w:rsidR="006B2B71" w:rsidRPr="006B2B71">
        <w:rPr>
          <w:rStyle w:val="EndnoteRealZchn"/>
        </w:rPr>
        <w:instrText xml:space="preserve"> NOTEREF _Ref30589642 \h </w:instrText>
      </w:r>
      <w:r w:rsidR="006B2B71">
        <w:rPr>
          <w:rStyle w:val="EndnoteRealZchn"/>
        </w:rPr>
        <w:instrText xml:space="preserve"> \* MERGEFORMAT </w:instrText>
      </w:r>
      <w:r w:rsidR="006B2B71" w:rsidRPr="006B2B71">
        <w:rPr>
          <w:rStyle w:val="EndnoteRealZchn"/>
        </w:rPr>
      </w:r>
      <w:r w:rsidR="006B2B71" w:rsidRPr="006B2B71">
        <w:rPr>
          <w:rStyle w:val="EndnoteRealZchn"/>
        </w:rPr>
        <w:fldChar w:fldCharType="separate"/>
      </w:r>
      <w:r w:rsidR="001A283B">
        <w:rPr>
          <w:rStyle w:val="EndnoteRealZchn"/>
        </w:rPr>
        <w:t>457</w:t>
      </w:r>
      <w:r w:rsidR="006B2B71" w:rsidRPr="006B2B71">
        <w:rPr>
          <w:rStyle w:val="EndnoteRealZchn"/>
        </w:rPr>
        <w:fldChar w:fldCharType="end"/>
      </w:r>
      <w:r w:rsidR="00447357" w:rsidRPr="00207748">
        <w:rPr>
          <w:rStyle w:val="Ohne"/>
          <w:rFonts w:ascii="Cambria" w:hAnsi="Cambria" w:cs="Arial"/>
          <w:sz w:val="20"/>
          <w:szCs w:val="20"/>
        </w:rPr>
        <w:t xml:space="preserve"> Bei den insgesamt 1.594 Patienten mit ARDS führten RM im Vergleich zur Kontrollgruppe zu einer signifikant geringeren Krankenhaussterblichkeit von 36 % in der RM Gruppe gegen 42 % in der Kontrollgruppe (RR 0,84; 95 % CI 0,74-0,95; I2=0 %). Die Durchführung von RM war dabei nicht mit einer höheren Inzidenz von Barotraumen assoziiert, senkte aber nicht die Notwendigkeit der Durchführung von Rescue-Therapien wie ECMO oder NO-Inhalation. Die meisten eingeschlossenen Studien fanden keine Unterschiede in der Beatmungsdauer sowie in der Dauer des I</w:t>
      </w:r>
      <w:r w:rsidR="006B2B71">
        <w:rPr>
          <w:rStyle w:val="Ohne"/>
          <w:rFonts w:ascii="Cambria" w:hAnsi="Cambria" w:cs="Arial"/>
          <w:sz w:val="20"/>
          <w:szCs w:val="20"/>
        </w:rPr>
        <w:t>TS</w:t>
      </w:r>
      <w:r w:rsidR="00447357" w:rsidRPr="00207748">
        <w:rPr>
          <w:rStyle w:val="Ohne"/>
          <w:rFonts w:ascii="Cambria" w:hAnsi="Cambria" w:cs="Arial"/>
          <w:sz w:val="20"/>
          <w:szCs w:val="20"/>
        </w:rPr>
        <w:t xml:space="preserve">- oder Krankenhausaufenthaltes; diese Variablen </w:t>
      </w:r>
      <w:r w:rsidR="00447357" w:rsidRPr="00207748">
        <w:rPr>
          <w:rStyle w:val="Ohne"/>
          <w:rFonts w:ascii="Cambria" w:hAnsi="Cambria" w:cs="Arial"/>
          <w:sz w:val="20"/>
          <w:szCs w:val="20"/>
        </w:rPr>
        <w:lastRenderedPageBreak/>
        <w:t>ließen sich wegen uneinheitlicher Erfassung jedoch nicht systematisch auswerten.</w:t>
      </w:r>
    </w:p>
    <w:p w14:paraId="6A4024AE" w14:textId="77777777" w:rsidR="00E11869" w:rsidRPr="00207748" w:rsidRDefault="00447357" w:rsidP="004454B6">
      <w:pPr>
        <w:spacing w:before="240" w:after="0"/>
        <w:rPr>
          <w:rStyle w:val="Ohne"/>
          <w:rFonts w:ascii="Cambria" w:eastAsia="Arial" w:hAnsi="Cambria" w:cs="Arial"/>
          <w:sz w:val="20"/>
          <w:szCs w:val="20"/>
        </w:rPr>
      </w:pPr>
      <w:r w:rsidRPr="00207748">
        <w:rPr>
          <w:rStyle w:val="Ohne"/>
          <w:rFonts w:ascii="Cambria" w:hAnsi="Cambria" w:cs="Arial"/>
          <w:sz w:val="20"/>
          <w:szCs w:val="20"/>
        </w:rPr>
        <w:t>Die RM waren in der Mehrzahl der berücksichtigten Studien der Meta-Analyse Teil eines studienspezifischen Maßnahmenbündels zur Optimierung der Beatmung (u.a. wurden die folgenden Maßnahmen mit der Durchführung von RM gepaart: intermittierende Bauchlage, inhalative Gabe von NO, kontinuierliche Muskelrelaxation). Somit ist der Effekt auf die Krankenhaussterblichkeit nur indirekt auf RM zurückzuführen. Zudem wurden in den verschiedenen Studien unterschiedliche Formen von Rekrutierungsmanövern durchgeführt, wodurch die Vergleichbarkeit eingeschränkt ist. Die eingeschlossenen Studien zeigten zum überwiegenden Teil ein hohes Bias-Risiko, da z.B. Informationen über Randomisierung in 5 Studien fehlten. Die Sub-Meta-Analyse der 3 Studien, welche ein niedriges Bias-Risiko trugen, konnte für die Anwendung von RM keinen Überlebensvorteil zeigen.</w:t>
      </w:r>
      <w:bookmarkStart w:id="435" w:name="_Ref30589642"/>
      <w:r w:rsidR="00945DF8" w:rsidRPr="00207748">
        <w:rPr>
          <w:rStyle w:val="Endnotenzeichen"/>
          <w:rFonts w:ascii="Cambria" w:hAnsi="Cambria" w:cs="Arial"/>
          <w:sz w:val="20"/>
          <w:szCs w:val="20"/>
        </w:rPr>
        <w:endnoteReference w:id="409"/>
      </w:r>
      <w:bookmarkEnd w:id="435"/>
      <w:r w:rsidRPr="00207748">
        <w:rPr>
          <w:rStyle w:val="Ohne"/>
          <w:rFonts w:ascii="Cambria" w:hAnsi="Cambria" w:cs="Arial"/>
          <w:sz w:val="20"/>
          <w:szCs w:val="20"/>
        </w:rPr>
        <w:t xml:space="preserve"> </w:t>
      </w:r>
    </w:p>
    <w:p w14:paraId="39CC1B47" w14:textId="46B1AD52" w:rsidR="00E11869" w:rsidRPr="00207748" w:rsidRDefault="00447357" w:rsidP="004454B6">
      <w:pPr>
        <w:spacing w:before="240"/>
        <w:rPr>
          <w:rStyle w:val="Ohne"/>
          <w:rFonts w:ascii="Cambria" w:hAnsi="Cambria" w:cs="Arial"/>
          <w:sz w:val="20"/>
          <w:szCs w:val="20"/>
        </w:rPr>
      </w:pPr>
      <w:r w:rsidRPr="00207748">
        <w:rPr>
          <w:rStyle w:val="Ohne"/>
          <w:rFonts w:ascii="Cambria" w:hAnsi="Cambria" w:cs="Arial"/>
          <w:sz w:val="20"/>
          <w:szCs w:val="20"/>
        </w:rPr>
        <w:t>Im Oktober 2017 verglich eine randomisierte multizentrische Untersuchung bei 1.010 Patienten mit moderatem und schwerem ARDS die Anwendung eines Rekrutierungsmanövers mit anschließender PEEP Einstellung nach der besten Compliance des respiratorischen Systems</w:t>
      </w:r>
      <w:r w:rsidR="002B1061">
        <w:rPr>
          <w:rStyle w:val="Ohne"/>
          <w:rFonts w:ascii="Cambria" w:hAnsi="Cambria" w:cs="Arial"/>
          <w:sz w:val="20"/>
          <w:szCs w:val="20"/>
        </w:rPr>
        <w:t xml:space="preserve"> </w:t>
      </w:r>
      <w:r w:rsidRPr="00207748">
        <w:rPr>
          <w:rStyle w:val="Ohne"/>
          <w:rFonts w:ascii="Cambria" w:hAnsi="Cambria" w:cs="Arial"/>
          <w:sz w:val="20"/>
          <w:szCs w:val="20"/>
        </w:rPr>
        <w:t>(Rekrutierungsmanöver + hohe PEEP Gruppe) gegenüber einer maschinellen Beatmung ohne Anwendung eines Rekrutierungsmanövers und der PEEP-Einstellung nach der niedrigen FiO2/PEEP-Tabelle des ARDS-Network (Kontroll-Gruppe)</w:t>
      </w:r>
      <w:r w:rsidRPr="006B2B71">
        <w:rPr>
          <w:rStyle w:val="EndnoteRealZchn"/>
        </w:rPr>
        <w:endnoteReference w:id="410"/>
      </w:r>
      <w:r w:rsidRPr="006B2B71">
        <w:rPr>
          <w:rStyle w:val="EndnoteRealZchn"/>
        </w:rPr>
        <w:t>.</w:t>
      </w:r>
      <w:r w:rsidRPr="00207748">
        <w:rPr>
          <w:rStyle w:val="Ohne"/>
          <w:rFonts w:ascii="Cambria" w:hAnsi="Cambria" w:cs="Arial"/>
          <w:sz w:val="20"/>
          <w:szCs w:val="20"/>
        </w:rPr>
        <w:t xml:space="preserve"> PEEP Einstellung nach der besten Compliance des respiratorischen Systems resultierte in einem höheren PEEP-Niveau. Im Rahmen des Rekrutierungsmanövers wurde ein PAW &gt; 50 cm H2O angewandt. In der Rekrutierungsmanöver + hohe PEEP Gruppe verstarben 277 der 501 Patienten (55,3 %) und in der Kontroll-Gruppe 251 der 509 Patienten (49.3 %) bis zum Tag 28 (HR, 1,20; 95 % CI, 1.01-1.42; P = 0,041). Verglichen mit der Kontroll-Gruppe, zeigte Rekrutierungsmanöver + hohe PEEP Gruppe eine erhöhte Sterblichkeit nach 6-Monaten (65.3 % vs 59.9 %; HR, 1,18; 95 % CI, 1,01-1,38; P = 0,04), geringere Anzahl beatmungsfreier Tage (5.3 vs 6.4; Differenz, -1,1; </w:t>
      </w:r>
      <w:r w:rsidRPr="00207748">
        <w:rPr>
          <w:rStyle w:val="Ohne"/>
          <w:rFonts w:ascii="Cambria" w:hAnsi="Cambria" w:cs="Arial"/>
          <w:sz w:val="20"/>
          <w:szCs w:val="20"/>
        </w:rPr>
        <w:lastRenderedPageBreak/>
        <w:t>95 % CI, -2,1 bis -0,1; P = 0,03), und ein erhöhtes Risiko für ein Barotrauma (5.6 % vs 1.6 %; Differenz, 4,0 %; 95 % CI, 1,5 % -6.5 %; P =0,001). Die ITS- und Krankenhausverweildauer unterschieden sich nicht. Damit ergab sich für die Anwendung eines Rekrutierungsmanövers mit einem PAW &gt; 50 cm H2O und anschließender PEEP Einstellung nach der besten Compliance des respiratorischen Systems bei Patienten mit ARDS eine Übersterblichkeit</w:t>
      </w:r>
      <w:r w:rsidR="006B2B71">
        <w:rPr>
          <w:rStyle w:val="Ohne"/>
          <w:rFonts w:ascii="Cambria" w:hAnsi="Cambria" w:cs="Arial"/>
          <w:sz w:val="20"/>
          <w:szCs w:val="20"/>
        </w:rPr>
        <w:t xml:space="preserve"> </w:t>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880"/>
        <w:gridCol w:w="2570"/>
        <w:gridCol w:w="634"/>
      </w:tblGrid>
      <w:tr w:rsidR="00E11869" w:rsidRPr="00207748" w14:paraId="5453D875" w14:textId="77777777" w:rsidTr="00C52165">
        <w:trPr>
          <w:trHeight w:val="282"/>
        </w:trPr>
        <w:tc>
          <w:tcPr>
            <w:tcW w:w="880" w:type="dxa"/>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63F3421" w14:textId="77777777" w:rsidR="00E11869" w:rsidRPr="00207748" w:rsidRDefault="00447357" w:rsidP="004454B6">
            <w:pPr>
              <w:rPr>
                <w:rStyle w:val="Ohne"/>
                <w:rFonts w:ascii="Cambria" w:hAnsi="Cambria"/>
                <w:b/>
                <w:bCs/>
                <w:sz w:val="20"/>
                <w:szCs w:val="20"/>
              </w:rPr>
            </w:pPr>
            <w:r w:rsidRPr="00207748">
              <w:rPr>
                <w:rStyle w:val="Ohne"/>
                <w:rFonts w:ascii="Cambria" w:hAnsi="Cambria" w:cs="Arial"/>
                <w:b/>
                <w:bCs/>
                <w:sz w:val="20"/>
                <w:szCs w:val="20"/>
              </w:rPr>
              <w:t>M.11</w:t>
            </w:r>
          </w:p>
        </w:tc>
        <w:tc>
          <w:tcPr>
            <w:tcW w:w="2570" w:type="dxa"/>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21BFBED1"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Statement</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4080FD2"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46EDB18F" w14:textId="77777777" w:rsidTr="00C52165">
        <w:trPr>
          <w:trHeight w:val="2800"/>
        </w:trPr>
        <w:tc>
          <w:tcPr>
            <w:tcW w:w="8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3F34C" w14:textId="77777777" w:rsidR="00E11869" w:rsidRPr="00207748" w:rsidRDefault="00E11869" w:rsidP="004454B6">
            <w:pPr>
              <w:rPr>
                <w:rFonts w:ascii="Cambria" w:hAnsi="Cambria" w:cs="Arial"/>
                <w:sz w:val="20"/>
                <w:szCs w:val="20"/>
              </w:rPr>
            </w:pPr>
          </w:p>
        </w:tc>
        <w:tc>
          <w:tcPr>
            <w:tcW w:w="31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96893"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I</w:t>
            </w:r>
            <w:r w:rsidR="00524587" w:rsidRPr="00207748">
              <w:rPr>
                <w:rStyle w:val="Ohne"/>
                <w:rFonts w:ascii="Cambria" w:hAnsi="Cambria" w:cs="Arial"/>
                <w:b/>
                <w:bCs/>
                <w:sz w:val="20"/>
                <w:szCs w:val="20"/>
              </w:rPr>
              <w:t>n der</w:t>
            </w:r>
            <w:r w:rsidRPr="00207748">
              <w:rPr>
                <w:rStyle w:val="Ohne"/>
                <w:rFonts w:ascii="Cambria" w:hAnsi="Cambria" w:cs="Arial"/>
                <w:b/>
                <w:bCs/>
                <w:sz w:val="20"/>
                <w:szCs w:val="20"/>
              </w:rPr>
              <w:t xml:space="preserve"> S3-Leitlinien</w:t>
            </w:r>
            <w:r w:rsidR="00524587" w:rsidRPr="00207748">
              <w:rPr>
                <w:rStyle w:val="Ohne"/>
                <w:rFonts w:ascii="Cambria" w:hAnsi="Cambria" w:cs="Arial"/>
                <w:b/>
                <w:bCs/>
                <w:sz w:val="20"/>
                <w:szCs w:val="20"/>
              </w:rPr>
              <w:t>kommission</w:t>
            </w:r>
            <w:r w:rsidRPr="00207748">
              <w:rPr>
                <w:rStyle w:val="Ohne"/>
                <w:rFonts w:ascii="Cambria" w:hAnsi="Cambria" w:cs="Arial"/>
                <w:b/>
                <w:bCs/>
                <w:sz w:val="20"/>
                <w:szCs w:val="20"/>
              </w:rPr>
              <w:t xml:space="preserve"> „Beatmung“ besteht erklärter Dissens darüber, ob bei erwachsenen Patienten nach akutem Abfall des Atemwegsdrucks (z.B. durch Diskonnektion, Bronchoskopie) und konsekutiver akuter Hypoxämie ein RM vorzuschlagen ist.</w:t>
            </w:r>
          </w:p>
        </w:tc>
      </w:tr>
      <w:tr w:rsidR="00E11869" w:rsidRPr="00207748" w14:paraId="393AC052" w14:textId="77777777" w:rsidTr="00C52165">
        <w:trPr>
          <w:trHeight w:val="562"/>
        </w:trPr>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27C192D8" w14:textId="77777777" w:rsidR="00E11869" w:rsidRPr="00207748" w:rsidRDefault="00E11869" w:rsidP="004454B6">
            <w:pPr>
              <w:rPr>
                <w:rFonts w:ascii="Cambria" w:hAnsi="Cambria" w:cs="Arial"/>
                <w:sz w:val="20"/>
                <w:szCs w:val="20"/>
              </w:rPr>
            </w:pPr>
          </w:p>
        </w:tc>
        <w:tc>
          <w:tcPr>
            <w:tcW w:w="31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2B1E6B"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 xml:space="preserve">Adaptation </w:t>
            </w:r>
            <w:r w:rsidR="00B20D2B" w:rsidRPr="00207748">
              <w:rPr>
                <w:rStyle w:val="Ohne"/>
                <w:rFonts w:ascii="Cambria" w:hAnsi="Cambria" w:cs="Arial"/>
                <w:b/>
                <w:bCs/>
                <w:sz w:val="20"/>
                <w:szCs w:val="20"/>
              </w:rPr>
              <w:t xml:space="preserve">der </w:t>
            </w:r>
            <w:r w:rsidRPr="00207748">
              <w:rPr>
                <w:rStyle w:val="Ohne"/>
                <w:rFonts w:ascii="Cambria" w:hAnsi="Cambria" w:cs="Arial"/>
                <w:b/>
                <w:bCs/>
                <w:sz w:val="20"/>
                <w:szCs w:val="20"/>
              </w:rPr>
              <w:t>S3-Leitline Beatmung</w:t>
            </w:r>
          </w:p>
        </w:tc>
      </w:tr>
      <w:tr w:rsidR="00E11869" w:rsidRPr="00207748" w14:paraId="65C04071" w14:textId="77777777" w:rsidTr="00C52165">
        <w:trPr>
          <w:trHeight w:val="282"/>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0CE47" w14:textId="77777777" w:rsidR="00E11869" w:rsidRPr="00207748" w:rsidRDefault="00E11869" w:rsidP="004454B6">
            <w:pPr>
              <w:rPr>
                <w:rFonts w:ascii="Cambria" w:hAnsi="Cambria" w:cs="Arial"/>
                <w:sz w:val="20"/>
                <w:szCs w:val="20"/>
              </w:rPr>
            </w:pPr>
          </w:p>
        </w:tc>
        <w:tc>
          <w:tcPr>
            <w:tcW w:w="31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62E05"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Konsensstärke: 100 %</w:t>
            </w:r>
          </w:p>
        </w:tc>
      </w:tr>
    </w:tbl>
    <w:p w14:paraId="1B752BF5" w14:textId="77777777" w:rsidR="00E11869" w:rsidRPr="00207748" w:rsidRDefault="00420A45" w:rsidP="004454B6">
      <w:pPr>
        <w:spacing w:before="240" w:after="120"/>
        <w:rPr>
          <w:rStyle w:val="Ohne"/>
          <w:rFonts w:ascii="Cambria" w:eastAsia="Arial" w:hAnsi="Cambria" w:cs="Arial"/>
          <w:sz w:val="20"/>
          <w:szCs w:val="20"/>
        </w:rPr>
      </w:pPr>
      <w:r w:rsidRPr="00207748">
        <w:rPr>
          <w:rStyle w:val="Ohne"/>
          <w:rFonts w:ascii="Cambria" w:hAnsi="Cambria" w:cs="Arial"/>
          <w:b/>
          <w:bCs/>
          <w:sz w:val="20"/>
          <w:szCs w:val="20"/>
        </w:rPr>
        <w:t>Begründung:</w:t>
      </w:r>
      <w:r w:rsidR="00447357" w:rsidRPr="00207748">
        <w:rPr>
          <w:rStyle w:val="Ohne"/>
          <w:rFonts w:ascii="Cambria" w:hAnsi="Cambria" w:cs="Arial"/>
          <w:b/>
          <w:bCs/>
          <w:sz w:val="20"/>
          <w:szCs w:val="20"/>
        </w:rPr>
        <w:t xml:space="preserve"> </w:t>
      </w:r>
      <w:r w:rsidR="00447357" w:rsidRPr="00207748">
        <w:rPr>
          <w:rStyle w:val="Ohne"/>
          <w:rFonts w:ascii="Cambria" w:hAnsi="Cambria" w:cs="Arial"/>
          <w:sz w:val="20"/>
          <w:szCs w:val="20"/>
        </w:rPr>
        <w:t>Die Evidenz beschränkt sich auf 2 kleine Studien mit Untersuchungen physiologischer Surrogatparameter im „</w:t>
      </w:r>
      <w:r w:rsidR="001A58EF" w:rsidRPr="00207748">
        <w:rPr>
          <w:rStyle w:val="Ohne"/>
          <w:rFonts w:ascii="Cambria" w:hAnsi="Cambria" w:cs="Arial"/>
          <w:sz w:val="20"/>
          <w:szCs w:val="20"/>
        </w:rPr>
        <w:t>C</w:t>
      </w:r>
      <w:r w:rsidR="00447357" w:rsidRPr="00207748">
        <w:rPr>
          <w:rStyle w:val="Ohne"/>
          <w:rFonts w:ascii="Cambria" w:hAnsi="Cambria" w:cs="Arial"/>
          <w:sz w:val="20"/>
          <w:szCs w:val="20"/>
        </w:rPr>
        <w:t>ross-over“-Design. Eine Erhöhung des inspiratorischen Drucks während Absaugmanövern konnte einen Abfall des Lungenvolumens weitgehend verhindern.</w:t>
      </w:r>
      <w:r w:rsidR="00945DF8" w:rsidRPr="00207748">
        <w:rPr>
          <w:rStyle w:val="Endnotenzeichen"/>
          <w:rFonts w:ascii="Cambria" w:hAnsi="Cambria" w:cs="Arial"/>
          <w:sz w:val="20"/>
          <w:szCs w:val="20"/>
        </w:rPr>
        <w:endnoteReference w:id="411"/>
      </w:r>
      <w:r w:rsidR="00447357" w:rsidRPr="00207748">
        <w:rPr>
          <w:rStyle w:val="Ohne"/>
          <w:rFonts w:ascii="Cambria" w:hAnsi="Cambria" w:cs="Arial"/>
          <w:sz w:val="20"/>
          <w:szCs w:val="20"/>
        </w:rPr>
        <w:t xml:space="preserve"> RM nach offenem Absaugen verhinderte einen längerfristigen Abfall der arteriellen Oxygenierung und des Lungenvolumens.</w:t>
      </w:r>
      <w:r w:rsidR="00945DF8" w:rsidRPr="00207748">
        <w:rPr>
          <w:rStyle w:val="Endnotenzeichen"/>
          <w:rFonts w:ascii="Cambria" w:hAnsi="Cambria" w:cs="Arial"/>
          <w:sz w:val="20"/>
          <w:szCs w:val="20"/>
        </w:rPr>
        <w:endnoteReference w:id="412"/>
      </w:r>
    </w:p>
    <w:p w14:paraId="792427F9" w14:textId="77777777" w:rsidR="00E11869" w:rsidRPr="00207748" w:rsidRDefault="00447357" w:rsidP="004454B6">
      <w:pPr>
        <w:spacing w:before="240" w:after="480"/>
        <w:rPr>
          <w:rStyle w:val="Ohne"/>
          <w:rFonts w:ascii="Cambria" w:eastAsia="Arial" w:hAnsi="Cambria" w:cs="Arial"/>
          <w:sz w:val="20"/>
          <w:szCs w:val="20"/>
        </w:rPr>
      </w:pPr>
      <w:r w:rsidRPr="00207748">
        <w:rPr>
          <w:rStyle w:val="Ohne"/>
          <w:rFonts w:ascii="Cambria" w:hAnsi="Cambria" w:cs="Arial"/>
          <w:sz w:val="20"/>
          <w:szCs w:val="20"/>
        </w:rPr>
        <w:t>Aufgrund der sehr geringen Qualität der Evidenz war es das Ziel der Diskussion i</w:t>
      </w:r>
      <w:r w:rsidR="00524587" w:rsidRPr="00207748">
        <w:rPr>
          <w:rStyle w:val="Ohne"/>
          <w:rFonts w:ascii="Cambria" w:hAnsi="Cambria" w:cs="Arial"/>
          <w:sz w:val="20"/>
          <w:szCs w:val="20"/>
        </w:rPr>
        <w:t>n der</w:t>
      </w:r>
      <w:r w:rsidRPr="00207748">
        <w:rPr>
          <w:rStyle w:val="Ohne"/>
          <w:rFonts w:ascii="Cambria" w:hAnsi="Cambria" w:cs="Arial"/>
          <w:sz w:val="20"/>
          <w:szCs w:val="20"/>
        </w:rPr>
        <w:t xml:space="preserve"> Leitlinien</w:t>
      </w:r>
      <w:r w:rsidR="00524587" w:rsidRPr="00207748">
        <w:rPr>
          <w:rStyle w:val="Ohne"/>
          <w:rFonts w:ascii="Cambria" w:hAnsi="Cambria" w:cs="Arial"/>
          <w:sz w:val="20"/>
          <w:szCs w:val="20"/>
        </w:rPr>
        <w:t>kommission</w:t>
      </w:r>
      <w:r w:rsidRPr="00207748">
        <w:rPr>
          <w:rStyle w:val="Ohne"/>
          <w:rFonts w:ascii="Cambria" w:hAnsi="Cambria" w:cs="Arial"/>
          <w:sz w:val="20"/>
          <w:szCs w:val="20"/>
        </w:rPr>
        <w:t xml:space="preserve"> einen Expertenkonsens zu formulieren. Aufgrund der Heterogenität der Expertenmeinungen innerhalb de</w:t>
      </w:r>
      <w:r w:rsidR="00524587" w:rsidRPr="00207748">
        <w:rPr>
          <w:rStyle w:val="Ohne"/>
          <w:rFonts w:ascii="Cambria" w:hAnsi="Cambria" w:cs="Arial"/>
          <w:sz w:val="20"/>
          <w:szCs w:val="20"/>
        </w:rPr>
        <w:t>r</w:t>
      </w:r>
      <w:r w:rsidRPr="00207748">
        <w:rPr>
          <w:rStyle w:val="Ohne"/>
          <w:rFonts w:ascii="Cambria" w:hAnsi="Cambria" w:cs="Arial"/>
          <w:sz w:val="20"/>
          <w:szCs w:val="20"/>
        </w:rPr>
        <w:t xml:space="preserve"> Leitlinien</w:t>
      </w:r>
      <w:r w:rsidR="00524587" w:rsidRPr="00207748">
        <w:rPr>
          <w:rStyle w:val="Ohne"/>
          <w:rFonts w:ascii="Cambria" w:hAnsi="Cambria" w:cs="Arial"/>
          <w:sz w:val="20"/>
          <w:szCs w:val="20"/>
        </w:rPr>
        <w:t>kommission</w:t>
      </w:r>
      <w:r w:rsidRPr="00207748">
        <w:rPr>
          <w:rStyle w:val="Ohne"/>
          <w:rFonts w:ascii="Cambria" w:hAnsi="Cambria" w:cs="Arial"/>
          <w:sz w:val="20"/>
          <w:szCs w:val="20"/>
        </w:rPr>
        <w:t xml:space="preserve"> erklären die Mitglieder zur Frage der Anwendung von RM nach akutem Atemwegsdruckabfall den einen expliziten </w:t>
      </w:r>
      <w:r w:rsidRPr="00207748">
        <w:rPr>
          <w:rStyle w:val="Ohne"/>
          <w:rFonts w:ascii="Cambria" w:hAnsi="Cambria" w:cs="Arial"/>
          <w:sz w:val="20"/>
          <w:szCs w:val="20"/>
        </w:rPr>
        <w:lastRenderedPageBreak/>
        <w:t>Dissens. Es bleibt damit dem klinischen Anwender vorbehalten, eine individuelle Risiko-Nutzen-Abwägung zu dieser Frage durchzuführen.</w:t>
      </w: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788"/>
        <w:gridCol w:w="1715"/>
        <w:gridCol w:w="830"/>
      </w:tblGrid>
      <w:tr w:rsidR="00E11869" w:rsidRPr="00207748" w14:paraId="73703A0E" w14:textId="77777777" w:rsidTr="00DA3A66">
        <w:trPr>
          <w:trHeight w:val="282"/>
        </w:trPr>
        <w:tc>
          <w:tcPr>
            <w:tcW w:w="2063"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7B1E70B7" w14:textId="77777777" w:rsidR="00E11869" w:rsidRPr="00207748" w:rsidRDefault="00447357" w:rsidP="004454B6">
            <w:pPr>
              <w:rPr>
                <w:rStyle w:val="Ohne"/>
                <w:rFonts w:ascii="Cambria" w:hAnsi="Cambria"/>
                <w:b/>
                <w:bCs/>
                <w:sz w:val="20"/>
                <w:szCs w:val="20"/>
              </w:rPr>
            </w:pPr>
            <w:r w:rsidRPr="00207748">
              <w:rPr>
                <w:rStyle w:val="Ohne"/>
                <w:rFonts w:ascii="Cambria" w:hAnsi="Cambria" w:cs="Arial"/>
                <w:b/>
                <w:bCs/>
                <w:sz w:val="20"/>
                <w:szCs w:val="20"/>
              </w:rPr>
              <w:t>M.12</w:t>
            </w:r>
          </w:p>
        </w:tc>
        <w:tc>
          <w:tcPr>
            <w:tcW w:w="1979"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9D72706"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 xml:space="preserve">Empfehlung </w:t>
            </w:r>
          </w:p>
        </w:tc>
        <w:tc>
          <w:tcPr>
            <w:tcW w:w="958"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2E00E57A"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22439252" w14:textId="77777777" w:rsidTr="00DA3A66">
        <w:trPr>
          <w:trHeight w:val="2242"/>
        </w:trPr>
        <w:tc>
          <w:tcPr>
            <w:tcW w:w="2063"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028E4"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Empfehlungsgrad</w:t>
            </w:r>
          </w:p>
          <w:p w14:paraId="70DD8BC4" w14:textId="77777777" w:rsidR="00E11869" w:rsidRPr="00207748" w:rsidRDefault="00E11869" w:rsidP="004454B6">
            <w:pPr>
              <w:spacing w:after="0"/>
              <w:rPr>
                <w:rStyle w:val="Ohne"/>
                <w:rFonts w:ascii="Cambria" w:eastAsia="Arial" w:hAnsi="Cambria" w:cs="Arial"/>
                <w:sz w:val="20"/>
                <w:szCs w:val="20"/>
              </w:rPr>
            </w:pPr>
          </w:p>
          <w:p w14:paraId="7E47CF57" w14:textId="77777777" w:rsidR="00E11869" w:rsidRPr="00207748" w:rsidRDefault="00447357" w:rsidP="004454B6">
            <w:pPr>
              <w:spacing w:after="0"/>
              <w:rPr>
                <w:rStyle w:val="Ohne"/>
                <w:rFonts w:ascii="Cambria" w:eastAsia="Arial" w:hAnsi="Cambria" w:cs="Arial"/>
                <w:b/>
                <w:bCs/>
                <w:sz w:val="20"/>
                <w:szCs w:val="20"/>
              </w:rPr>
            </w:pPr>
            <w:r w:rsidRPr="00207748">
              <w:rPr>
                <w:rStyle w:val="Ohne"/>
                <w:rFonts w:ascii="Cambria" w:hAnsi="Cambria" w:cs="Arial"/>
                <w:b/>
                <w:bCs/>
                <w:sz w:val="20"/>
                <w:szCs w:val="20"/>
              </w:rPr>
              <w:t>stark</w:t>
            </w:r>
          </w:p>
          <w:p w14:paraId="23EA4799" w14:textId="77777777" w:rsidR="00E11869" w:rsidRPr="00207748" w:rsidRDefault="00E11869" w:rsidP="004454B6">
            <w:pPr>
              <w:spacing w:after="0"/>
              <w:rPr>
                <w:rStyle w:val="Ohne"/>
                <w:rFonts w:ascii="Cambria" w:eastAsia="Arial" w:hAnsi="Cambria" w:cs="Arial"/>
                <w:sz w:val="20"/>
                <w:szCs w:val="20"/>
              </w:rPr>
            </w:pPr>
          </w:p>
          <w:p w14:paraId="6DC99052"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Evidenzgrad</w:t>
            </w:r>
          </w:p>
          <w:p w14:paraId="68B28E86" w14:textId="77777777" w:rsidR="00E11869" w:rsidRPr="00207748" w:rsidRDefault="00E11869" w:rsidP="004454B6">
            <w:pPr>
              <w:spacing w:after="0"/>
              <w:rPr>
                <w:rStyle w:val="Ohne"/>
                <w:rFonts w:ascii="Cambria" w:eastAsia="Arial" w:hAnsi="Cambria" w:cs="Arial"/>
                <w:sz w:val="20"/>
                <w:szCs w:val="20"/>
              </w:rPr>
            </w:pPr>
          </w:p>
          <w:p w14:paraId="2512AAE2"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moderat</w:t>
            </w:r>
          </w:p>
        </w:tc>
        <w:tc>
          <w:tcPr>
            <w:tcW w:w="293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3271C6" w14:textId="7022991D" w:rsidR="00E11869" w:rsidRPr="00207748" w:rsidRDefault="00E873A9" w:rsidP="004454B6">
            <w:pPr>
              <w:spacing w:after="0"/>
              <w:rPr>
                <w:rFonts w:ascii="Cambria" w:hAnsi="Cambria" w:cs="Arial"/>
                <w:sz w:val="20"/>
                <w:szCs w:val="20"/>
              </w:rPr>
            </w:pPr>
            <w:r w:rsidRPr="00207748">
              <w:rPr>
                <w:rStyle w:val="Ohne"/>
                <w:rFonts w:ascii="Cambria" w:hAnsi="Cambria" w:cs="Arial"/>
                <w:b/>
                <w:bCs/>
                <w:sz w:val="20"/>
                <w:szCs w:val="20"/>
              </w:rPr>
              <w:t>Wir empfehlen, dass die Bauchlage bei Patienten mit</w:t>
            </w:r>
            <w:r w:rsidR="002B1061">
              <w:rPr>
                <w:rStyle w:val="Ohne"/>
                <w:rFonts w:ascii="Cambria" w:hAnsi="Cambria" w:cs="Arial"/>
                <w:b/>
                <w:bCs/>
                <w:sz w:val="20"/>
                <w:szCs w:val="20"/>
              </w:rPr>
              <w:t xml:space="preserve"> </w:t>
            </w:r>
            <w:r w:rsidRPr="00207748">
              <w:rPr>
                <w:rStyle w:val="Ohne"/>
                <w:rFonts w:ascii="Cambria" w:hAnsi="Cambria" w:cs="Arial"/>
                <w:b/>
                <w:bCs/>
                <w:sz w:val="20"/>
                <w:szCs w:val="20"/>
              </w:rPr>
              <w:t>ARDS und Einschränkung der arteriellen Oxygenierung (PaO2/FIO2 &lt; 150)</w:t>
            </w:r>
            <w:r w:rsidR="002B1061">
              <w:rPr>
                <w:rStyle w:val="Ohne"/>
                <w:rFonts w:ascii="Cambria" w:hAnsi="Cambria" w:cs="Arial"/>
                <w:b/>
                <w:bCs/>
                <w:sz w:val="20"/>
                <w:szCs w:val="20"/>
              </w:rPr>
              <w:t xml:space="preserve"> </w:t>
            </w:r>
            <w:r w:rsidRPr="00207748">
              <w:rPr>
                <w:rStyle w:val="Ohne"/>
                <w:rFonts w:ascii="Cambria" w:hAnsi="Cambria" w:cs="Arial"/>
                <w:b/>
                <w:bCs/>
                <w:sz w:val="20"/>
                <w:szCs w:val="20"/>
              </w:rPr>
              <w:t>durchgeführt werden soll.</w:t>
            </w:r>
          </w:p>
        </w:tc>
      </w:tr>
      <w:tr w:rsidR="00E11869" w:rsidRPr="00207748" w14:paraId="6CBE203B" w14:textId="77777777" w:rsidTr="00DA3A66">
        <w:trPr>
          <w:trHeight w:val="562"/>
        </w:trPr>
        <w:tc>
          <w:tcPr>
            <w:tcW w:w="2063" w:type="pct"/>
            <w:vMerge/>
            <w:tcBorders>
              <w:top w:val="single" w:sz="4" w:space="0" w:color="000000"/>
              <w:left w:val="single" w:sz="4" w:space="0" w:color="000000"/>
              <w:bottom w:val="single" w:sz="4" w:space="0" w:color="000000"/>
              <w:right w:val="single" w:sz="4" w:space="0" w:color="000000"/>
            </w:tcBorders>
            <w:shd w:val="clear" w:color="auto" w:fill="auto"/>
          </w:tcPr>
          <w:p w14:paraId="15512204" w14:textId="77777777" w:rsidR="00E11869" w:rsidRPr="00207748" w:rsidRDefault="00E11869" w:rsidP="004454B6">
            <w:pPr>
              <w:rPr>
                <w:rFonts w:ascii="Cambria" w:hAnsi="Cambria" w:cs="Arial"/>
                <w:sz w:val="20"/>
                <w:szCs w:val="20"/>
              </w:rPr>
            </w:pPr>
          </w:p>
        </w:tc>
        <w:tc>
          <w:tcPr>
            <w:tcW w:w="293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92BF34" w14:textId="408F0ED3" w:rsidR="00E11869" w:rsidRPr="00207748" w:rsidRDefault="00342FB3" w:rsidP="004454B6">
            <w:pPr>
              <w:spacing w:after="0"/>
              <w:rPr>
                <w:rFonts w:ascii="Cambria" w:hAnsi="Cambria" w:cs="Arial"/>
                <w:sz w:val="20"/>
                <w:szCs w:val="20"/>
              </w:rPr>
            </w:pPr>
            <w:r w:rsidRPr="00207748">
              <w:rPr>
                <w:rStyle w:val="Ohne"/>
                <w:rFonts w:ascii="Cambria" w:hAnsi="Cambria" w:cs="Arial"/>
                <w:b/>
                <w:bCs/>
                <w:sz w:val="20"/>
                <w:szCs w:val="20"/>
              </w:rPr>
              <w:t>SSC-</w:t>
            </w:r>
            <w:r w:rsidR="00447357" w:rsidRPr="00207748">
              <w:rPr>
                <w:rStyle w:val="Ohne"/>
                <w:rFonts w:ascii="Cambria" w:hAnsi="Cambria" w:cs="Arial"/>
                <w:b/>
                <w:bCs/>
                <w:sz w:val="20"/>
                <w:szCs w:val="20"/>
              </w:rPr>
              <w:t>Leitlinienadaptation</w:t>
            </w:r>
            <w:r w:rsidR="00530F72" w:rsidRPr="00207748">
              <w:rPr>
                <w:rStyle w:val="Ohne"/>
                <w:rFonts w:ascii="Cambria" w:hAnsi="Cambria" w:cs="Arial"/>
                <w:b/>
                <w:bCs/>
                <w:sz w:val="20"/>
                <w:szCs w:val="20"/>
              </w:rPr>
              <w:t xml:space="preserve"> sowie Adaptation der S3-Leitlinie Beatmung</w:t>
            </w:r>
            <w:r w:rsidR="002B1061">
              <w:rPr>
                <w:rStyle w:val="Ohne"/>
                <w:rFonts w:ascii="Cambria" w:hAnsi="Cambria" w:cs="Arial"/>
                <w:b/>
                <w:bCs/>
                <w:sz w:val="20"/>
                <w:szCs w:val="20"/>
              </w:rPr>
              <w:t xml:space="preserve"> </w:t>
            </w:r>
            <w:r w:rsidR="00530F72" w:rsidRPr="00207748">
              <w:rPr>
                <w:rStyle w:val="Ohne"/>
                <w:rFonts w:ascii="Cambria" w:hAnsi="Cambria" w:cs="Arial"/>
                <w:b/>
                <w:bCs/>
                <w:sz w:val="20"/>
                <w:szCs w:val="20"/>
              </w:rPr>
              <w:t>unter Anlehnung an die S2e-Leitlinie Lagerungstherapie und Frühmobilisation zur Prophylaxe oder Therapie von pulmonalen Funktionsstörungen 2015</w:t>
            </w:r>
            <w:bookmarkStart w:id="436" w:name="_Ref31275845"/>
            <w:r w:rsidR="00B26F79">
              <w:rPr>
                <w:rStyle w:val="Endnotenzeichen"/>
                <w:rFonts w:ascii="Cambria" w:hAnsi="Cambria" w:cs="Arial"/>
                <w:b/>
                <w:bCs/>
                <w:sz w:val="20"/>
                <w:szCs w:val="20"/>
              </w:rPr>
              <w:endnoteReference w:id="413"/>
            </w:r>
            <w:bookmarkEnd w:id="436"/>
          </w:p>
        </w:tc>
      </w:tr>
      <w:tr w:rsidR="00E11869" w:rsidRPr="00207748" w14:paraId="458BCC6E" w14:textId="77777777" w:rsidTr="00DA3A66">
        <w:trPr>
          <w:trHeight w:val="282"/>
        </w:trPr>
        <w:tc>
          <w:tcPr>
            <w:tcW w:w="20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75851" w14:textId="77777777" w:rsidR="00E11869" w:rsidRPr="00207748" w:rsidRDefault="00E11869" w:rsidP="004454B6">
            <w:pPr>
              <w:rPr>
                <w:rFonts w:ascii="Cambria" w:hAnsi="Cambria" w:cs="Arial"/>
                <w:sz w:val="20"/>
                <w:szCs w:val="20"/>
              </w:rPr>
            </w:pPr>
          </w:p>
        </w:tc>
        <w:tc>
          <w:tcPr>
            <w:tcW w:w="293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3F005"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Konsensstärke: 92 %</w:t>
            </w:r>
          </w:p>
        </w:tc>
      </w:tr>
    </w:tbl>
    <w:p w14:paraId="1F2E5EEC" w14:textId="77777777" w:rsidR="00E11869" w:rsidRPr="00207748" w:rsidRDefault="00E11869" w:rsidP="004454B6">
      <w:pPr>
        <w:rPr>
          <w:rStyle w:val="Ohne"/>
          <w:rFonts w:ascii="Cambria" w:eastAsia="Arial" w:hAnsi="Cambria" w:cs="Arial"/>
          <w:iCs/>
          <w:sz w:val="20"/>
          <w:szCs w:val="20"/>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766"/>
        <w:gridCol w:w="1711"/>
        <w:gridCol w:w="856"/>
      </w:tblGrid>
      <w:tr w:rsidR="00E11869" w:rsidRPr="00207748" w14:paraId="16D4B114" w14:textId="77777777" w:rsidTr="00DA3A66">
        <w:trPr>
          <w:trHeight w:val="282"/>
        </w:trPr>
        <w:tc>
          <w:tcPr>
            <w:tcW w:w="2038"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0FC37BC" w14:textId="77777777" w:rsidR="00E11869" w:rsidRPr="00207748" w:rsidRDefault="00447357" w:rsidP="004454B6">
            <w:pPr>
              <w:rPr>
                <w:rStyle w:val="Ohne"/>
                <w:rFonts w:ascii="Cambria" w:hAnsi="Cambria"/>
                <w:b/>
                <w:bCs/>
                <w:sz w:val="20"/>
                <w:szCs w:val="20"/>
              </w:rPr>
            </w:pPr>
            <w:r w:rsidRPr="00207748">
              <w:rPr>
                <w:rStyle w:val="Ohne"/>
                <w:rFonts w:ascii="Cambria" w:hAnsi="Cambria" w:cs="Arial"/>
                <w:b/>
                <w:bCs/>
                <w:sz w:val="20"/>
                <w:szCs w:val="20"/>
              </w:rPr>
              <w:t>M.13</w:t>
            </w:r>
          </w:p>
        </w:tc>
        <w:tc>
          <w:tcPr>
            <w:tcW w:w="1974"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76F30361"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 xml:space="preserve">Empfehlung </w:t>
            </w:r>
          </w:p>
        </w:tc>
        <w:tc>
          <w:tcPr>
            <w:tcW w:w="988"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3D5A981"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7F8C0202" w14:textId="77777777" w:rsidTr="00DA3A66">
        <w:trPr>
          <w:trHeight w:val="2613"/>
        </w:trPr>
        <w:tc>
          <w:tcPr>
            <w:tcW w:w="2038"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9FF5D"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Empfehlungsgrad</w:t>
            </w:r>
          </w:p>
          <w:p w14:paraId="46E68E58" w14:textId="77777777" w:rsidR="00E11869" w:rsidRPr="00207748" w:rsidRDefault="00E11869" w:rsidP="004454B6">
            <w:pPr>
              <w:spacing w:after="0"/>
              <w:rPr>
                <w:rStyle w:val="Ohne"/>
                <w:rFonts w:ascii="Cambria" w:eastAsia="Arial" w:hAnsi="Cambria" w:cs="Arial"/>
                <w:sz w:val="20"/>
                <w:szCs w:val="20"/>
              </w:rPr>
            </w:pPr>
          </w:p>
          <w:p w14:paraId="15EF8DAE" w14:textId="77777777" w:rsidR="00E11869" w:rsidRPr="00207748" w:rsidRDefault="00447357" w:rsidP="004454B6">
            <w:pPr>
              <w:spacing w:after="0"/>
              <w:rPr>
                <w:rStyle w:val="Ohne"/>
                <w:rFonts w:ascii="Cambria" w:eastAsia="Arial" w:hAnsi="Cambria" w:cs="Arial"/>
                <w:b/>
                <w:bCs/>
                <w:sz w:val="20"/>
                <w:szCs w:val="20"/>
              </w:rPr>
            </w:pPr>
            <w:r w:rsidRPr="00207748">
              <w:rPr>
                <w:rStyle w:val="Ohne"/>
                <w:rFonts w:ascii="Cambria" w:hAnsi="Cambria" w:cs="Arial"/>
                <w:b/>
                <w:bCs/>
                <w:sz w:val="20"/>
                <w:szCs w:val="20"/>
              </w:rPr>
              <w:t>schwach</w:t>
            </w:r>
          </w:p>
          <w:p w14:paraId="221AF92C" w14:textId="77777777" w:rsidR="00E11869" w:rsidRPr="00207748" w:rsidRDefault="00E11869" w:rsidP="004454B6">
            <w:pPr>
              <w:spacing w:after="0"/>
              <w:rPr>
                <w:rStyle w:val="Ohne"/>
                <w:rFonts w:ascii="Cambria" w:eastAsia="Arial" w:hAnsi="Cambria" w:cs="Arial"/>
                <w:sz w:val="20"/>
                <w:szCs w:val="20"/>
              </w:rPr>
            </w:pPr>
          </w:p>
          <w:p w14:paraId="7FD5BFDB"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Evidenzgrad</w:t>
            </w:r>
          </w:p>
          <w:p w14:paraId="462E4193" w14:textId="77777777" w:rsidR="00E11869" w:rsidRPr="00207748" w:rsidRDefault="00E11869" w:rsidP="004454B6">
            <w:pPr>
              <w:spacing w:after="0"/>
              <w:rPr>
                <w:rStyle w:val="Ohne"/>
                <w:rFonts w:ascii="Cambria" w:eastAsia="Arial" w:hAnsi="Cambria" w:cs="Arial"/>
                <w:sz w:val="20"/>
                <w:szCs w:val="20"/>
              </w:rPr>
            </w:pPr>
          </w:p>
          <w:p w14:paraId="7796788B"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moderat</w:t>
            </w:r>
          </w:p>
        </w:tc>
        <w:tc>
          <w:tcPr>
            <w:tcW w:w="2962"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B6C06" w14:textId="77777777" w:rsidR="00E11869" w:rsidRPr="00207748" w:rsidRDefault="00E873A9" w:rsidP="004454B6">
            <w:pPr>
              <w:spacing w:after="0"/>
              <w:rPr>
                <w:rFonts w:ascii="Cambria" w:hAnsi="Cambria" w:cs="Arial"/>
                <w:sz w:val="20"/>
                <w:szCs w:val="20"/>
              </w:rPr>
            </w:pPr>
            <w:r w:rsidRPr="00207748">
              <w:rPr>
                <w:rStyle w:val="Ohne"/>
                <w:rFonts w:ascii="Cambria" w:hAnsi="Cambria" w:cs="Arial"/>
                <w:b/>
                <w:bCs/>
                <w:sz w:val="20"/>
                <w:szCs w:val="20"/>
              </w:rPr>
              <w:t>Wir schlagen vor, dass ein Bauchlagerungsintervall von mindestens 16 Stunden angestrebt werden soll. Die Bauchlagerung sollte frühzeitig erwogen und nach Indikationsstellung unverzüglich umgesetzt werden.</w:t>
            </w:r>
          </w:p>
        </w:tc>
      </w:tr>
      <w:tr w:rsidR="00E11869" w:rsidRPr="00207748" w14:paraId="2CCADFA9" w14:textId="77777777" w:rsidTr="00DA3A66">
        <w:trPr>
          <w:trHeight w:val="2242"/>
        </w:trPr>
        <w:tc>
          <w:tcPr>
            <w:tcW w:w="2038" w:type="pct"/>
            <w:vMerge/>
            <w:tcBorders>
              <w:top w:val="single" w:sz="4" w:space="0" w:color="000000"/>
              <w:left w:val="single" w:sz="4" w:space="0" w:color="000000"/>
              <w:bottom w:val="single" w:sz="4" w:space="0" w:color="000000"/>
              <w:right w:val="single" w:sz="4" w:space="0" w:color="000000"/>
            </w:tcBorders>
            <w:shd w:val="clear" w:color="auto" w:fill="auto"/>
          </w:tcPr>
          <w:p w14:paraId="39361325" w14:textId="77777777" w:rsidR="00E11869" w:rsidRPr="00207748" w:rsidRDefault="00E11869" w:rsidP="004454B6">
            <w:pPr>
              <w:rPr>
                <w:rFonts w:ascii="Cambria" w:hAnsi="Cambria" w:cs="Arial"/>
                <w:sz w:val="20"/>
                <w:szCs w:val="20"/>
              </w:rPr>
            </w:pPr>
          </w:p>
        </w:tc>
        <w:tc>
          <w:tcPr>
            <w:tcW w:w="2962"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93533" w14:textId="462F106F"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 xml:space="preserve">Adaptation </w:t>
            </w:r>
            <w:r w:rsidR="00B20D2B" w:rsidRPr="00207748">
              <w:rPr>
                <w:rStyle w:val="Ohne"/>
                <w:rFonts w:ascii="Cambria" w:hAnsi="Cambria" w:cs="Arial"/>
                <w:b/>
                <w:bCs/>
                <w:sz w:val="20"/>
                <w:szCs w:val="20"/>
              </w:rPr>
              <w:t xml:space="preserve">der </w:t>
            </w:r>
            <w:r w:rsidR="00530F72" w:rsidRPr="00207748">
              <w:rPr>
                <w:rStyle w:val="Ohne"/>
                <w:rFonts w:ascii="Cambria" w:hAnsi="Cambria" w:cs="Arial"/>
                <w:b/>
                <w:bCs/>
                <w:sz w:val="20"/>
                <w:szCs w:val="20"/>
              </w:rPr>
              <w:t xml:space="preserve">S3-Leitlinie Beatmung unter Anlehnung an die </w:t>
            </w:r>
            <w:r w:rsidRPr="00207748">
              <w:rPr>
                <w:rStyle w:val="Ohne"/>
                <w:rFonts w:ascii="Cambria" w:hAnsi="Cambria" w:cs="Arial"/>
                <w:b/>
                <w:bCs/>
                <w:sz w:val="20"/>
                <w:szCs w:val="20"/>
              </w:rPr>
              <w:t>S2e-Leitlinie Lagerungstherapie und Frühmobilisation zur Prophylaxe oder Therapie von pulmonalen Funktionsstörungen 2015</w:t>
            </w:r>
            <w:r w:rsidR="00B26F79" w:rsidRPr="00B26F79">
              <w:rPr>
                <w:rStyle w:val="EndnoteRealZchn"/>
              </w:rPr>
              <w:fldChar w:fldCharType="begin"/>
            </w:r>
            <w:r w:rsidR="00B26F79" w:rsidRPr="00B26F79">
              <w:rPr>
                <w:rStyle w:val="EndnoteRealZchn"/>
              </w:rPr>
              <w:instrText xml:space="preserve"> NOTEREF _Ref31275845 \h </w:instrText>
            </w:r>
            <w:r w:rsidR="00B26F79">
              <w:rPr>
                <w:rStyle w:val="EndnoteRealZchn"/>
              </w:rPr>
              <w:instrText xml:space="preserve"> \* MERGEFORMAT </w:instrText>
            </w:r>
            <w:r w:rsidR="00B26F79" w:rsidRPr="00B26F79">
              <w:rPr>
                <w:rStyle w:val="EndnoteRealZchn"/>
              </w:rPr>
            </w:r>
            <w:r w:rsidR="00B26F79" w:rsidRPr="00B26F79">
              <w:rPr>
                <w:rStyle w:val="EndnoteRealZchn"/>
              </w:rPr>
              <w:fldChar w:fldCharType="separate"/>
            </w:r>
            <w:r w:rsidR="00B26F79" w:rsidRPr="00B26F79">
              <w:rPr>
                <w:rStyle w:val="EndnoteRealZchn"/>
              </w:rPr>
              <w:t>412</w:t>
            </w:r>
            <w:r w:rsidR="00B26F79" w:rsidRPr="00B26F79">
              <w:rPr>
                <w:rStyle w:val="EndnoteRealZchn"/>
              </w:rPr>
              <w:fldChar w:fldCharType="end"/>
            </w:r>
          </w:p>
        </w:tc>
      </w:tr>
      <w:tr w:rsidR="00E11869" w:rsidRPr="00207748" w14:paraId="4B996FD4" w14:textId="77777777" w:rsidTr="00DA3A66">
        <w:trPr>
          <w:trHeight w:val="282"/>
        </w:trPr>
        <w:tc>
          <w:tcPr>
            <w:tcW w:w="20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33314" w14:textId="77777777" w:rsidR="00E11869" w:rsidRPr="00207748" w:rsidRDefault="00E11869" w:rsidP="004454B6">
            <w:pPr>
              <w:rPr>
                <w:rFonts w:ascii="Cambria" w:hAnsi="Cambria" w:cs="Arial"/>
                <w:sz w:val="20"/>
                <w:szCs w:val="20"/>
              </w:rPr>
            </w:pPr>
          </w:p>
        </w:tc>
        <w:tc>
          <w:tcPr>
            <w:tcW w:w="2962"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B7A8D"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Konsensstärke: 92 %</w:t>
            </w:r>
          </w:p>
        </w:tc>
      </w:tr>
    </w:tbl>
    <w:p w14:paraId="5863F48D" w14:textId="77777777" w:rsidR="00E11869" w:rsidRPr="00207748" w:rsidRDefault="00E11869" w:rsidP="004454B6">
      <w:pPr>
        <w:widowControl w:val="0"/>
        <w:rPr>
          <w:rStyle w:val="Ohne"/>
          <w:rFonts w:ascii="Cambria" w:eastAsia="Arial" w:hAnsi="Cambria" w:cs="Arial"/>
          <w:iCs/>
          <w:sz w:val="20"/>
          <w:szCs w:val="20"/>
        </w:rPr>
      </w:pPr>
    </w:p>
    <w:p w14:paraId="412804E3" w14:textId="318349D0" w:rsidR="00E11869" w:rsidRPr="00207748" w:rsidRDefault="00420A45" w:rsidP="004454B6">
      <w:pPr>
        <w:spacing w:before="240"/>
        <w:rPr>
          <w:rStyle w:val="Ohne"/>
          <w:rFonts w:ascii="Cambria" w:eastAsia="Arial" w:hAnsi="Cambria" w:cs="Arial"/>
          <w:iCs/>
          <w:sz w:val="20"/>
          <w:szCs w:val="20"/>
        </w:rPr>
      </w:pPr>
      <w:r w:rsidRPr="00207748">
        <w:rPr>
          <w:rStyle w:val="Ohne"/>
          <w:rFonts w:ascii="Cambria" w:hAnsi="Cambria" w:cs="Arial"/>
          <w:b/>
          <w:bCs/>
          <w:sz w:val="20"/>
          <w:szCs w:val="20"/>
        </w:rPr>
        <w:t>Begründung:</w:t>
      </w:r>
      <w:r w:rsidR="00447357" w:rsidRPr="00207748">
        <w:rPr>
          <w:rStyle w:val="Ohne"/>
          <w:rFonts w:ascii="Cambria" w:hAnsi="Cambria" w:cs="Arial"/>
          <w:b/>
          <w:bCs/>
          <w:sz w:val="20"/>
          <w:szCs w:val="20"/>
        </w:rPr>
        <w:t xml:space="preserve"> </w:t>
      </w:r>
      <w:r w:rsidR="00447357" w:rsidRPr="00207748">
        <w:rPr>
          <w:rStyle w:val="Ohne"/>
          <w:rFonts w:ascii="Cambria" w:hAnsi="Cambria" w:cs="Arial"/>
          <w:sz w:val="20"/>
          <w:szCs w:val="20"/>
        </w:rPr>
        <w:t xml:space="preserve">Die Empfehlungen M.12 und M.13 stellen eine Adaptation der S2e-Leitlinie zur Lagerungstherapie dar. Die Behandlung des Themas folgt grundsätzlich der S2e-Leitlinie: „Lagerungstherapie und Frühmobilisation zur Prophylaxe oder Therapie von pulmonalen Funktionsstörungen - Revision 2015“ </w:t>
      </w:r>
      <w:r w:rsidR="00945DF8" w:rsidRPr="00207748">
        <w:rPr>
          <w:rStyle w:val="Endnotenzeichen"/>
          <w:rFonts w:ascii="Cambria" w:hAnsi="Cambria" w:cs="Arial"/>
          <w:sz w:val="20"/>
          <w:szCs w:val="20"/>
        </w:rPr>
        <w:endnoteReference w:id="414"/>
      </w:r>
      <w:r w:rsidR="00447357" w:rsidRPr="00207748">
        <w:rPr>
          <w:rStyle w:val="Ohne"/>
          <w:rFonts w:ascii="Cambria" w:hAnsi="Cambria" w:cs="Arial"/>
          <w:sz w:val="20"/>
          <w:szCs w:val="20"/>
        </w:rPr>
        <w:t xml:space="preserve">, allerdings wurden eine Cochrane-Analyse </w:t>
      </w:r>
      <w:bookmarkStart w:id="437" w:name="_Ref31189615"/>
      <w:r w:rsidR="00945DF8" w:rsidRPr="00207748">
        <w:rPr>
          <w:rStyle w:val="Endnotenzeichen"/>
          <w:rFonts w:ascii="Cambria" w:hAnsi="Cambria" w:cs="Arial"/>
          <w:sz w:val="20"/>
          <w:szCs w:val="20"/>
        </w:rPr>
        <w:endnoteReference w:id="415"/>
      </w:r>
      <w:bookmarkEnd w:id="437"/>
      <w:r w:rsidR="00447357" w:rsidRPr="00207748">
        <w:rPr>
          <w:rStyle w:val="Ohne"/>
          <w:rFonts w:ascii="Cambria" w:hAnsi="Cambria" w:cs="Arial"/>
          <w:sz w:val="20"/>
          <w:szCs w:val="20"/>
        </w:rPr>
        <w:t xml:space="preserve"> und eine systematische Übersicht </w:t>
      </w:r>
      <w:r w:rsidR="00945DF8" w:rsidRPr="00207748">
        <w:rPr>
          <w:rStyle w:val="Endnotenzeichen"/>
          <w:rFonts w:ascii="Cambria" w:hAnsi="Cambria" w:cs="Arial"/>
          <w:sz w:val="20"/>
          <w:szCs w:val="20"/>
        </w:rPr>
        <w:endnoteReference w:id="416"/>
      </w:r>
      <w:r w:rsidR="00447357" w:rsidRPr="00207748">
        <w:rPr>
          <w:rStyle w:val="Ohne"/>
          <w:rFonts w:ascii="Cambria" w:hAnsi="Cambria" w:cs="Arial"/>
          <w:sz w:val="20"/>
          <w:szCs w:val="20"/>
        </w:rPr>
        <w:t>, die nach Redaktionsschluss der Quellleitlinie erschienen, hier mit aufgenommen. Die Cochrane-Analyse von Bloomfield et al</w:t>
      </w:r>
      <w:r w:rsidR="00264D62" w:rsidRPr="00207748">
        <w:rPr>
          <w:rStyle w:val="Ohne"/>
          <w:rFonts w:ascii="Cambria" w:hAnsi="Cambria" w:cs="Arial"/>
          <w:sz w:val="20"/>
          <w:szCs w:val="20"/>
        </w:rPr>
        <w:t>.</w:t>
      </w:r>
      <w:r w:rsidR="002F45C9" w:rsidRPr="00207748">
        <w:rPr>
          <w:rStyle w:val="Ohne"/>
          <w:rFonts w:ascii="Cambria" w:hAnsi="Cambria" w:cs="Arial"/>
          <w:sz w:val="20"/>
          <w:szCs w:val="20"/>
        </w:rPr>
        <w:t xml:space="preserve"> </w:t>
      </w:r>
      <w:r w:rsidR="00EF1A9E" w:rsidRPr="00EF1A9E">
        <w:rPr>
          <w:rStyle w:val="EndnoteRealZchn"/>
        </w:rPr>
        <w:fldChar w:fldCharType="begin"/>
      </w:r>
      <w:r w:rsidR="00EF1A9E" w:rsidRPr="00EF1A9E">
        <w:rPr>
          <w:rStyle w:val="EndnoteRealZchn"/>
        </w:rPr>
        <w:instrText xml:space="preserve"> NOTEREF _Ref31189615 \h </w:instrText>
      </w:r>
      <w:r w:rsidR="00EF1A9E">
        <w:rPr>
          <w:rStyle w:val="EndnoteRealZchn"/>
        </w:rPr>
        <w:instrText xml:space="preserve"> \* MERGEFORMAT </w:instrText>
      </w:r>
      <w:r w:rsidR="00EF1A9E" w:rsidRPr="00EF1A9E">
        <w:rPr>
          <w:rStyle w:val="EndnoteRealZchn"/>
        </w:rPr>
      </w:r>
      <w:r w:rsidR="00EF1A9E" w:rsidRPr="00EF1A9E">
        <w:rPr>
          <w:rStyle w:val="EndnoteRealZchn"/>
        </w:rPr>
        <w:fldChar w:fldCharType="separate"/>
      </w:r>
      <w:r w:rsidR="00EF1A9E" w:rsidRPr="00EF1A9E">
        <w:rPr>
          <w:rStyle w:val="EndnoteRealZchn"/>
        </w:rPr>
        <w:t>419</w:t>
      </w:r>
      <w:r w:rsidR="00EF1A9E" w:rsidRPr="00EF1A9E">
        <w:rPr>
          <w:rStyle w:val="EndnoteRealZchn"/>
        </w:rPr>
        <w:fldChar w:fldCharType="end"/>
      </w:r>
      <w:r w:rsidR="00EF1A9E">
        <w:rPr>
          <w:rStyle w:val="Ohne"/>
          <w:rFonts w:ascii="Cambria" w:hAnsi="Cambria" w:cs="Arial"/>
          <w:sz w:val="20"/>
          <w:szCs w:val="20"/>
        </w:rPr>
        <w:t xml:space="preserve"> </w:t>
      </w:r>
      <w:r w:rsidR="00447357" w:rsidRPr="00207748">
        <w:rPr>
          <w:rStyle w:val="Ohne"/>
          <w:rFonts w:ascii="Cambria" w:hAnsi="Cambria" w:cs="Arial"/>
          <w:sz w:val="20"/>
          <w:szCs w:val="20"/>
        </w:rPr>
        <w:t>sieht einen möglichen Überlebensvorteil durch Anwendung der Bauchlage für diejenigen Patientengruppen, welche entweder frühzeitig nach Auftreten des Lungenversagens in die Bauchlage gebracht wurden oder einer prolongierten Bauchlagerung unterzogen wurden oder zu Beginn der Maßnahme eine schwere Hypoxämie aufwiesen. Zu einem vergleichbaren Fazit kommen Park et al. in ihrer Meta-Analyse bisher durchgeführter randomisierter Studien.</w:t>
      </w:r>
      <w:r w:rsidR="002B1061">
        <w:rPr>
          <w:rStyle w:val="Ohne"/>
          <w:rFonts w:ascii="Cambria" w:hAnsi="Cambria" w:cs="Arial"/>
          <w:sz w:val="20"/>
          <w:szCs w:val="20"/>
        </w:rPr>
        <w:t xml:space="preserve"> </w:t>
      </w:r>
    </w:p>
    <w:p w14:paraId="1FBA28C7" w14:textId="168851B9" w:rsidR="00E11869" w:rsidRPr="00207748" w:rsidRDefault="00447357" w:rsidP="004454B6">
      <w:pPr>
        <w:spacing w:before="240"/>
        <w:rPr>
          <w:rStyle w:val="Ohne"/>
          <w:rFonts w:ascii="Cambria" w:eastAsia="Arial" w:hAnsi="Cambria" w:cs="Arial"/>
          <w:sz w:val="20"/>
          <w:szCs w:val="20"/>
        </w:rPr>
      </w:pPr>
      <w:r w:rsidRPr="00207748">
        <w:rPr>
          <w:rStyle w:val="Ohne"/>
          <w:rFonts w:ascii="Cambria" w:hAnsi="Cambria" w:cs="Arial"/>
          <w:sz w:val="20"/>
          <w:szCs w:val="20"/>
        </w:rPr>
        <w:t xml:space="preserve">In einer im Jahr 2013 publizierten multizentrischen Studie im prospektiv-randomisierten Design </w:t>
      </w:r>
      <w:r w:rsidR="00945DF8" w:rsidRPr="00207748">
        <w:rPr>
          <w:rStyle w:val="Endnotenzeichen"/>
          <w:rFonts w:ascii="Cambria" w:hAnsi="Cambria" w:cs="Arial"/>
          <w:sz w:val="20"/>
          <w:szCs w:val="20"/>
        </w:rPr>
        <w:endnoteReference w:id="417"/>
      </w:r>
      <w:r w:rsidRPr="00207748">
        <w:rPr>
          <w:rStyle w:val="Ohne"/>
          <w:rFonts w:ascii="Cambria" w:hAnsi="Cambria" w:cs="Arial"/>
          <w:sz w:val="20"/>
          <w:szCs w:val="20"/>
        </w:rPr>
        <w:t xml:space="preserve"> wurden 237 Patienten mit moderatem oder schwerem ARDS frühzeitig (&lt; 48 h) nach Auftreten der Erkrankung in die Bauchlage gebracht (16 h oder mehr täglich für ca. 7 Tage), während die Patienten der Kontrollgruppe in Rückenlage behandelt wurden. Alle Patienten wurden lungenprotektiv beatmet und in der Frühphase des ARDS wurde eine Muskelrelaxation mit cis-Atracurium vorgenommen. Die 90-Tage-Sterblichkeit betrug </w:t>
      </w:r>
      <w:r w:rsidRPr="00207748">
        <w:rPr>
          <w:rStyle w:val="Ohne"/>
          <w:rFonts w:ascii="Cambria" w:hAnsi="Cambria" w:cs="Arial"/>
          <w:sz w:val="20"/>
          <w:szCs w:val="20"/>
        </w:rPr>
        <w:lastRenderedPageBreak/>
        <w:t>23,6 % in der Bauchlagerungsgruppe und 41 % in der Kontrollgruppe (p&lt;0,001, OR=0,44). Die Inzidenz an Komplikationen war nicht unterschiedlich zwischen den Gruppen, aber Patienten der Kontrollgruppe wiesen eine signifikant höhere Inzidenz an kardialen Arrhythmien auf. (Qualität der Evidenz 1a). In mehreren Meta-Analysen</w:t>
      </w:r>
      <w:r w:rsidR="0093150A" w:rsidRPr="00207748">
        <w:rPr>
          <w:rStyle w:val="Ohne"/>
          <w:rFonts w:ascii="Cambria" w:hAnsi="Cambria" w:cs="Arial"/>
          <w:sz w:val="20"/>
          <w:szCs w:val="20"/>
        </w:rPr>
        <w:t xml:space="preserve"> </w:t>
      </w:r>
      <w:r w:rsidR="0093150A" w:rsidRPr="00207748">
        <w:rPr>
          <w:rStyle w:val="Endnotenzeichen"/>
          <w:rFonts w:ascii="Cambria" w:hAnsi="Cambria" w:cs="Arial"/>
          <w:sz w:val="20"/>
          <w:szCs w:val="20"/>
        </w:rPr>
        <w:endnoteReference w:id="418"/>
      </w:r>
      <w:r w:rsidR="0093150A" w:rsidRPr="00207748">
        <w:rPr>
          <w:rStyle w:val="Ohne"/>
          <w:rFonts w:ascii="Cambria" w:hAnsi="Cambria" w:cs="Arial"/>
          <w:sz w:val="20"/>
          <w:szCs w:val="20"/>
        </w:rPr>
        <w:t xml:space="preserve"> </w:t>
      </w:r>
      <w:r w:rsidR="00EF1A9E" w:rsidRPr="00EF1A9E">
        <w:rPr>
          <w:rStyle w:val="EndnoteRealZchn"/>
        </w:rPr>
        <w:fldChar w:fldCharType="begin"/>
      </w:r>
      <w:r w:rsidR="00EF1A9E" w:rsidRPr="00EF1A9E">
        <w:rPr>
          <w:rStyle w:val="EndnoteRealZchn"/>
        </w:rPr>
        <w:instrText xml:space="preserve"> NOTEREF _Ref31189487 \h </w:instrText>
      </w:r>
      <w:r w:rsidR="00EF1A9E">
        <w:rPr>
          <w:rStyle w:val="EndnoteRealZchn"/>
        </w:rPr>
        <w:instrText xml:space="preserve"> \* MERGEFORMAT </w:instrText>
      </w:r>
      <w:r w:rsidR="00EF1A9E" w:rsidRPr="00EF1A9E">
        <w:rPr>
          <w:rStyle w:val="EndnoteRealZchn"/>
        </w:rPr>
      </w:r>
      <w:r w:rsidR="00EF1A9E" w:rsidRPr="00EF1A9E">
        <w:rPr>
          <w:rStyle w:val="EndnoteRealZchn"/>
        </w:rPr>
        <w:fldChar w:fldCharType="separate"/>
      </w:r>
      <w:r w:rsidR="00EF1A9E" w:rsidRPr="00EF1A9E">
        <w:rPr>
          <w:rStyle w:val="EndnoteRealZchn"/>
        </w:rPr>
        <w:t>77</w:t>
      </w:r>
      <w:r w:rsidR="00EF1A9E" w:rsidRPr="00EF1A9E">
        <w:rPr>
          <w:rStyle w:val="EndnoteRealZchn"/>
        </w:rPr>
        <w:fldChar w:fldCharType="end"/>
      </w:r>
      <w:r w:rsidR="00EF1A9E">
        <w:t xml:space="preserve"> </w:t>
      </w:r>
      <w:r w:rsidRPr="00207748">
        <w:rPr>
          <w:rStyle w:val="Ohne"/>
          <w:rFonts w:ascii="Cambria" w:hAnsi="Cambria" w:cs="Arial"/>
          <w:sz w:val="20"/>
          <w:szCs w:val="20"/>
        </w:rPr>
        <w:t>und einer aktuellen Cochrane-Analyse</w:t>
      </w:r>
      <w:r w:rsidR="00EF1A9E" w:rsidRPr="00EF1A9E">
        <w:rPr>
          <w:rStyle w:val="EndnoteRealZchn"/>
        </w:rPr>
        <w:fldChar w:fldCharType="begin"/>
      </w:r>
      <w:r w:rsidR="00EF1A9E" w:rsidRPr="00EF1A9E">
        <w:rPr>
          <w:rStyle w:val="EndnoteRealZchn"/>
        </w:rPr>
        <w:instrText xml:space="preserve"> NOTEREF _Ref31189615 \h </w:instrText>
      </w:r>
      <w:r w:rsidR="00EF1A9E">
        <w:rPr>
          <w:rStyle w:val="EndnoteRealZchn"/>
        </w:rPr>
        <w:instrText xml:space="preserve"> \* MERGEFORMAT </w:instrText>
      </w:r>
      <w:r w:rsidR="00EF1A9E" w:rsidRPr="00EF1A9E">
        <w:rPr>
          <w:rStyle w:val="EndnoteRealZchn"/>
        </w:rPr>
      </w:r>
      <w:r w:rsidR="00EF1A9E" w:rsidRPr="00EF1A9E">
        <w:rPr>
          <w:rStyle w:val="EndnoteRealZchn"/>
        </w:rPr>
        <w:fldChar w:fldCharType="separate"/>
      </w:r>
      <w:r w:rsidR="00EF1A9E" w:rsidRPr="00EF1A9E">
        <w:rPr>
          <w:rStyle w:val="EndnoteRealZchn"/>
        </w:rPr>
        <w:t>419</w:t>
      </w:r>
      <w:r w:rsidR="00EF1A9E" w:rsidRPr="00EF1A9E">
        <w:rPr>
          <w:rStyle w:val="EndnoteRealZchn"/>
        </w:rPr>
        <w:fldChar w:fldCharType="end"/>
      </w:r>
      <w:r w:rsidR="00264D62" w:rsidRPr="00207748">
        <w:rPr>
          <w:rStyle w:val="Ohne"/>
          <w:rFonts w:ascii="Cambria" w:hAnsi="Cambria" w:cs="Arial"/>
          <w:sz w:val="20"/>
          <w:szCs w:val="20"/>
        </w:rPr>
        <w:t xml:space="preserve"> </w:t>
      </w:r>
      <w:r w:rsidRPr="00207748">
        <w:rPr>
          <w:rStyle w:val="Ohne"/>
          <w:rFonts w:ascii="Cambria" w:hAnsi="Cambria" w:cs="Arial"/>
          <w:sz w:val="20"/>
          <w:szCs w:val="20"/>
        </w:rPr>
        <w:t>wurde gezeigt, dass bei Patienten mit ARDS (PaO</w:t>
      </w:r>
      <w:r w:rsidRPr="00207748">
        <w:rPr>
          <w:rStyle w:val="Ohne"/>
          <w:rFonts w:ascii="Cambria" w:hAnsi="Cambria" w:cs="Arial"/>
          <w:sz w:val="20"/>
          <w:szCs w:val="20"/>
          <w:vertAlign w:val="subscript"/>
        </w:rPr>
        <w:t>2</w:t>
      </w:r>
      <w:r w:rsidRPr="00207748">
        <w:rPr>
          <w:rStyle w:val="Ohne"/>
          <w:rFonts w:ascii="Cambria" w:hAnsi="Cambria" w:cs="Arial"/>
          <w:sz w:val="20"/>
          <w:szCs w:val="20"/>
        </w:rPr>
        <w:t>/FIO</w:t>
      </w:r>
      <w:r w:rsidRPr="00207748">
        <w:rPr>
          <w:rStyle w:val="Ohne"/>
          <w:rFonts w:ascii="Cambria" w:hAnsi="Cambria" w:cs="Arial"/>
          <w:sz w:val="20"/>
          <w:szCs w:val="20"/>
          <w:vertAlign w:val="subscript"/>
        </w:rPr>
        <w:t>2</w:t>
      </w:r>
      <w:r w:rsidRPr="00207748">
        <w:rPr>
          <w:rStyle w:val="Ohne"/>
          <w:rFonts w:ascii="Cambria" w:hAnsi="Cambria" w:cs="Arial"/>
          <w:sz w:val="20"/>
          <w:szCs w:val="20"/>
        </w:rPr>
        <w:t xml:space="preserve"> &lt; 150) und lungenprotektiver Beatmungsstrategie die frühe Anwendung prolongierter Bauchlagerung zu einer signifikanten Senkung der Sterblichkeit im Vergleich zur Rückenlagerung führt (Qualität der Evidenz 2b). Bei Patienten mit ARDS und einem PaO</w:t>
      </w:r>
      <w:r w:rsidRPr="00207748">
        <w:rPr>
          <w:rStyle w:val="Ohne"/>
          <w:rFonts w:ascii="Cambria" w:hAnsi="Cambria" w:cs="Arial"/>
          <w:sz w:val="20"/>
          <w:szCs w:val="20"/>
          <w:vertAlign w:val="subscript"/>
        </w:rPr>
        <w:t>2</w:t>
      </w:r>
      <w:r w:rsidRPr="00207748">
        <w:rPr>
          <w:rStyle w:val="Ohne"/>
          <w:rFonts w:ascii="Cambria" w:hAnsi="Cambria" w:cs="Arial"/>
          <w:sz w:val="20"/>
          <w:szCs w:val="20"/>
        </w:rPr>
        <w:t>/FiO</w:t>
      </w:r>
      <w:r w:rsidRPr="00207748">
        <w:rPr>
          <w:rStyle w:val="Ohne"/>
          <w:rFonts w:ascii="Cambria" w:hAnsi="Cambria" w:cs="Arial"/>
          <w:sz w:val="20"/>
          <w:szCs w:val="20"/>
          <w:vertAlign w:val="subscript"/>
        </w:rPr>
        <w:t>2</w:t>
      </w:r>
      <w:r w:rsidRPr="00207748">
        <w:rPr>
          <w:rStyle w:val="Ohne"/>
          <w:rFonts w:ascii="Cambria" w:hAnsi="Cambria" w:cs="Arial"/>
          <w:sz w:val="20"/>
          <w:szCs w:val="20"/>
        </w:rPr>
        <w:t xml:space="preserve">-Verhältnis &lt; 150 wies die Nutzung der Bauchlage im Vergleich zur Rückenlage innerhalb der ersten 36 Stunden nach Intubation, wenn diese über einen Zeitraum von &gt; 16 Stunden pro Tag aufrechterhalten wurde, eine verbesserte Überlebensrate auf </w:t>
      </w:r>
      <w:r w:rsidR="00945DF8" w:rsidRPr="00207748">
        <w:rPr>
          <w:rStyle w:val="Endnotenzeichen"/>
          <w:rFonts w:ascii="Cambria" w:hAnsi="Cambria" w:cs="Arial"/>
          <w:sz w:val="20"/>
          <w:szCs w:val="20"/>
        </w:rPr>
        <w:endnoteReference w:id="419"/>
      </w:r>
      <w:r w:rsidR="00945DF8" w:rsidRPr="00207748">
        <w:rPr>
          <w:rStyle w:val="Ohne"/>
          <w:rFonts w:ascii="Cambria" w:hAnsi="Cambria" w:cs="Arial"/>
          <w:sz w:val="20"/>
          <w:szCs w:val="20"/>
        </w:rPr>
        <w:t xml:space="preserve"> </w:t>
      </w:r>
      <w:r w:rsidRPr="00207748">
        <w:rPr>
          <w:rStyle w:val="Ohne"/>
          <w:rFonts w:ascii="Cambria" w:eastAsia="Arial" w:hAnsi="Cambria" w:cs="Arial"/>
          <w:sz w:val="20"/>
          <w:szCs w:val="20"/>
          <w:vertAlign w:val="superscript"/>
        </w:rPr>
        <w:endnoteReference w:id="420"/>
      </w:r>
      <w:r w:rsidRPr="00207748">
        <w:rPr>
          <w:rStyle w:val="Ohne"/>
          <w:rFonts w:ascii="Cambria" w:hAnsi="Cambria" w:cs="Arial"/>
          <w:sz w:val="20"/>
          <w:szCs w:val="20"/>
        </w:rPr>
        <w:t>.</w:t>
      </w:r>
    </w:p>
    <w:p w14:paraId="43BB1962" w14:textId="62C20364" w:rsidR="00E11869" w:rsidRPr="00207748" w:rsidRDefault="00447357" w:rsidP="004454B6">
      <w:pPr>
        <w:spacing w:before="240"/>
        <w:rPr>
          <w:rStyle w:val="Ohne"/>
          <w:rFonts w:ascii="Cambria" w:eastAsia="Arial" w:hAnsi="Cambria" w:cs="Arial"/>
          <w:sz w:val="20"/>
          <w:szCs w:val="20"/>
        </w:rPr>
      </w:pPr>
      <w:r w:rsidRPr="00207748">
        <w:rPr>
          <w:rStyle w:val="Ohne"/>
          <w:rFonts w:ascii="Cambria" w:hAnsi="Cambria" w:cs="Arial"/>
          <w:sz w:val="20"/>
          <w:szCs w:val="20"/>
        </w:rPr>
        <w:t>Folgende Komplikationen wurden während der Bauchlagerung beschrieben: Gesichtsödeme (20 – 30 %), Druckulzera in den Bereichen Gesicht/Hornhaut, Becken, Knie (ca. 20 %), „Nicht-Toleranz“ während Bauchlagerung (= Husten, Pressen, Beatmungsprobleme ca. 20 %), Herzrhythmusstörungen (ca. 5 %), Mamillennekrosen, Druckulzera der Tibiavorderkante (Einzelberichte), Tubus- oder Katheterdislokationen (ca. 1-2 %) und Nervenschäden. Die retrospektive Analyse der multizentrischen randomisierte</w:t>
      </w:r>
      <w:r w:rsidR="00B74B93">
        <w:rPr>
          <w:rStyle w:val="Ohne"/>
          <w:rFonts w:ascii="Cambria" w:hAnsi="Cambria" w:cs="Arial"/>
          <w:sz w:val="20"/>
          <w:szCs w:val="20"/>
        </w:rPr>
        <w:t xml:space="preserve">n Studie von Guerin et al. </w:t>
      </w:r>
      <w:r w:rsidRPr="00207748">
        <w:rPr>
          <w:rStyle w:val="Ohne"/>
          <w:rFonts w:ascii="Cambria" w:hAnsi="Cambria" w:cs="Arial"/>
          <w:sz w:val="20"/>
          <w:szCs w:val="20"/>
        </w:rPr>
        <w:t>wies eine höhere Inzidenz von Druckstellen und Hautulzera in der Bauchlagerungsgruppe (14,3/1000 Beatmungstage) im Vergleich zur Rückenlage auf (7,7/1000 Beatmungstage, p = 0,002).</w:t>
      </w:r>
      <w:r w:rsidR="006B2B71" w:rsidRPr="006B2B71">
        <w:rPr>
          <w:rStyle w:val="EndnoteRealZchn"/>
        </w:rPr>
        <w:fldChar w:fldCharType="begin"/>
      </w:r>
      <w:r w:rsidR="006B2B71" w:rsidRPr="006B2B71">
        <w:rPr>
          <w:rStyle w:val="EndnoteRealZchn"/>
        </w:rPr>
        <w:instrText xml:space="preserve"> NOTEREF _Ref30586811 \h </w:instrText>
      </w:r>
      <w:r w:rsidR="006B2B71">
        <w:rPr>
          <w:rStyle w:val="EndnoteRealZchn"/>
        </w:rPr>
        <w:instrText xml:space="preserve"> \* MERGEFORMAT </w:instrText>
      </w:r>
      <w:r w:rsidR="006B2B71" w:rsidRPr="006B2B71">
        <w:rPr>
          <w:rStyle w:val="EndnoteRealZchn"/>
        </w:rPr>
      </w:r>
      <w:r w:rsidR="006B2B71" w:rsidRPr="006B2B71">
        <w:rPr>
          <w:rStyle w:val="EndnoteRealZchn"/>
        </w:rPr>
        <w:fldChar w:fldCharType="separate"/>
      </w:r>
      <w:r w:rsidR="001A283B">
        <w:rPr>
          <w:rStyle w:val="EndnoteRealZchn"/>
        </w:rPr>
        <w:t>317</w:t>
      </w:r>
      <w:r w:rsidR="006B2B71" w:rsidRPr="006B2B71">
        <w:rPr>
          <w:rStyle w:val="EndnoteRealZchn"/>
        </w:rPr>
        <w:fldChar w:fldCharType="end"/>
      </w:r>
    </w:p>
    <w:p w14:paraId="0079EA9B" w14:textId="1A35DFFB" w:rsidR="00E11869" w:rsidRPr="00207748" w:rsidRDefault="00447357" w:rsidP="004454B6">
      <w:pPr>
        <w:spacing w:before="240"/>
        <w:rPr>
          <w:rStyle w:val="Ohne"/>
          <w:rFonts w:ascii="Cambria" w:eastAsia="Arial" w:hAnsi="Cambria" w:cs="Arial"/>
          <w:sz w:val="20"/>
          <w:szCs w:val="20"/>
        </w:rPr>
      </w:pPr>
      <w:r w:rsidRPr="00207748">
        <w:rPr>
          <w:rStyle w:val="Ohne"/>
          <w:rFonts w:ascii="Cambria" w:hAnsi="Cambria" w:cs="Arial"/>
          <w:sz w:val="20"/>
          <w:szCs w:val="20"/>
        </w:rPr>
        <w:t xml:space="preserve">Die frühzeitig nach Entwicklung/Diagnose eines schweren ARDS begonnene und ausreichend lange durchgeführte Bauchlagerung ist mit einem hohen zu erwartenden Patientennutzen verknüpft. Das in den Studien und Meta-Analysen beschriebene Risikoprofil ist vertretbar und beherrschbar. Voraussetzung hierfür ist die interdisziplinär-routinierte Anwendung mit Kenntnis der Ein- und </w:t>
      </w:r>
      <w:r w:rsidRPr="00207748">
        <w:rPr>
          <w:rStyle w:val="Ohne"/>
          <w:rFonts w:ascii="Cambria" w:hAnsi="Cambria" w:cs="Arial"/>
          <w:sz w:val="20"/>
          <w:szCs w:val="20"/>
        </w:rPr>
        <w:lastRenderedPageBreak/>
        <w:t xml:space="preserve">Ausschlusskriterien, der sicheren praktischen Durchführung sowie der frühzeitigen Identifikation besonderer Risikopatienten und </w:t>
      </w:r>
      <w:r w:rsidR="001A58EF" w:rsidRPr="00207748">
        <w:rPr>
          <w:rStyle w:val="Ohne"/>
          <w:rFonts w:ascii="Cambria" w:hAnsi="Cambria" w:cs="Arial"/>
          <w:sz w:val="20"/>
          <w:szCs w:val="20"/>
        </w:rPr>
        <w:t>-</w:t>
      </w:r>
      <w:r w:rsidRPr="00207748">
        <w:rPr>
          <w:rStyle w:val="Ohne"/>
          <w:rFonts w:ascii="Cambria" w:hAnsi="Cambria" w:cs="Arial"/>
          <w:sz w:val="20"/>
          <w:szCs w:val="20"/>
        </w:rPr>
        <w:t xml:space="preserve">konstellationen. </w:t>
      </w:r>
    </w:p>
    <w:p w14:paraId="451735BA" w14:textId="32B1A43C" w:rsidR="00E11869" w:rsidRPr="00207748" w:rsidRDefault="00447357" w:rsidP="004454B6">
      <w:pPr>
        <w:spacing w:before="240"/>
        <w:rPr>
          <w:rStyle w:val="Ohne"/>
          <w:rFonts w:ascii="Cambria" w:eastAsia="Arial" w:hAnsi="Cambria" w:cs="Arial"/>
          <w:sz w:val="20"/>
          <w:szCs w:val="20"/>
        </w:rPr>
      </w:pPr>
      <w:r w:rsidRPr="00207748">
        <w:rPr>
          <w:rStyle w:val="Ohne"/>
          <w:rFonts w:ascii="Cambria" w:hAnsi="Cambria" w:cs="Arial"/>
          <w:sz w:val="20"/>
          <w:szCs w:val="20"/>
        </w:rPr>
        <w:t>Für Patienten mit akuten abdominellen Erkrankungen kann derzeit aufgrund mangelnder Untersuchungen keine Empfehlung bezüglich Art und Dauer einer Bauchlagerung abgegeben werden. Patienten mit abdomineller Adipositas (CT-Definition: sagittaler abdomineller Durchmesser ≥ 26 cm) entwickelten während länger dauernder Bauchlagerung (im Mittel 40 h) im Vergleich zu Patienten ohne ähnliche Konfiguration signifikant häufiger ein Nierenversagen (83 % vs. 35 %, p&lt; 0,01) und signifikant häufiger eine hypoxämische Hepatitis (22 % vs. 2 %, p = 0,015.</w:t>
      </w:r>
      <w:r w:rsidR="0093150A" w:rsidRPr="00207748">
        <w:rPr>
          <w:rStyle w:val="Endnotenzeichen"/>
          <w:rFonts w:ascii="Cambria" w:hAnsi="Cambria" w:cs="Arial"/>
          <w:sz w:val="20"/>
          <w:szCs w:val="20"/>
        </w:rPr>
        <w:endnoteReference w:id="421"/>
      </w:r>
      <w:r w:rsidRPr="00207748">
        <w:rPr>
          <w:rStyle w:val="Ohne"/>
          <w:rFonts w:ascii="Cambria" w:hAnsi="Cambria" w:cs="Arial"/>
          <w:sz w:val="20"/>
          <w:szCs w:val="20"/>
        </w:rPr>
        <w:t xml:space="preserve"> </w:t>
      </w:r>
    </w:p>
    <w:p w14:paraId="2674EE59" w14:textId="77777777" w:rsidR="00E11869" w:rsidRPr="00207748" w:rsidRDefault="00447357" w:rsidP="004454B6">
      <w:pPr>
        <w:spacing w:before="240"/>
        <w:rPr>
          <w:rStyle w:val="Ohne"/>
          <w:rFonts w:ascii="Cambria" w:eastAsia="Arial" w:hAnsi="Cambria" w:cs="Arial"/>
          <w:sz w:val="20"/>
          <w:szCs w:val="20"/>
        </w:rPr>
      </w:pPr>
      <w:r w:rsidRPr="00207748">
        <w:rPr>
          <w:rStyle w:val="Ohne"/>
          <w:rFonts w:ascii="Cambria" w:hAnsi="Cambria" w:cs="Arial"/>
          <w:sz w:val="20"/>
          <w:szCs w:val="20"/>
        </w:rPr>
        <w:t>Bauchlagerung kann bei akuten traumatischen oder nicht-traumatischen zerebralen Läsionen einen Anstieg des intrakraniellen Drucks und (bei unveränderter Hämodynamik) eine Reduktion des zerebralen Perfusionsdruckes bewirken. Allerdings kann die durch die Bauchlagerung induzierte Verbesserung des pulmonalen Gasaustausches die zerebrale Oxygenierung steigern.</w:t>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02"/>
        <w:gridCol w:w="850"/>
      </w:tblGrid>
      <w:tr w:rsidR="00E11869" w:rsidRPr="00207748" w14:paraId="450D8B16"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EE894A3" w14:textId="77777777" w:rsidR="00E11869" w:rsidRPr="00207748" w:rsidRDefault="00447357" w:rsidP="004454B6">
            <w:pPr>
              <w:rPr>
                <w:rStyle w:val="Ohne"/>
                <w:rFonts w:ascii="Cambria" w:hAnsi="Cambria"/>
                <w:b/>
                <w:bCs/>
                <w:sz w:val="20"/>
                <w:szCs w:val="20"/>
              </w:rPr>
            </w:pPr>
            <w:r w:rsidRPr="00207748">
              <w:rPr>
                <w:rStyle w:val="Ohne"/>
                <w:rFonts w:ascii="Cambria" w:hAnsi="Cambria" w:cs="Arial"/>
                <w:b/>
                <w:bCs/>
                <w:sz w:val="20"/>
                <w:szCs w:val="20"/>
              </w:rPr>
              <w:t>M.14</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B9B15EB"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37A4B702"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65BC8938" w14:textId="77777777" w:rsidTr="00342FB3">
        <w:trPr>
          <w:trHeight w:val="124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DB025"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Empfehlungsgrad</w:t>
            </w:r>
          </w:p>
          <w:p w14:paraId="437B5D86" w14:textId="77777777" w:rsidR="00E11869" w:rsidRPr="00207748" w:rsidRDefault="00E11869" w:rsidP="004454B6">
            <w:pPr>
              <w:spacing w:after="0"/>
              <w:rPr>
                <w:rStyle w:val="Ohne"/>
                <w:rFonts w:ascii="Cambria" w:eastAsia="Arial" w:hAnsi="Cambria" w:cs="Arial"/>
                <w:sz w:val="20"/>
                <w:szCs w:val="20"/>
              </w:rPr>
            </w:pPr>
          </w:p>
          <w:p w14:paraId="6EBFAE9A" w14:textId="77777777" w:rsidR="00E11869" w:rsidRPr="00207748" w:rsidRDefault="00447357" w:rsidP="004454B6">
            <w:pPr>
              <w:spacing w:after="0"/>
              <w:rPr>
                <w:rStyle w:val="Ohne"/>
                <w:rFonts w:ascii="Cambria" w:eastAsia="Arial" w:hAnsi="Cambria" w:cs="Arial"/>
                <w:b/>
                <w:bCs/>
                <w:sz w:val="20"/>
                <w:szCs w:val="20"/>
              </w:rPr>
            </w:pPr>
            <w:r w:rsidRPr="00207748">
              <w:rPr>
                <w:rStyle w:val="Ohne"/>
                <w:rFonts w:ascii="Cambria" w:hAnsi="Cambria" w:cs="Arial"/>
                <w:b/>
                <w:bCs/>
                <w:sz w:val="20"/>
                <w:szCs w:val="20"/>
              </w:rPr>
              <w:t>stark</w:t>
            </w:r>
          </w:p>
          <w:p w14:paraId="4A9A2A61" w14:textId="77777777" w:rsidR="00E11869" w:rsidRPr="00207748" w:rsidRDefault="00E11869" w:rsidP="004454B6">
            <w:pPr>
              <w:spacing w:after="0"/>
              <w:rPr>
                <w:rStyle w:val="Ohne"/>
                <w:rFonts w:ascii="Cambria" w:eastAsia="Arial" w:hAnsi="Cambria" w:cs="Arial"/>
                <w:b/>
                <w:bCs/>
                <w:sz w:val="20"/>
                <w:szCs w:val="20"/>
              </w:rPr>
            </w:pPr>
          </w:p>
          <w:p w14:paraId="17589C63"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Evidenzgrad</w:t>
            </w:r>
          </w:p>
          <w:p w14:paraId="3D7450F1" w14:textId="77777777" w:rsidR="00E11869" w:rsidRPr="00207748" w:rsidRDefault="00E11869" w:rsidP="004454B6">
            <w:pPr>
              <w:spacing w:after="0"/>
              <w:rPr>
                <w:rStyle w:val="Ohne"/>
                <w:rFonts w:ascii="Cambria" w:eastAsia="Arial" w:hAnsi="Cambria" w:cs="Arial"/>
                <w:sz w:val="20"/>
                <w:szCs w:val="20"/>
              </w:rPr>
            </w:pPr>
          </w:p>
          <w:p w14:paraId="3251F243"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hoch</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C7BD79" w14:textId="0CA80D74" w:rsidR="00E11869" w:rsidRPr="00207748" w:rsidRDefault="00E873A9" w:rsidP="004454B6">
            <w:pPr>
              <w:spacing w:after="0"/>
              <w:rPr>
                <w:rFonts w:ascii="Cambria" w:hAnsi="Cambria" w:cs="Arial"/>
                <w:sz w:val="20"/>
                <w:szCs w:val="20"/>
              </w:rPr>
            </w:pPr>
            <w:r w:rsidRPr="00207748">
              <w:rPr>
                <w:rStyle w:val="Ohne"/>
                <w:rFonts w:ascii="Cambria" w:hAnsi="Cambria" w:cs="Arial"/>
                <w:b/>
                <w:bCs/>
                <w:sz w:val="20"/>
                <w:szCs w:val="20"/>
              </w:rPr>
              <w:t xml:space="preserve">Wir empfehlen </w:t>
            </w:r>
            <w:r w:rsidR="003B1537" w:rsidRPr="00207748">
              <w:rPr>
                <w:rStyle w:val="Ohne"/>
                <w:rFonts w:ascii="Cambria" w:hAnsi="Cambria" w:cs="Arial"/>
                <w:b/>
                <w:bCs/>
                <w:sz w:val="20"/>
                <w:szCs w:val="20"/>
              </w:rPr>
              <w:t>NICHT</w:t>
            </w:r>
            <w:r w:rsidRPr="00207748">
              <w:rPr>
                <w:rStyle w:val="Ohne"/>
                <w:rFonts w:ascii="Cambria" w:hAnsi="Cambria" w:cs="Arial"/>
                <w:b/>
                <w:bCs/>
                <w:sz w:val="20"/>
                <w:szCs w:val="20"/>
              </w:rPr>
              <w:t xml:space="preserve"> die Hochfrequenz</w:t>
            </w:r>
            <w:r w:rsidR="00B26F79">
              <w:rPr>
                <w:rStyle w:val="Ohne"/>
                <w:rFonts w:ascii="Cambria" w:hAnsi="Cambria" w:cs="Arial"/>
                <w:b/>
                <w:bCs/>
                <w:sz w:val="20"/>
                <w:szCs w:val="20"/>
              </w:rPr>
              <w:t>-</w:t>
            </w:r>
            <w:r w:rsidRPr="00207748">
              <w:rPr>
                <w:rStyle w:val="Ohne"/>
                <w:rFonts w:ascii="Cambria" w:hAnsi="Cambria" w:cs="Arial"/>
                <w:b/>
                <w:bCs/>
                <w:sz w:val="20"/>
                <w:szCs w:val="20"/>
              </w:rPr>
              <w:t>beatmung bei erwachsenen Patienten mit ARDS.</w:t>
            </w:r>
          </w:p>
        </w:tc>
      </w:tr>
      <w:tr w:rsidR="00E11869" w:rsidRPr="00207748" w14:paraId="5A0C88F7" w14:textId="77777777" w:rsidTr="00342FB3">
        <w:trPr>
          <w:trHeight w:val="56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0CE92760"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85548"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 xml:space="preserve">Adaptation </w:t>
            </w:r>
            <w:r w:rsidR="00B20D2B" w:rsidRPr="00207748">
              <w:rPr>
                <w:rStyle w:val="Ohne"/>
                <w:rFonts w:ascii="Cambria" w:hAnsi="Cambria" w:cs="Arial"/>
                <w:b/>
                <w:bCs/>
                <w:sz w:val="20"/>
                <w:szCs w:val="20"/>
              </w:rPr>
              <w:t xml:space="preserve">der </w:t>
            </w:r>
            <w:r w:rsidRPr="00207748">
              <w:rPr>
                <w:rStyle w:val="Ohne"/>
                <w:rFonts w:ascii="Cambria" w:hAnsi="Cambria" w:cs="Arial"/>
                <w:b/>
                <w:bCs/>
                <w:sz w:val="20"/>
                <w:szCs w:val="20"/>
              </w:rPr>
              <w:t xml:space="preserve">S3-Leitline Beatmung </w:t>
            </w:r>
          </w:p>
        </w:tc>
      </w:tr>
      <w:tr w:rsidR="00E11869" w:rsidRPr="00207748" w14:paraId="214CA754"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F5575"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E284B"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Konsensstärke: 100 %</w:t>
            </w:r>
          </w:p>
        </w:tc>
      </w:tr>
    </w:tbl>
    <w:p w14:paraId="14BC1271" w14:textId="77777777" w:rsidR="00E11869" w:rsidRPr="00207748" w:rsidRDefault="00420A45" w:rsidP="004454B6">
      <w:pPr>
        <w:spacing w:before="240"/>
        <w:rPr>
          <w:rStyle w:val="Ohne"/>
          <w:rFonts w:ascii="Cambria" w:eastAsia="Arial" w:hAnsi="Cambria" w:cs="Arial"/>
          <w:sz w:val="20"/>
          <w:szCs w:val="20"/>
        </w:rPr>
      </w:pPr>
      <w:r w:rsidRPr="00207748">
        <w:rPr>
          <w:rStyle w:val="Ohne"/>
          <w:rFonts w:ascii="Cambria" w:hAnsi="Cambria" w:cs="Arial"/>
          <w:b/>
          <w:bCs/>
          <w:sz w:val="20"/>
          <w:szCs w:val="20"/>
        </w:rPr>
        <w:t>Begründung:</w:t>
      </w:r>
      <w:r w:rsidR="00447357" w:rsidRPr="00207748">
        <w:rPr>
          <w:rStyle w:val="Ohne"/>
          <w:rFonts w:ascii="Cambria" w:hAnsi="Cambria" w:cs="Arial"/>
          <w:b/>
          <w:bCs/>
          <w:sz w:val="20"/>
          <w:szCs w:val="20"/>
        </w:rPr>
        <w:t xml:space="preserve"> </w:t>
      </w:r>
      <w:r w:rsidR="00447357" w:rsidRPr="00207748">
        <w:rPr>
          <w:rStyle w:val="Ohne"/>
          <w:rFonts w:ascii="Cambria" w:hAnsi="Cambria" w:cs="Arial"/>
          <w:sz w:val="20"/>
          <w:szCs w:val="20"/>
        </w:rPr>
        <w:t xml:space="preserve">Zwei Meta-Analysen zeigen keine Reduktion der Krankenhaus- bzw. 30 Tage-Sterblichkeit und z.T. eine längere Beatmungs- sowie Intensivbehandlungsdauer durch die Anwendung von </w:t>
      </w:r>
      <w:r w:rsidRPr="00207748">
        <w:rPr>
          <w:rStyle w:val="Ohne"/>
          <w:rFonts w:ascii="Cambria" w:hAnsi="Cambria" w:cs="Arial"/>
          <w:sz w:val="20"/>
          <w:szCs w:val="20"/>
        </w:rPr>
        <w:t>High Frequency Oscillation Ventilation (HFOV)</w:t>
      </w:r>
      <w:r w:rsidR="00447357" w:rsidRPr="00207748">
        <w:rPr>
          <w:rStyle w:val="Ohne"/>
          <w:rFonts w:ascii="Cambria" w:hAnsi="Cambria" w:cs="Arial"/>
          <w:sz w:val="20"/>
          <w:szCs w:val="20"/>
        </w:rPr>
        <w:t xml:space="preserve"> bei vornehmlich adulten (&gt; 18 Jahre) Patienten mit moderatem und </w:t>
      </w:r>
      <w:r w:rsidR="00447357" w:rsidRPr="00207748">
        <w:rPr>
          <w:rStyle w:val="Ohne"/>
          <w:rFonts w:ascii="Cambria" w:hAnsi="Cambria" w:cs="Arial"/>
          <w:sz w:val="20"/>
          <w:szCs w:val="20"/>
        </w:rPr>
        <w:lastRenderedPageBreak/>
        <w:t>schwerem ARDS (PaO</w:t>
      </w:r>
      <w:r w:rsidR="00447357" w:rsidRPr="00207748">
        <w:rPr>
          <w:rStyle w:val="Ohne"/>
          <w:rFonts w:ascii="Cambria" w:hAnsi="Cambria" w:cs="Arial"/>
          <w:sz w:val="20"/>
          <w:szCs w:val="20"/>
          <w:vertAlign w:val="subscript"/>
        </w:rPr>
        <w:t>2</w:t>
      </w:r>
      <w:r w:rsidR="00447357" w:rsidRPr="00207748">
        <w:rPr>
          <w:rStyle w:val="Ohne"/>
          <w:rFonts w:ascii="Cambria" w:hAnsi="Cambria" w:cs="Arial"/>
          <w:sz w:val="20"/>
          <w:szCs w:val="20"/>
        </w:rPr>
        <w:t>/FIO</w:t>
      </w:r>
      <w:r w:rsidR="00447357" w:rsidRPr="00207748">
        <w:rPr>
          <w:rStyle w:val="Ohne"/>
          <w:rFonts w:ascii="Cambria" w:hAnsi="Cambria" w:cs="Arial"/>
          <w:sz w:val="20"/>
          <w:szCs w:val="20"/>
          <w:vertAlign w:val="subscript"/>
        </w:rPr>
        <w:t>2</w:t>
      </w:r>
      <w:r w:rsidR="00447357" w:rsidRPr="00207748">
        <w:rPr>
          <w:rStyle w:val="Ohne"/>
          <w:rFonts w:ascii="Cambria" w:hAnsi="Cambria" w:cs="Arial"/>
          <w:sz w:val="20"/>
          <w:szCs w:val="20"/>
        </w:rPr>
        <w:t xml:space="preserve"> &lt; 200)</w:t>
      </w:r>
      <w:r w:rsidR="0093150A" w:rsidRPr="00207748">
        <w:rPr>
          <w:rStyle w:val="Ohne"/>
          <w:rFonts w:ascii="Cambria" w:hAnsi="Cambria" w:cs="Arial"/>
          <w:sz w:val="20"/>
          <w:szCs w:val="20"/>
        </w:rPr>
        <w:t>.</w:t>
      </w:r>
      <w:r w:rsidR="00447357" w:rsidRPr="00207748">
        <w:rPr>
          <w:rStyle w:val="Ohne"/>
          <w:rFonts w:ascii="Cambria" w:hAnsi="Cambria" w:cs="Arial"/>
          <w:sz w:val="20"/>
          <w:szCs w:val="20"/>
        </w:rPr>
        <w:t xml:space="preserve"> </w:t>
      </w:r>
      <w:r w:rsidR="0093150A" w:rsidRPr="00207748">
        <w:rPr>
          <w:rStyle w:val="Endnotenzeichen"/>
          <w:rFonts w:ascii="Cambria" w:hAnsi="Cambria" w:cs="Arial"/>
          <w:sz w:val="20"/>
          <w:szCs w:val="20"/>
        </w:rPr>
        <w:endnoteReference w:id="422"/>
      </w:r>
      <w:r w:rsidR="0093150A" w:rsidRPr="00207748">
        <w:rPr>
          <w:rStyle w:val="Ohne"/>
          <w:rFonts w:ascii="Cambria" w:hAnsi="Cambria" w:cs="Arial"/>
          <w:sz w:val="20"/>
          <w:szCs w:val="20"/>
        </w:rPr>
        <w:t xml:space="preserve"> </w:t>
      </w:r>
      <w:r w:rsidR="0093150A" w:rsidRPr="00207748">
        <w:rPr>
          <w:rStyle w:val="Endnotenzeichen"/>
          <w:rFonts w:ascii="Cambria" w:hAnsi="Cambria" w:cs="Arial"/>
          <w:sz w:val="20"/>
          <w:szCs w:val="20"/>
        </w:rPr>
        <w:endnoteReference w:id="423"/>
      </w:r>
      <w:r w:rsidR="00447357" w:rsidRPr="00207748">
        <w:rPr>
          <w:rStyle w:val="Ohne"/>
          <w:rFonts w:ascii="Cambria" w:hAnsi="Cambria" w:cs="Arial"/>
          <w:sz w:val="20"/>
          <w:szCs w:val="20"/>
        </w:rPr>
        <w:t xml:space="preserve"> Ein aktuelles RCT</w:t>
      </w:r>
      <w:r w:rsidR="0093150A" w:rsidRPr="00207748">
        <w:rPr>
          <w:rStyle w:val="Endnotenzeichen"/>
          <w:rFonts w:ascii="Cambria" w:hAnsi="Cambria" w:cs="Arial"/>
          <w:sz w:val="20"/>
          <w:szCs w:val="20"/>
        </w:rPr>
        <w:endnoteReference w:id="424"/>
      </w:r>
      <w:r w:rsidR="00447357" w:rsidRPr="00207748">
        <w:rPr>
          <w:rStyle w:val="Ohne"/>
          <w:rFonts w:ascii="Cambria" w:hAnsi="Cambria" w:cs="Arial"/>
          <w:sz w:val="20"/>
          <w:szCs w:val="20"/>
        </w:rPr>
        <w:t xml:space="preserve"> zeigt keine Änderung der 30 Tage-Letalität, während ein anderes aktuelles RCT </w:t>
      </w:r>
      <w:r w:rsidR="0093150A" w:rsidRPr="00207748">
        <w:rPr>
          <w:rStyle w:val="Endnotenzeichen"/>
          <w:rFonts w:ascii="Cambria" w:hAnsi="Cambria" w:cs="Arial"/>
          <w:sz w:val="20"/>
          <w:szCs w:val="20"/>
        </w:rPr>
        <w:endnoteReference w:id="425"/>
      </w:r>
      <w:r w:rsidR="00447357" w:rsidRPr="00207748">
        <w:rPr>
          <w:rStyle w:val="Ohne"/>
          <w:rFonts w:ascii="Cambria" w:hAnsi="Cambria" w:cs="Arial"/>
          <w:sz w:val="20"/>
          <w:szCs w:val="20"/>
        </w:rPr>
        <w:t xml:space="preserve"> eine Zunahme der Krankenhaus-Letalität mit HFOV beobachtete. Vor diesem Hintergrund wird die Anwendung der HFOV bei Patienten mit ARDS nicht empfohlen (Empfehlungsgrad stark). </w:t>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613"/>
        <w:gridCol w:w="2291"/>
        <w:gridCol w:w="1321"/>
      </w:tblGrid>
      <w:tr w:rsidR="00E11869" w:rsidRPr="00207748" w14:paraId="49042428"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0E1C3320" w14:textId="77777777" w:rsidR="00E11869" w:rsidRPr="00207748" w:rsidRDefault="00447357" w:rsidP="004454B6">
            <w:pPr>
              <w:rPr>
                <w:rStyle w:val="Ohne"/>
                <w:rFonts w:ascii="Cambria" w:hAnsi="Cambria"/>
                <w:b/>
                <w:bCs/>
                <w:sz w:val="20"/>
                <w:szCs w:val="20"/>
              </w:rPr>
            </w:pPr>
            <w:r w:rsidRPr="00207748">
              <w:rPr>
                <w:rStyle w:val="Ohne"/>
                <w:rFonts w:ascii="Cambria" w:hAnsi="Cambria" w:cs="Arial"/>
                <w:b/>
                <w:bCs/>
                <w:sz w:val="20"/>
                <w:szCs w:val="20"/>
              </w:rPr>
              <w:t>M.15</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AE1FD55"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 xml:space="preserve">Statement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7AC0943F"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6798D91D" w14:textId="77777777" w:rsidTr="00334AF5">
        <w:trPr>
          <w:trHeight w:val="151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BE255"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69B83"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Wir k</w:t>
            </w:r>
            <w:r w:rsidRPr="00207748">
              <w:rPr>
                <w:rStyle w:val="Ohne"/>
                <w:rFonts w:ascii="Cambria" w:hAnsi="Cambria" w:cs="Arial"/>
                <w:b/>
                <w:bCs/>
                <w:sz w:val="20"/>
                <w:szCs w:val="20"/>
                <w:lang w:val="sv-SE"/>
              </w:rPr>
              <w:t>ö</w:t>
            </w:r>
            <w:r w:rsidRPr="00207748">
              <w:rPr>
                <w:rStyle w:val="Ohne"/>
                <w:rFonts w:ascii="Cambria" w:hAnsi="Cambria" w:cs="Arial"/>
                <w:b/>
                <w:bCs/>
                <w:sz w:val="20"/>
                <w:szCs w:val="20"/>
              </w:rPr>
              <w:t>nnen derzeit keine Empfehlung für oder gegen die Erm</w:t>
            </w:r>
            <w:r w:rsidRPr="00207748">
              <w:rPr>
                <w:rStyle w:val="Ohne"/>
                <w:rFonts w:ascii="Cambria" w:hAnsi="Cambria" w:cs="Arial"/>
                <w:b/>
                <w:bCs/>
                <w:sz w:val="20"/>
                <w:szCs w:val="20"/>
                <w:lang w:val="sv-SE"/>
              </w:rPr>
              <w:t>ö</w:t>
            </w:r>
            <w:r w:rsidRPr="00207748">
              <w:rPr>
                <w:rStyle w:val="Ohne"/>
                <w:rFonts w:ascii="Cambria" w:hAnsi="Cambria" w:cs="Arial"/>
                <w:b/>
                <w:bCs/>
                <w:sz w:val="20"/>
                <w:szCs w:val="20"/>
              </w:rPr>
              <w:t>glichung der Spontanatmung bei Patienten in der Frühphase (≤48h) eines schweren ARDS abgeben.</w:t>
            </w:r>
          </w:p>
        </w:tc>
      </w:tr>
      <w:tr w:rsidR="00E11869" w:rsidRPr="00207748" w14:paraId="2FACF188" w14:textId="77777777" w:rsidTr="00342FB3">
        <w:trPr>
          <w:trHeight w:val="56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6DCE165B"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CA5AF"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 xml:space="preserve">Adaptation </w:t>
            </w:r>
            <w:r w:rsidR="00B20D2B" w:rsidRPr="00207748">
              <w:rPr>
                <w:rStyle w:val="Ohne"/>
                <w:rFonts w:ascii="Cambria" w:hAnsi="Cambria" w:cs="Arial"/>
                <w:b/>
                <w:bCs/>
                <w:sz w:val="20"/>
                <w:szCs w:val="20"/>
              </w:rPr>
              <w:t xml:space="preserve">der </w:t>
            </w:r>
            <w:r w:rsidRPr="00207748">
              <w:rPr>
                <w:rStyle w:val="Ohne"/>
                <w:rFonts w:ascii="Cambria" w:hAnsi="Cambria" w:cs="Arial"/>
                <w:b/>
                <w:bCs/>
                <w:sz w:val="20"/>
                <w:szCs w:val="20"/>
              </w:rPr>
              <w:t xml:space="preserve">S3-Leitline Beatmung </w:t>
            </w:r>
          </w:p>
        </w:tc>
      </w:tr>
      <w:tr w:rsidR="00E11869" w:rsidRPr="00207748" w14:paraId="55478E40"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AC8C6"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509A7" w14:textId="77777777" w:rsidR="00E11869" w:rsidRPr="00207748" w:rsidRDefault="00447357" w:rsidP="004454B6">
            <w:pPr>
              <w:spacing w:after="0"/>
              <w:rPr>
                <w:rStyle w:val="Ohne"/>
                <w:rFonts w:ascii="Cambria" w:hAnsi="Cambria" w:cs="Arial"/>
                <w:sz w:val="20"/>
                <w:szCs w:val="20"/>
              </w:rPr>
            </w:pPr>
            <w:r w:rsidRPr="00207748">
              <w:rPr>
                <w:rStyle w:val="Ohne"/>
                <w:rFonts w:ascii="Cambria" w:hAnsi="Cambria" w:cs="Arial"/>
                <w:sz w:val="20"/>
                <w:szCs w:val="20"/>
              </w:rPr>
              <w:t>Konsensstärke: 100 %</w:t>
            </w:r>
          </w:p>
          <w:p w14:paraId="4C402E93" w14:textId="63F667E3" w:rsidR="00D4500F" w:rsidRPr="00207748" w:rsidRDefault="00D4500F" w:rsidP="004454B6">
            <w:pPr>
              <w:spacing w:after="0"/>
              <w:rPr>
                <w:rFonts w:ascii="Cambria" w:hAnsi="Cambria" w:cs="Arial"/>
                <w:sz w:val="20"/>
                <w:szCs w:val="20"/>
              </w:rPr>
            </w:pPr>
          </w:p>
        </w:tc>
      </w:tr>
    </w:tbl>
    <w:p w14:paraId="352906B7" w14:textId="5CADC992" w:rsidR="00E11869" w:rsidRPr="00207748" w:rsidRDefault="00420A45" w:rsidP="004454B6">
      <w:pPr>
        <w:spacing w:before="240" w:after="120"/>
        <w:rPr>
          <w:rStyle w:val="Ohne"/>
          <w:rFonts w:ascii="Cambria" w:hAnsi="Cambria" w:cs="Arial"/>
          <w:sz w:val="20"/>
          <w:szCs w:val="20"/>
        </w:rPr>
      </w:pPr>
      <w:r w:rsidRPr="00207748">
        <w:rPr>
          <w:rStyle w:val="Ohne"/>
          <w:rFonts w:ascii="Cambria" w:hAnsi="Cambria" w:cs="Arial"/>
          <w:b/>
          <w:bCs/>
          <w:sz w:val="20"/>
          <w:szCs w:val="20"/>
        </w:rPr>
        <w:t>Begründung:</w:t>
      </w:r>
      <w:r w:rsidR="00342FB3" w:rsidRPr="00207748">
        <w:rPr>
          <w:rStyle w:val="Ohne"/>
          <w:rFonts w:ascii="Cambria" w:hAnsi="Cambria" w:cs="Arial"/>
          <w:b/>
          <w:bCs/>
          <w:sz w:val="20"/>
          <w:szCs w:val="20"/>
        </w:rPr>
        <w:t xml:space="preserve"> </w:t>
      </w:r>
      <w:r w:rsidR="00447357" w:rsidRPr="00207748">
        <w:rPr>
          <w:rStyle w:val="Ohne"/>
          <w:rFonts w:ascii="Cambria" w:hAnsi="Cambria" w:cs="Arial"/>
          <w:sz w:val="20"/>
          <w:szCs w:val="20"/>
        </w:rPr>
        <w:t xml:space="preserve">Obwohl ein RCT </w:t>
      </w:r>
      <w:bookmarkStart w:id="438" w:name="_Ref30603185"/>
      <w:r w:rsidR="0093150A" w:rsidRPr="00207748">
        <w:rPr>
          <w:rStyle w:val="Endnotenzeichen"/>
          <w:rFonts w:ascii="Cambria" w:hAnsi="Cambria" w:cs="Arial"/>
          <w:sz w:val="20"/>
          <w:szCs w:val="20"/>
        </w:rPr>
        <w:endnoteReference w:id="426"/>
      </w:r>
      <w:bookmarkEnd w:id="438"/>
      <w:r w:rsidR="00447357" w:rsidRPr="00207748">
        <w:rPr>
          <w:rStyle w:val="Ohne"/>
          <w:rFonts w:ascii="Cambria" w:hAnsi="Cambria" w:cs="Arial"/>
          <w:sz w:val="20"/>
          <w:szCs w:val="20"/>
        </w:rPr>
        <w:t xml:space="preserve"> eine Reduktion der Hazard Ratio (HR) für die 90-Tage-Letalität, der 28-Tage-Letalität, der Inzidenz eines Pneumothorax und eine Zunahme der Anzahl an beatmungsfreien und organversagensfreien Tage durch die Gabe von hochdosiertem Cisatracurium in den ersten 48 h zeigte, kann die Blockade von Spontanatmung durch die Gabe von Muskelrelaxantien in der Frühphase des schweren ARDS nicht generell empfohlen werden. Dies ist begründet durch die methodologischen Mängel, die insbesondere die Teststärke (Power) aber auch Einschlusskriterien, eine nicht leitliniengerechte tiefe Analgosedierung in beiden Behandlungsgruppen, eine hochdosierte fixe Muskelrelaxation mit Cisatracurium ohne Train-of-Four-Überwachung und die Gabe von Cisatracurium in der Hälfte der Patienten in der Placebogruppe sowie eine nicht nachvollziehbare überhöhte Inzidenz eines Pneumothorax in der Placebogruppe betreffen</w:t>
      </w:r>
      <w:r w:rsidR="00730249" w:rsidRPr="00207748">
        <w:rPr>
          <w:rStyle w:val="Ohne"/>
          <w:rFonts w:ascii="Cambria" w:hAnsi="Cambria" w:cs="Arial"/>
          <w:sz w:val="20"/>
          <w:szCs w:val="20"/>
        </w:rPr>
        <w:t xml:space="preserve">. </w:t>
      </w:r>
      <w:bookmarkStart w:id="439" w:name="_Ref30602788"/>
      <w:r w:rsidR="00730249" w:rsidRPr="00207748">
        <w:rPr>
          <w:rStyle w:val="Endnotenzeichen"/>
          <w:rFonts w:ascii="Cambria" w:hAnsi="Cambria" w:cs="Arial"/>
          <w:sz w:val="20"/>
          <w:szCs w:val="20"/>
        </w:rPr>
        <w:endnoteReference w:id="427"/>
      </w:r>
      <w:bookmarkEnd w:id="439"/>
      <w:r w:rsidR="00730249" w:rsidRPr="00207748">
        <w:rPr>
          <w:rStyle w:val="Ohne"/>
          <w:rFonts w:ascii="Cambria" w:hAnsi="Cambria" w:cs="Arial"/>
          <w:sz w:val="20"/>
          <w:szCs w:val="20"/>
        </w:rPr>
        <w:t xml:space="preserve"> </w:t>
      </w:r>
      <w:r w:rsidR="00730249" w:rsidRPr="00207748">
        <w:rPr>
          <w:rStyle w:val="Endnotenzeichen"/>
          <w:rFonts w:ascii="Cambria" w:hAnsi="Cambria" w:cs="Arial"/>
          <w:sz w:val="20"/>
          <w:szCs w:val="20"/>
        </w:rPr>
        <w:endnoteReference w:id="428"/>
      </w:r>
      <w:r w:rsidR="00730249" w:rsidRPr="00207748">
        <w:rPr>
          <w:rStyle w:val="Ohne"/>
          <w:rFonts w:ascii="Cambria" w:hAnsi="Cambria" w:cs="Arial"/>
          <w:sz w:val="20"/>
          <w:szCs w:val="20"/>
        </w:rPr>
        <w:t xml:space="preserve"> </w:t>
      </w:r>
      <w:r w:rsidR="00447357" w:rsidRPr="00207748">
        <w:rPr>
          <w:rStyle w:val="Ohne"/>
          <w:rFonts w:ascii="Cambria" w:hAnsi="Cambria" w:cs="Arial"/>
          <w:sz w:val="20"/>
          <w:szCs w:val="20"/>
        </w:rPr>
        <w:t>Kritisch muss auch der Hinweis der S3-Leitlinie Analgesie, Sedierung und Delirmanagement in der Intensivmedizin</w:t>
      </w:r>
      <w:r w:rsidR="00730249" w:rsidRPr="00207748">
        <w:rPr>
          <w:rStyle w:val="Ohne"/>
          <w:rFonts w:ascii="Cambria" w:hAnsi="Cambria" w:cs="Arial"/>
          <w:sz w:val="20"/>
          <w:szCs w:val="20"/>
        </w:rPr>
        <w:t xml:space="preserve"> </w:t>
      </w:r>
      <w:r w:rsidR="006B2B71" w:rsidRPr="006B2B71">
        <w:rPr>
          <w:rStyle w:val="EndnoteRealZchn"/>
        </w:rPr>
        <w:fldChar w:fldCharType="begin"/>
      </w:r>
      <w:r w:rsidR="006B2B71" w:rsidRPr="006B2B71">
        <w:rPr>
          <w:rStyle w:val="EndnoteRealZchn"/>
        </w:rPr>
        <w:instrText xml:space="preserve"> NOTEREF _Ref30602788 \h </w:instrText>
      </w:r>
      <w:r w:rsidR="006B2B71">
        <w:rPr>
          <w:rStyle w:val="EndnoteRealZchn"/>
        </w:rPr>
        <w:instrText xml:space="preserve"> \* MERGEFORMAT </w:instrText>
      </w:r>
      <w:r w:rsidR="006B2B71" w:rsidRPr="006B2B71">
        <w:rPr>
          <w:rStyle w:val="EndnoteRealZchn"/>
        </w:rPr>
      </w:r>
      <w:r w:rsidR="006B2B71" w:rsidRPr="006B2B71">
        <w:rPr>
          <w:rStyle w:val="EndnoteRealZchn"/>
        </w:rPr>
        <w:fldChar w:fldCharType="separate"/>
      </w:r>
      <w:r w:rsidR="001A283B">
        <w:rPr>
          <w:rStyle w:val="EndnoteRealZchn"/>
        </w:rPr>
        <w:t>476</w:t>
      </w:r>
      <w:r w:rsidR="006B2B71" w:rsidRPr="006B2B71">
        <w:rPr>
          <w:rStyle w:val="EndnoteRealZchn"/>
        </w:rPr>
        <w:fldChar w:fldCharType="end"/>
      </w:r>
      <w:r w:rsidR="006B2B71">
        <w:t xml:space="preserve"> </w:t>
      </w:r>
      <w:r w:rsidR="00447357" w:rsidRPr="00207748">
        <w:rPr>
          <w:rStyle w:val="Ohne"/>
          <w:rFonts w:ascii="Cambria" w:hAnsi="Cambria" w:cs="Arial"/>
          <w:sz w:val="20"/>
          <w:szCs w:val="20"/>
        </w:rPr>
        <w:t xml:space="preserve">gewertet werden, dass die deutliche Übersedierung die Letalität in beiden </w:t>
      </w:r>
      <w:r w:rsidR="00447357" w:rsidRPr="00207748">
        <w:rPr>
          <w:rStyle w:val="Ohne"/>
          <w:rFonts w:ascii="Cambria" w:hAnsi="Cambria" w:cs="Arial"/>
          <w:sz w:val="20"/>
          <w:szCs w:val="20"/>
        </w:rPr>
        <w:lastRenderedPageBreak/>
        <w:t>Behandlungsgruppen negativ beeinflusst haben könnte</w:t>
      </w:r>
      <w:r w:rsidR="00730249" w:rsidRPr="00207748">
        <w:rPr>
          <w:rStyle w:val="Ohne"/>
          <w:rFonts w:ascii="Cambria" w:hAnsi="Cambria" w:cs="Arial"/>
          <w:sz w:val="20"/>
          <w:szCs w:val="20"/>
        </w:rPr>
        <w:t>.</w:t>
      </w:r>
      <w:r w:rsidR="00447357" w:rsidRPr="00207748">
        <w:rPr>
          <w:rStyle w:val="Ohne"/>
          <w:rFonts w:ascii="Cambria" w:hAnsi="Cambria" w:cs="Arial"/>
          <w:sz w:val="20"/>
          <w:szCs w:val="20"/>
        </w:rPr>
        <w:t xml:space="preserve"> </w:t>
      </w:r>
      <w:bookmarkStart w:id="440" w:name="_Ref30603250"/>
      <w:r w:rsidR="00730249" w:rsidRPr="00207748">
        <w:rPr>
          <w:rStyle w:val="Endnotenzeichen"/>
          <w:rFonts w:ascii="Cambria" w:hAnsi="Cambria" w:cs="Arial"/>
          <w:sz w:val="20"/>
          <w:szCs w:val="20"/>
        </w:rPr>
        <w:endnoteReference w:id="429"/>
      </w:r>
      <w:bookmarkEnd w:id="440"/>
      <w:r w:rsidR="00730249" w:rsidRPr="00207748">
        <w:rPr>
          <w:rStyle w:val="Ohne"/>
          <w:rFonts w:ascii="Cambria" w:hAnsi="Cambria" w:cs="Arial"/>
          <w:sz w:val="20"/>
          <w:szCs w:val="20"/>
        </w:rPr>
        <w:t xml:space="preserve"> </w:t>
      </w:r>
      <w:r w:rsidR="00730249" w:rsidRPr="00207748">
        <w:rPr>
          <w:rStyle w:val="Endnotenzeichen"/>
          <w:rFonts w:ascii="Cambria" w:hAnsi="Cambria" w:cs="Arial"/>
          <w:sz w:val="20"/>
          <w:szCs w:val="20"/>
        </w:rPr>
        <w:endnoteReference w:id="430"/>
      </w:r>
      <w:r w:rsidR="00447357" w:rsidRPr="00207748">
        <w:rPr>
          <w:rStyle w:val="Ohne"/>
          <w:rFonts w:ascii="Cambria" w:hAnsi="Cambria" w:cs="Arial"/>
          <w:sz w:val="20"/>
          <w:szCs w:val="20"/>
        </w:rPr>
        <w:t xml:space="preserve"> Zentral ist zu betonen, dass im vo</w:t>
      </w:r>
      <w:r w:rsidR="00264D62" w:rsidRPr="00207748">
        <w:rPr>
          <w:rStyle w:val="Ohne"/>
          <w:rFonts w:ascii="Cambria" w:hAnsi="Cambria" w:cs="Arial"/>
          <w:sz w:val="20"/>
          <w:szCs w:val="20"/>
        </w:rPr>
        <w:t>rliegenden RCT</w:t>
      </w:r>
      <w:r w:rsidR="00447357" w:rsidRPr="00207748">
        <w:rPr>
          <w:rStyle w:val="Ohne"/>
          <w:rFonts w:ascii="Cambria" w:hAnsi="Cambria" w:cs="Arial"/>
          <w:sz w:val="20"/>
          <w:szCs w:val="20"/>
        </w:rPr>
        <w:t xml:space="preserve"> in beiden Untersuchungsgruppen kein relevanter Spontanatmungsanteil bei den Patienten vorlag und somit das RCT neutral zu der gestellten Frage ist. Im Gegensatz zur vorliegenden RCT </w:t>
      </w:r>
      <w:r w:rsidR="006B2B71" w:rsidRPr="006B2B71">
        <w:rPr>
          <w:rStyle w:val="EndnoteRealZchn"/>
        </w:rPr>
        <w:fldChar w:fldCharType="begin"/>
      </w:r>
      <w:r w:rsidR="006B2B71" w:rsidRPr="006B2B71">
        <w:rPr>
          <w:rStyle w:val="EndnoteRealZchn"/>
        </w:rPr>
        <w:instrText xml:space="preserve"> NOTEREF _Ref30603185 \h </w:instrText>
      </w:r>
      <w:r w:rsidR="006B2B71">
        <w:rPr>
          <w:rStyle w:val="EndnoteRealZchn"/>
        </w:rPr>
        <w:instrText xml:space="preserve"> \* MERGEFORMAT </w:instrText>
      </w:r>
      <w:r w:rsidR="006B2B71" w:rsidRPr="006B2B71">
        <w:rPr>
          <w:rStyle w:val="EndnoteRealZchn"/>
        </w:rPr>
      </w:r>
      <w:r w:rsidR="006B2B71" w:rsidRPr="006B2B71">
        <w:rPr>
          <w:rStyle w:val="EndnoteRealZchn"/>
        </w:rPr>
        <w:fldChar w:fldCharType="separate"/>
      </w:r>
      <w:r w:rsidR="001A283B">
        <w:rPr>
          <w:rStyle w:val="EndnoteRealZchn"/>
        </w:rPr>
        <w:t>475</w:t>
      </w:r>
      <w:r w:rsidR="006B2B71" w:rsidRPr="006B2B71">
        <w:rPr>
          <w:rStyle w:val="EndnoteRealZchn"/>
        </w:rPr>
        <w:fldChar w:fldCharType="end"/>
      </w:r>
      <w:r w:rsidR="006B2B71">
        <w:t xml:space="preserve"> </w:t>
      </w:r>
      <w:r w:rsidR="00447357" w:rsidRPr="00207748">
        <w:rPr>
          <w:rStyle w:val="Ohne"/>
          <w:rFonts w:ascii="Cambria" w:hAnsi="Cambria" w:cs="Arial"/>
          <w:sz w:val="20"/>
          <w:szCs w:val="20"/>
        </w:rPr>
        <w:t>weist eine andere Studie nach kompletter Zwerchfellinaktivität von 18 bis 69 h eine ausgeprägte Zwerchfellatrophie mit nachfolgender Zwerchfelldysfunktion und erschwerten Entwöhnung von der Beatmung nach.</w:t>
      </w:r>
      <w:r w:rsidR="00730249" w:rsidRPr="00207748">
        <w:rPr>
          <w:rStyle w:val="Endnotenzeichen"/>
          <w:rFonts w:ascii="Cambria" w:hAnsi="Cambria" w:cs="Arial"/>
          <w:sz w:val="20"/>
          <w:szCs w:val="20"/>
        </w:rPr>
        <w:endnoteReference w:id="431"/>
      </w:r>
      <w:r w:rsidR="00447357" w:rsidRPr="00207748">
        <w:rPr>
          <w:rStyle w:val="Ohne"/>
          <w:rFonts w:ascii="Cambria" w:hAnsi="Cambria" w:cs="Arial"/>
          <w:sz w:val="20"/>
          <w:szCs w:val="20"/>
        </w:rPr>
        <w:t xml:space="preserve"> Andererseits erlauben Studien zur Spontanatmung mit APRV/BIPAP an Patienten mit leichtem und moderatem ARDS (PaO</w:t>
      </w:r>
      <w:r w:rsidR="00447357" w:rsidRPr="00207748">
        <w:rPr>
          <w:rStyle w:val="Ohne"/>
          <w:rFonts w:ascii="Cambria" w:hAnsi="Cambria" w:cs="Arial"/>
          <w:sz w:val="20"/>
          <w:szCs w:val="20"/>
          <w:vertAlign w:val="subscript"/>
        </w:rPr>
        <w:t>2</w:t>
      </w:r>
      <w:r w:rsidR="00447357" w:rsidRPr="00207748">
        <w:rPr>
          <w:rStyle w:val="Ohne"/>
          <w:rFonts w:ascii="Cambria" w:hAnsi="Cambria" w:cs="Arial"/>
          <w:sz w:val="20"/>
          <w:szCs w:val="20"/>
        </w:rPr>
        <w:t>/FIO</w:t>
      </w:r>
      <w:r w:rsidR="00447357" w:rsidRPr="00207748">
        <w:rPr>
          <w:rStyle w:val="Ohne"/>
          <w:rFonts w:ascii="Cambria" w:hAnsi="Cambria" w:cs="Arial"/>
          <w:sz w:val="20"/>
          <w:szCs w:val="20"/>
          <w:vertAlign w:val="subscript"/>
        </w:rPr>
        <w:t>2</w:t>
      </w:r>
      <w:r w:rsidR="00447357" w:rsidRPr="00207748">
        <w:rPr>
          <w:rStyle w:val="Ohne"/>
          <w:rFonts w:ascii="Cambria" w:hAnsi="Cambria" w:cs="Arial"/>
          <w:sz w:val="20"/>
          <w:szCs w:val="20"/>
        </w:rPr>
        <w:t xml:space="preserve"> ≥ 100) </w:t>
      </w:r>
      <w:r w:rsidR="00730249" w:rsidRPr="00207748">
        <w:rPr>
          <w:rStyle w:val="Endnotenzeichen"/>
          <w:rFonts w:ascii="Cambria" w:hAnsi="Cambria" w:cs="Arial"/>
          <w:sz w:val="20"/>
          <w:szCs w:val="20"/>
        </w:rPr>
        <w:endnoteReference w:id="432"/>
      </w:r>
      <w:r w:rsidR="00447357" w:rsidRPr="00207748">
        <w:rPr>
          <w:rStyle w:val="Ohne"/>
          <w:rFonts w:ascii="Cambria" w:hAnsi="Cambria" w:cs="Arial"/>
          <w:sz w:val="20"/>
          <w:szCs w:val="20"/>
        </w:rPr>
        <w:t xml:space="preserve"> oder retrospektive Beobachtungsstudien keine Aussage, dass eine erhaltene Spontanatmung hinsichtlich des VALI unbedenklich bei schwerem ARDS (PaO</w:t>
      </w:r>
      <w:r w:rsidR="00447357" w:rsidRPr="00207748">
        <w:rPr>
          <w:rStyle w:val="Ohne"/>
          <w:rFonts w:ascii="Cambria" w:hAnsi="Cambria" w:cs="Arial"/>
          <w:sz w:val="20"/>
          <w:szCs w:val="20"/>
          <w:vertAlign w:val="subscript"/>
        </w:rPr>
        <w:t>2</w:t>
      </w:r>
      <w:r w:rsidR="00447357" w:rsidRPr="00207748">
        <w:rPr>
          <w:rStyle w:val="Ohne"/>
          <w:rFonts w:ascii="Cambria" w:hAnsi="Cambria" w:cs="Arial"/>
          <w:sz w:val="20"/>
          <w:szCs w:val="20"/>
        </w:rPr>
        <w:t>/FIO</w:t>
      </w:r>
      <w:r w:rsidR="00447357" w:rsidRPr="00207748">
        <w:rPr>
          <w:rStyle w:val="Ohne"/>
          <w:rFonts w:ascii="Cambria" w:hAnsi="Cambria" w:cs="Arial"/>
          <w:sz w:val="20"/>
          <w:szCs w:val="20"/>
          <w:vertAlign w:val="subscript"/>
        </w:rPr>
        <w:t>2</w:t>
      </w:r>
      <w:r w:rsidR="00537477">
        <w:rPr>
          <w:rStyle w:val="Ohne"/>
          <w:rFonts w:ascii="Cambria" w:hAnsi="Cambria" w:cs="Arial"/>
          <w:sz w:val="20"/>
          <w:szCs w:val="20"/>
        </w:rPr>
        <w:t xml:space="preserve"> &lt; 100) ist Ein</w:t>
      </w:r>
      <w:r w:rsidR="00447357" w:rsidRPr="00207748">
        <w:rPr>
          <w:rStyle w:val="Ohne"/>
          <w:rFonts w:ascii="Cambria" w:hAnsi="Cambria" w:cs="Arial"/>
          <w:sz w:val="20"/>
          <w:szCs w:val="20"/>
        </w:rPr>
        <w:t xml:space="preserve"> neuere</w:t>
      </w:r>
      <w:r w:rsidR="00537477">
        <w:rPr>
          <w:rStyle w:val="Ohne"/>
          <w:rFonts w:ascii="Cambria" w:hAnsi="Cambria" w:cs="Arial"/>
          <w:sz w:val="20"/>
          <w:szCs w:val="20"/>
        </w:rPr>
        <w:t>s</w:t>
      </w:r>
      <w:r w:rsidR="00447357" w:rsidRPr="00207748">
        <w:rPr>
          <w:rStyle w:val="Ohne"/>
          <w:rFonts w:ascii="Cambria" w:hAnsi="Cambria" w:cs="Arial"/>
          <w:sz w:val="20"/>
          <w:szCs w:val="20"/>
        </w:rPr>
        <w:t xml:space="preserve"> RCT an 138 Patienten mit moderatem und schwerem ARDS (PaO2/FIO2 mm Hg 122±47) zeigte eine kürzere Beatmungs- und ITS-Verweildauer mit erhaltener Spontanatmung</w:t>
      </w:r>
      <w:r w:rsidR="006B2B71">
        <w:rPr>
          <w:rStyle w:val="Ohne"/>
          <w:rFonts w:ascii="Cambria" w:hAnsi="Cambria" w:cs="Arial"/>
          <w:sz w:val="20"/>
          <w:szCs w:val="20"/>
        </w:rPr>
        <w:t xml:space="preserve"> </w:t>
      </w:r>
      <w:bookmarkStart w:id="441" w:name="_Ref30603322"/>
      <w:r w:rsidR="00447357" w:rsidRPr="006B2B71">
        <w:rPr>
          <w:rStyle w:val="EndnoteRealZchn"/>
        </w:rPr>
        <w:endnoteReference w:id="433"/>
      </w:r>
      <w:bookmarkEnd w:id="441"/>
      <w:r w:rsidR="00447357" w:rsidRPr="00207748">
        <w:rPr>
          <w:rStyle w:val="Ohne"/>
          <w:rFonts w:ascii="Cambria" w:hAnsi="Cambria" w:cs="Arial"/>
          <w:sz w:val="20"/>
          <w:szCs w:val="20"/>
        </w:rPr>
        <w:t xml:space="preserve">. Zudem war </w:t>
      </w:r>
      <w:r w:rsidR="00342FB3" w:rsidRPr="00207748">
        <w:rPr>
          <w:rStyle w:val="Ohne"/>
          <w:rFonts w:ascii="Cambria" w:hAnsi="Cambria" w:cs="Arial"/>
          <w:sz w:val="20"/>
          <w:szCs w:val="20"/>
        </w:rPr>
        <w:t>die Sterblichkeitsrate</w:t>
      </w:r>
      <w:r w:rsidR="00447357" w:rsidRPr="00207748">
        <w:rPr>
          <w:rStyle w:val="Ohne"/>
          <w:rFonts w:ascii="Cambria" w:hAnsi="Cambria" w:cs="Arial"/>
          <w:sz w:val="20"/>
          <w:szCs w:val="20"/>
        </w:rPr>
        <w:t xml:space="preserve"> auf der ITS mit früher Spontanatmung zwar nicht signifikant geringer (19,7 % versus 34,3 %; P = 0.053) aber assoziiert mit einer Verbesserung der arteriellen Oxygenierung, der respiratrischen Compliance und einem niedrigeren PEI sowie einem geringeren Bedarf an Analgosedierung (P &lt; 0.05).</w:t>
      </w:r>
    </w:p>
    <w:p w14:paraId="01F36FAE" w14:textId="0F36999A" w:rsidR="00E11869" w:rsidRPr="00207748" w:rsidRDefault="00447357" w:rsidP="004454B6">
      <w:pPr>
        <w:rPr>
          <w:rStyle w:val="Ohne"/>
          <w:rFonts w:ascii="Cambria" w:eastAsia="Arial" w:hAnsi="Cambria" w:cs="Arial"/>
          <w:sz w:val="20"/>
          <w:szCs w:val="20"/>
        </w:rPr>
      </w:pPr>
      <w:r w:rsidRPr="00207748">
        <w:rPr>
          <w:rStyle w:val="Ohne"/>
          <w:rFonts w:ascii="Cambria" w:hAnsi="Cambria" w:cs="Arial"/>
          <w:sz w:val="20"/>
          <w:szCs w:val="20"/>
        </w:rPr>
        <w:t>Daher ist derzeit aus Sicht der LL-Gruppe unklar, ob die Ermöglichung von Spontanatmung oder eine hochdosierte Gabe von Muskelrelaxantien in den initialen 48 h für Patienten mit schwerem ARDS mehr Nutzen oder mehr Risiko bzw. Schaden bedeutet. Somit kann zu dieser Frage aktuell keine Empfehlung abgegeben werden. Bei Patienten, bei denen aufgrund der Grunderkrankung eine Spontanatmung vermieden werden soll (z.B. erhöhter intrakranieller Druck, Rechtsherzversagen, etc.) ist daher Nutzen und Risiko der Blockade von Spontanatmung durch Einsatz einer Muskelrelaxation individuell zu bewerten. Die S3-Leitlinie Analgesie, Sedierung und Delirmanagement in der Intensivmedizin</w:t>
      </w:r>
      <w:r w:rsidR="00730249" w:rsidRPr="00207748">
        <w:rPr>
          <w:rStyle w:val="Ohne"/>
          <w:rFonts w:ascii="Cambria" w:hAnsi="Cambria" w:cs="Arial"/>
          <w:sz w:val="20"/>
          <w:szCs w:val="20"/>
        </w:rPr>
        <w:t xml:space="preserve"> </w:t>
      </w:r>
      <w:r w:rsidR="006B2B71" w:rsidRPr="006B2B71">
        <w:rPr>
          <w:rStyle w:val="EndnoteRealZchn"/>
        </w:rPr>
        <w:fldChar w:fldCharType="begin"/>
      </w:r>
      <w:r w:rsidR="006B2B71" w:rsidRPr="006B2B71">
        <w:rPr>
          <w:rStyle w:val="EndnoteRealZchn"/>
        </w:rPr>
        <w:instrText xml:space="preserve"> NOTEREF _Ref30602788 \h </w:instrText>
      </w:r>
      <w:r w:rsidR="006B2B71">
        <w:rPr>
          <w:rStyle w:val="EndnoteRealZchn"/>
        </w:rPr>
        <w:instrText xml:space="preserve"> \* MERGEFORMAT </w:instrText>
      </w:r>
      <w:r w:rsidR="006B2B71" w:rsidRPr="006B2B71">
        <w:rPr>
          <w:rStyle w:val="EndnoteRealZchn"/>
        </w:rPr>
      </w:r>
      <w:r w:rsidR="006B2B71" w:rsidRPr="006B2B71">
        <w:rPr>
          <w:rStyle w:val="EndnoteRealZchn"/>
        </w:rPr>
        <w:fldChar w:fldCharType="separate"/>
      </w:r>
      <w:r w:rsidR="001A283B">
        <w:rPr>
          <w:rStyle w:val="EndnoteRealZchn"/>
        </w:rPr>
        <w:t>476</w:t>
      </w:r>
      <w:r w:rsidR="006B2B71" w:rsidRPr="006B2B71">
        <w:rPr>
          <w:rStyle w:val="EndnoteRealZchn"/>
        </w:rPr>
        <w:fldChar w:fldCharType="end"/>
      </w:r>
      <w:r w:rsidR="006B2B71">
        <w:t xml:space="preserve"> </w:t>
      </w:r>
      <w:r w:rsidRPr="00207748">
        <w:rPr>
          <w:rStyle w:val="Ohne"/>
          <w:rFonts w:ascii="Cambria" w:hAnsi="Cambria" w:cs="Arial"/>
          <w:sz w:val="20"/>
          <w:szCs w:val="20"/>
        </w:rPr>
        <w:t xml:space="preserve">empfiehlt die Muskelrelaxation zurückhaltend </w:t>
      </w:r>
      <w:r w:rsidRPr="00207748">
        <w:rPr>
          <w:rStyle w:val="Ohne"/>
          <w:rFonts w:ascii="Cambria" w:hAnsi="Cambria" w:cs="Arial"/>
          <w:sz w:val="20"/>
          <w:szCs w:val="20"/>
        </w:rPr>
        <w:lastRenderedPageBreak/>
        <w:t>zu indizieren, auf den kürzest möglichen Zeitraum zu beschränken und mit einem adäquaten Monitoring der Relaxierungstiefe als auch des Sedierungs- und Analgesiegrades zu begleiten. Dazu wird nochmals im Unterkapitel 5.1 Stellung genommen.</w:t>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02"/>
        <w:gridCol w:w="850"/>
      </w:tblGrid>
      <w:tr w:rsidR="00E11869" w:rsidRPr="00207748" w14:paraId="77A1930F"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7310077A" w14:textId="77777777" w:rsidR="00E11869" w:rsidRPr="00207748" w:rsidRDefault="00447357" w:rsidP="004454B6">
            <w:pPr>
              <w:rPr>
                <w:rStyle w:val="Ohne"/>
                <w:rFonts w:ascii="Cambria" w:hAnsi="Cambria"/>
                <w:b/>
                <w:bCs/>
                <w:sz w:val="20"/>
                <w:szCs w:val="20"/>
              </w:rPr>
            </w:pPr>
            <w:r w:rsidRPr="00207748">
              <w:rPr>
                <w:rStyle w:val="Ohne"/>
                <w:rFonts w:ascii="Cambria" w:hAnsi="Cambria" w:cs="Arial"/>
                <w:b/>
                <w:bCs/>
                <w:sz w:val="20"/>
                <w:szCs w:val="20"/>
              </w:rPr>
              <w:t>M.16</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48FBC60A"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7DE93BA1"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7865F428" w14:textId="77777777" w:rsidTr="00334AF5">
        <w:trPr>
          <w:trHeight w:val="2456"/>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3A528"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Empfehlungsgrad</w:t>
            </w:r>
          </w:p>
          <w:p w14:paraId="1733A901" w14:textId="77777777" w:rsidR="00E11869" w:rsidRPr="00207748" w:rsidRDefault="00E11869" w:rsidP="004454B6">
            <w:pPr>
              <w:spacing w:after="0"/>
              <w:rPr>
                <w:rStyle w:val="Ohne"/>
                <w:rFonts w:ascii="Cambria" w:eastAsia="Arial" w:hAnsi="Cambria" w:cs="Arial"/>
                <w:sz w:val="20"/>
                <w:szCs w:val="20"/>
              </w:rPr>
            </w:pPr>
          </w:p>
          <w:p w14:paraId="33E74B0E" w14:textId="77777777" w:rsidR="00E11869" w:rsidRPr="00207748" w:rsidRDefault="00447357" w:rsidP="004454B6">
            <w:pPr>
              <w:spacing w:after="0"/>
              <w:rPr>
                <w:rStyle w:val="Ohne"/>
                <w:rFonts w:ascii="Cambria" w:eastAsia="Arial" w:hAnsi="Cambria" w:cs="Arial"/>
                <w:b/>
                <w:bCs/>
                <w:sz w:val="20"/>
                <w:szCs w:val="20"/>
              </w:rPr>
            </w:pPr>
            <w:r w:rsidRPr="00207748">
              <w:rPr>
                <w:rStyle w:val="Ohne"/>
                <w:rFonts w:ascii="Cambria" w:hAnsi="Cambria" w:cs="Arial"/>
                <w:b/>
                <w:bCs/>
                <w:sz w:val="20"/>
                <w:szCs w:val="20"/>
              </w:rPr>
              <w:t>moderat</w:t>
            </w:r>
          </w:p>
          <w:p w14:paraId="4B371AB2" w14:textId="77777777" w:rsidR="00E11869" w:rsidRPr="00207748" w:rsidRDefault="00E11869" w:rsidP="004454B6">
            <w:pPr>
              <w:spacing w:after="0"/>
              <w:rPr>
                <w:rStyle w:val="Ohne"/>
                <w:rFonts w:ascii="Cambria" w:eastAsia="Arial" w:hAnsi="Cambria" w:cs="Arial"/>
                <w:sz w:val="20"/>
                <w:szCs w:val="20"/>
              </w:rPr>
            </w:pPr>
          </w:p>
          <w:p w14:paraId="1C080ADD"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Evidenzgrad</w:t>
            </w:r>
          </w:p>
          <w:p w14:paraId="7B957ED9" w14:textId="77777777" w:rsidR="00E11869" w:rsidRPr="00207748" w:rsidRDefault="00E11869" w:rsidP="004454B6">
            <w:pPr>
              <w:spacing w:after="0"/>
              <w:rPr>
                <w:rStyle w:val="Ohne"/>
                <w:rFonts w:ascii="Cambria" w:eastAsia="Arial" w:hAnsi="Cambria" w:cs="Arial"/>
                <w:sz w:val="20"/>
                <w:szCs w:val="20"/>
              </w:rPr>
            </w:pPr>
          </w:p>
          <w:p w14:paraId="31303E5F"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niedrig</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59FF3"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Wir schlagen vor, frühzeitig (innerhalb der ersten 48</w:t>
            </w:r>
            <w:r w:rsidR="00E873A9" w:rsidRPr="00207748">
              <w:rPr>
                <w:rStyle w:val="Ohne"/>
                <w:rFonts w:ascii="Cambria" w:hAnsi="Cambria" w:cs="Arial"/>
                <w:b/>
                <w:bCs/>
                <w:sz w:val="20"/>
                <w:szCs w:val="20"/>
              </w:rPr>
              <w:t xml:space="preserve"> Stunden</w:t>
            </w:r>
            <w:r w:rsidRPr="00207748">
              <w:rPr>
                <w:rStyle w:val="Ohne"/>
                <w:rFonts w:ascii="Cambria" w:hAnsi="Cambria" w:cs="Arial"/>
                <w:b/>
                <w:bCs/>
                <w:sz w:val="20"/>
                <w:szCs w:val="20"/>
              </w:rPr>
              <w:t xml:space="preserve"> nach Intubation) eine unterstützende Beatmung zur Erm</w:t>
            </w:r>
            <w:r w:rsidRPr="00207748">
              <w:rPr>
                <w:rStyle w:val="Ohne"/>
                <w:rFonts w:ascii="Cambria" w:hAnsi="Cambria" w:cs="Arial"/>
                <w:b/>
                <w:bCs/>
                <w:sz w:val="20"/>
                <w:szCs w:val="20"/>
                <w:lang w:val="sv-SE"/>
              </w:rPr>
              <w:t>ö</w:t>
            </w:r>
            <w:r w:rsidRPr="00207748">
              <w:rPr>
                <w:rStyle w:val="Ohne"/>
                <w:rFonts w:ascii="Cambria" w:hAnsi="Cambria" w:cs="Arial"/>
                <w:b/>
                <w:bCs/>
                <w:sz w:val="20"/>
                <w:szCs w:val="20"/>
              </w:rPr>
              <w:t>glichung von Spontanatmung mit Ausnahme des schweren ARDS einzusetzen.</w:t>
            </w:r>
          </w:p>
        </w:tc>
      </w:tr>
      <w:tr w:rsidR="00E11869" w:rsidRPr="00207748" w14:paraId="690C6BD4" w14:textId="77777777" w:rsidTr="00342FB3">
        <w:trPr>
          <w:trHeight w:val="56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7A549C49"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CA32B"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Adaptation</w:t>
            </w:r>
            <w:r w:rsidR="00B20D2B" w:rsidRPr="00207748">
              <w:rPr>
                <w:rStyle w:val="Ohne"/>
                <w:rFonts w:ascii="Cambria" w:hAnsi="Cambria" w:cs="Arial"/>
                <w:b/>
                <w:bCs/>
                <w:sz w:val="20"/>
                <w:szCs w:val="20"/>
              </w:rPr>
              <w:t xml:space="preserve"> der</w:t>
            </w:r>
            <w:r w:rsidRPr="00207748">
              <w:rPr>
                <w:rStyle w:val="Ohne"/>
                <w:rFonts w:ascii="Cambria" w:hAnsi="Cambria" w:cs="Arial"/>
                <w:b/>
                <w:bCs/>
                <w:sz w:val="20"/>
                <w:szCs w:val="20"/>
              </w:rPr>
              <w:t xml:space="preserve"> S3-Leitline Beatmung </w:t>
            </w:r>
          </w:p>
        </w:tc>
      </w:tr>
      <w:tr w:rsidR="00E11869" w:rsidRPr="00207748" w14:paraId="340A3999"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1A199"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12E8B" w14:textId="77777777" w:rsidR="00E11869" w:rsidRPr="00207748" w:rsidRDefault="00447357" w:rsidP="004454B6">
            <w:pPr>
              <w:spacing w:after="0"/>
              <w:rPr>
                <w:rStyle w:val="Ohne"/>
                <w:rFonts w:ascii="Cambria" w:hAnsi="Cambria" w:cs="Arial"/>
                <w:sz w:val="20"/>
                <w:szCs w:val="20"/>
              </w:rPr>
            </w:pPr>
            <w:r w:rsidRPr="00207748">
              <w:rPr>
                <w:rStyle w:val="Ohne"/>
                <w:rFonts w:ascii="Cambria" w:hAnsi="Cambria" w:cs="Arial"/>
                <w:sz w:val="20"/>
                <w:szCs w:val="20"/>
              </w:rPr>
              <w:t>Konsensstärke: 100 %</w:t>
            </w:r>
          </w:p>
          <w:p w14:paraId="54935AAB" w14:textId="048603B9" w:rsidR="00D4500F" w:rsidRPr="00207748" w:rsidRDefault="00D4500F" w:rsidP="004454B6">
            <w:pPr>
              <w:spacing w:after="0"/>
              <w:rPr>
                <w:rFonts w:ascii="Cambria" w:hAnsi="Cambria" w:cs="Arial"/>
                <w:sz w:val="20"/>
                <w:szCs w:val="20"/>
              </w:rPr>
            </w:pPr>
          </w:p>
        </w:tc>
      </w:tr>
    </w:tbl>
    <w:p w14:paraId="07507681" w14:textId="44D33099" w:rsidR="00E11869" w:rsidRPr="00207748" w:rsidRDefault="00420A45" w:rsidP="004454B6">
      <w:pPr>
        <w:spacing w:before="240"/>
        <w:rPr>
          <w:rStyle w:val="Ohne"/>
          <w:rFonts w:ascii="Cambria" w:hAnsi="Cambria" w:cs="Arial"/>
          <w:sz w:val="20"/>
          <w:szCs w:val="20"/>
        </w:rPr>
      </w:pPr>
      <w:r w:rsidRPr="00207748">
        <w:rPr>
          <w:rStyle w:val="Ohne"/>
          <w:rFonts w:ascii="Cambria" w:hAnsi="Cambria" w:cs="Arial"/>
          <w:b/>
          <w:bCs/>
          <w:sz w:val="20"/>
          <w:szCs w:val="20"/>
        </w:rPr>
        <w:t>Begründung:</w:t>
      </w:r>
      <w:r w:rsidR="00342FB3" w:rsidRPr="00207748">
        <w:rPr>
          <w:rStyle w:val="Ohne"/>
          <w:rFonts w:ascii="Cambria" w:eastAsia="Arial" w:hAnsi="Cambria" w:cs="Arial"/>
          <w:sz w:val="20"/>
          <w:szCs w:val="20"/>
        </w:rPr>
        <w:t xml:space="preserve"> </w:t>
      </w:r>
      <w:r w:rsidR="00447357" w:rsidRPr="00207748">
        <w:rPr>
          <w:rStyle w:val="Ohne"/>
          <w:rFonts w:ascii="Cambria" w:hAnsi="Cambria" w:cs="Arial"/>
          <w:sz w:val="20"/>
          <w:szCs w:val="20"/>
        </w:rPr>
        <w:t xml:space="preserve">In RCTs mit Patienten mit mildem und moderatem ARDS </w:t>
      </w:r>
      <w:r w:rsidR="006B2B71" w:rsidRPr="006B2B71">
        <w:rPr>
          <w:rStyle w:val="EndnoteZchn"/>
          <w:sz w:val="20"/>
          <w:szCs w:val="20"/>
        </w:rPr>
        <w:fldChar w:fldCharType="begin"/>
      </w:r>
      <w:r w:rsidR="006B2B71" w:rsidRPr="006B2B71">
        <w:rPr>
          <w:rStyle w:val="EndnoteZchn"/>
          <w:sz w:val="20"/>
          <w:szCs w:val="20"/>
        </w:rPr>
        <w:instrText xml:space="preserve"> NOTEREF _Ref30603250 \h  \* MERGEFORMAT </w:instrText>
      </w:r>
      <w:r w:rsidR="006B2B71" w:rsidRPr="006B2B71">
        <w:rPr>
          <w:rStyle w:val="EndnoteZchn"/>
          <w:sz w:val="20"/>
          <w:szCs w:val="20"/>
        </w:rPr>
      </w:r>
      <w:r w:rsidR="006B2B71" w:rsidRPr="006B2B71">
        <w:rPr>
          <w:rStyle w:val="EndnoteZchn"/>
          <w:sz w:val="20"/>
          <w:szCs w:val="20"/>
        </w:rPr>
        <w:fldChar w:fldCharType="separate"/>
      </w:r>
      <w:r w:rsidR="001A283B">
        <w:rPr>
          <w:rStyle w:val="EndnoteZchn"/>
          <w:sz w:val="20"/>
          <w:szCs w:val="20"/>
        </w:rPr>
        <w:t>478</w:t>
      </w:r>
      <w:r w:rsidR="006B2B71" w:rsidRPr="006B2B71">
        <w:rPr>
          <w:rStyle w:val="EndnoteZchn"/>
          <w:sz w:val="20"/>
          <w:szCs w:val="20"/>
        </w:rPr>
        <w:fldChar w:fldCharType="end"/>
      </w:r>
      <w:r w:rsidR="00730249" w:rsidRPr="00207748">
        <w:rPr>
          <w:rStyle w:val="Ohne"/>
          <w:rFonts w:ascii="Cambria" w:hAnsi="Cambria" w:cs="Arial"/>
          <w:sz w:val="20"/>
          <w:szCs w:val="20"/>
        </w:rPr>
        <w:t xml:space="preserve"> </w:t>
      </w:r>
      <w:r w:rsidR="00730249" w:rsidRPr="00207748">
        <w:rPr>
          <w:rStyle w:val="Endnotenzeichen"/>
          <w:rFonts w:ascii="Cambria" w:hAnsi="Cambria" w:cs="Arial"/>
          <w:sz w:val="20"/>
          <w:szCs w:val="20"/>
        </w:rPr>
        <w:endnoteReference w:id="434"/>
      </w:r>
      <w:r w:rsidR="00447357" w:rsidRPr="00207748">
        <w:rPr>
          <w:rStyle w:val="Ohne"/>
          <w:rFonts w:ascii="Cambria" w:hAnsi="Cambria" w:cs="Arial"/>
          <w:sz w:val="20"/>
          <w:szCs w:val="20"/>
        </w:rPr>
        <w:t xml:space="preserve"> als auch bei Patienten mit akutem respiratorischen Versagen</w:t>
      </w:r>
      <w:r w:rsidR="00303768" w:rsidRPr="00207748">
        <w:rPr>
          <w:rStyle w:val="Ohne"/>
          <w:rFonts w:ascii="Cambria" w:hAnsi="Cambria" w:cs="Arial"/>
          <w:sz w:val="20"/>
          <w:szCs w:val="20"/>
        </w:rPr>
        <w:t xml:space="preserve"> </w:t>
      </w:r>
      <w:r w:rsidR="00303768" w:rsidRPr="00207748">
        <w:rPr>
          <w:rStyle w:val="Endnotenzeichen"/>
          <w:rFonts w:ascii="Cambria" w:hAnsi="Cambria" w:cs="Arial"/>
          <w:sz w:val="20"/>
          <w:szCs w:val="20"/>
        </w:rPr>
        <w:endnoteReference w:id="435"/>
      </w:r>
      <w:r w:rsidR="00447357" w:rsidRPr="00207748">
        <w:rPr>
          <w:rStyle w:val="Ohne"/>
          <w:rFonts w:ascii="Cambria" w:hAnsi="Cambria" w:cs="Arial"/>
          <w:sz w:val="20"/>
          <w:szCs w:val="20"/>
        </w:rPr>
        <w:t xml:space="preserve"> wurde mit assistierter Spontanatmung im Vergleich zu einer kontrollierten Beatmung eine Reduktion des intrapulmonalen Rechts-Links-Shunts, eine Verbesserung der arteriellen Oxygenierung und des HZVs, eine Reduktion der Analgosedierung oder eine Reduktion der Beatmungsdrücke bei vergleichbarer Oxygenierung bzw. einer verbesserten CO</w:t>
      </w:r>
      <w:r w:rsidR="00447357" w:rsidRPr="00207748">
        <w:rPr>
          <w:rStyle w:val="Ohne"/>
          <w:rFonts w:ascii="Cambria" w:hAnsi="Cambria" w:cs="Arial"/>
          <w:sz w:val="20"/>
          <w:szCs w:val="20"/>
          <w:vertAlign w:val="subscript"/>
        </w:rPr>
        <w:t>2</w:t>
      </w:r>
      <w:r w:rsidR="00447357" w:rsidRPr="00207748">
        <w:rPr>
          <w:rStyle w:val="Ohne"/>
          <w:rFonts w:ascii="Cambria" w:hAnsi="Cambria" w:cs="Arial"/>
          <w:sz w:val="20"/>
          <w:szCs w:val="20"/>
        </w:rPr>
        <w:t>-Elimination beobachtet. Diese kleineren RCTs und eine internationale Kohortenstudie mit Propensity Score basiertem Matchingalgorithmus</w:t>
      </w:r>
      <w:r w:rsidR="00303768" w:rsidRPr="00207748">
        <w:rPr>
          <w:rStyle w:val="Ohne"/>
          <w:rFonts w:ascii="Cambria" w:hAnsi="Cambria" w:cs="Arial"/>
          <w:sz w:val="20"/>
          <w:szCs w:val="20"/>
        </w:rPr>
        <w:t xml:space="preserve"> </w:t>
      </w:r>
      <w:r w:rsidR="00303768" w:rsidRPr="00207748">
        <w:rPr>
          <w:rStyle w:val="Endnotenzeichen"/>
          <w:rFonts w:ascii="Cambria" w:hAnsi="Cambria" w:cs="Arial"/>
          <w:sz w:val="20"/>
          <w:szCs w:val="20"/>
        </w:rPr>
        <w:endnoteReference w:id="436"/>
      </w:r>
      <w:r w:rsidR="00447357" w:rsidRPr="00207748">
        <w:rPr>
          <w:rStyle w:val="Ohne"/>
          <w:rFonts w:ascii="Cambria" w:hAnsi="Cambria" w:cs="Arial"/>
          <w:sz w:val="20"/>
          <w:szCs w:val="20"/>
        </w:rPr>
        <w:t xml:space="preserve"> weisen bei Patienten mit mildem und moderatem ARDS oder akuter respiratorischer Insuffizienz auf keine höhere Rate von beatmungsassoziierten Komplikationen oder höhere ITS- oder Krankenhausletalität infolge einer erhaltenen Spontanatmung hin. Ein neuere</w:t>
      </w:r>
      <w:r w:rsidR="005454B0">
        <w:rPr>
          <w:rStyle w:val="Ohne"/>
          <w:rFonts w:ascii="Cambria" w:hAnsi="Cambria" w:cs="Arial"/>
          <w:sz w:val="20"/>
          <w:szCs w:val="20"/>
        </w:rPr>
        <w:t>s</w:t>
      </w:r>
      <w:r w:rsidR="00447357" w:rsidRPr="00207748">
        <w:rPr>
          <w:rStyle w:val="Ohne"/>
          <w:rFonts w:ascii="Cambria" w:hAnsi="Cambria" w:cs="Arial"/>
          <w:sz w:val="20"/>
          <w:szCs w:val="20"/>
        </w:rPr>
        <w:t xml:space="preserve"> RCT an 138 Patienten mit moderatem und schwere</w:t>
      </w:r>
      <w:r w:rsidR="005454B0">
        <w:rPr>
          <w:rStyle w:val="Ohne"/>
          <w:rFonts w:ascii="Cambria" w:hAnsi="Cambria" w:cs="Arial"/>
          <w:sz w:val="20"/>
          <w:szCs w:val="20"/>
        </w:rPr>
        <w:t>n</w:t>
      </w:r>
      <w:r w:rsidR="00447357" w:rsidRPr="00207748">
        <w:rPr>
          <w:rStyle w:val="Ohne"/>
          <w:rFonts w:ascii="Cambria" w:hAnsi="Cambria" w:cs="Arial"/>
          <w:sz w:val="20"/>
          <w:szCs w:val="20"/>
        </w:rPr>
        <w:t xml:space="preserve"> ARDS (PaO2/FIO2 mm Hg 122±47) wurde eine initial erhaltene Spontanatmung unter APRV/BIPAP </w:t>
      </w:r>
      <w:r w:rsidR="00447357" w:rsidRPr="00207748">
        <w:rPr>
          <w:rStyle w:val="Ohne"/>
          <w:rFonts w:ascii="Cambria" w:hAnsi="Cambria" w:cs="Arial"/>
          <w:sz w:val="20"/>
          <w:szCs w:val="20"/>
        </w:rPr>
        <w:lastRenderedPageBreak/>
        <w:t>mit einer volumenkontrollierten Beatmung mit einem Tidalvolumen von 6 ml/kg standardisiertem KG (Low VT Ventilation; LOVT)</w:t>
      </w:r>
      <w:r w:rsidR="005454B0">
        <w:rPr>
          <w:rStyle w:val="Ohne"/>
          <w:rFonts w:ascii="Cambria" w:hAnsi="Cambria" w:cs="Arial"/>
          <w:sz w:val="20"/>
          <w:szCs w:val="20"/>
        </w:rPr>
        <w:t xml:space="preserve"> verglichen</w:t>
      </w:r>
      <w:r w:rsidR="00447357" w:rsidRPr="00207748">
        <w:rPr>
          <w:rStyle w:val="Ohne"/>
          <w:rFonts w:ascii="Cambria" w:hAnsi="Cambria" w:cs="Arial"/>
          <w:sz w:val="20"/>
          <w:szCs w:val="20"/>
        </w:rPr>
        <w:t>.</w:t>
      </w:r>
      <w:r w:rsidR="006B2B71" w:rsidRPr="006B2B71">
        <w:rPr>
          <w:rStyle w:val="EndnoteRealZchn"/>
        </w:rPr>
        <w:fldChar w:fldCharType="begin"/>
      </w:r>
      <w:r w:rsidR="006B2B71" w:rsidRPr="006B2B71">
        <w:rPr>
          <w:rStyle w:val="EndnoteRealZchn"/>
        </w:rPr>
        <w:instrText xml:space="preserve"> NOTEREF _Ref30603322 \h </w:instrText>
      </w:r>
      <w:r w:rsidR="006B2B71">
        <w:rPr>
          <w:rStyle w:val="EndnoteRealZchn"/>
        </w:rPr>
        <w:instrText xml:space="preserve"> \* MERGEFORMAT </w:instrText>
      </w:r>
      <w:r w:rsidR="006B2B71" w:rsidRPr="006B2B71">
        <w:rPr>
          <w:rStyle w:val="EndnoteRealZchn"/>
        </w:rPr>
      </w:r>
      <w:r w:rsidR="006B2B71" w:rsidRPr="006B2B71">
        <w:rPr>
          <w:rStyle w:val="EndnoteRealZchn"/>
        </w:rPr>
        <w:fldChar w:fldCharType="separate"/>
      </w:r>
      <w:r w:rsidR="001A283B">
        <w:rPr>
          <w:rStyle w:val="EndnoteRealZchn"/>
        </w:rPr>
        <w:t>483</w:t>
      </w:r>
      <w:r w:rsidR="006B2B71" w:rsidRPr="006B2B71">
        <w:rPr>
          <w:rStyle w:val="EndnoteRealZchn"/>
        </w:rPr>
        <w:fldChar w:fldCharType="end"/>
      </w:r>
      <w:r w:rsidR="006B2B71">
        <w:rPr>
          <w:rStyle w:val="Ohne"/>
          <w:rFonts w:ascii="Cambria" w:hAnsi="Cambria"/>
          <w:sz w:val="20"/>
          <w:szCs w:val="20"/>
        </w:rPr>
        <w:t xml:space="preserve"> </w:t>
      </w:r>
      <w:r w:rsidR="00447357" w:rsidRPr="00207748">
        <w:rPr>
          <w:rStyle w:val="Ohne"/>
          <w:rFonts w:ascii="Cambria" w:hAnsi="Cambria" w:cs="Arial"/>
          <w:sz w:val="20"/>
          <w:szCs w:val="20"/>
        </w:rPr>
        <w:t xml:space="preserve">APRV wurde mit einem hohen Beatmungsdruck (Phigh) von &lt; 30 cmH2O und einem niedrigen Beatmungsdruck (Plow) von 5 cmH2O durchgeführt. Verglichen mit der LTV Gruppe, war in der APRV Gruppe die Anzahl der beatmungsfreien Tage </w:t>
      </w:r>
      <w:r w:rsidR="00342FB3" w:rsidRPr="00207748">
        <w:rPr>
          <w:rStyle w:val="Ohne"/>
          <w:rFonts w:ascii="Cambria" w:hAnsi="Cambria" w:cs="Arial"/>
          <w:sz w:val="20"/>
          <w:szCs w:val="20"/>
        </w:rPr>
        <w:t>höher [</w:t>
      </w:r>
      <w:r w:rsidR="00447357" w:rsidRPr="00207748">
        <w:rPr>
          <w:rStyle w:val="Ohne"/>
          <w:rFonts w:ascii="Cambria" w:hAnsi="Cambria" w:cs="Arial"/>
          <w:sz w:val="20"/>
          <w:szCs w:val="20"/>
        </w:rPr>
        <w:t xml:space="preserve">19 (interquartile range; IQR) 8–22 vs. 2 (IQR 0–15); P &lt; 0,001] und die </w:t>
      </w:r>
      <w:r w:rsidR="001A58EF" w:rsidRPr="00207748">
        <w:rPr>
          <w:rStyle w:val="Ohne"/>
          <w:rFonts w:ascii="Cambria" w:hAnsi="Cambria" w:cs="Arial"/>
          <w:sz w:val="20"/>
          <w:szCs w:val="20"/>
        </w:rPr>
        <w:t>V</w:t>
      </w:r>
      <w:r w:rsidR="00447357" w:rsidRPr="00207748">
        <w:rPr>
          <w:rStyle w:val="Ohne"/>
          <w:rFonts w:ascii="Cambria" w:hAnsi="Cambria" w:cs="Arial"/>
          <w:sz w:val="20"/>
          <w:szCs w:val="20"/>
        </w:rPr>
        <w:t xml:space="preserve">erweildauer </w:t>
      </w:r>
      <w:r w:rsidR="001A58EF" w:rsidRPr="00207748">
        <w:rPr>
          <w:rStyle w:val="Ohne"/>
          <w:rFonts w:ascii="Cambria" w:hAnsi="Cambria" w:cs="Arial"/>
          <w:sz w:val="20"/>
          <w:szCs w:val="20"/>
        </w:rPr>
        <w:t xml:space="preserve">auf ITS </w:t>
      </w:r>
      <w:r w:rsidR="00447357" w:rsidRPr="00207748">
        <w:rPr>
          <w:rStyle w:val="Ohne"/>
          <w:rFonts w:ascii="Cambria" w:hAnsi="Cambria" w:cs="Arial"/>
          <w:sz w:val="20"/>
          <w:szCs w:val="20"/>
        </w:rPr>
        <w:t>kürzer (P = 0.003). Die Sterblichkeitsrate auf der ITS betrug in der APRV Gruppe 19,7 % versus 34,3 % in der LTV Gruppe (P = 0.053) und war assoziiert mit einer Verbesserung der arteriellen Oxygenierung, der respiratrischen Compliance und einem niedrigeren end-inspiratorischen Druck sowie einem geringeren Bedarf an Analgosedierung (P &lt; 0.05).</w:t>
      </w:r>
    </w:p>
    <w:p w14:paraId="34DEF720" w14:textId="77777777" w:rsidR="00E11869" w:rsidRPr="00207748" w:rsidRDefault="00447357" w:rsidP="004454B6">
      <w:pPr>
        <w:rPr>
          <w:rStyle w:val="Ohne"/>
          <w:rFonts w:ascii="Cambria" w:eastAsia="Arial" w:hAnsi="Cambria" w:cs="Arial"/>
          <w:sz w:val="20"/>
          <w:szCs w:val="20"/>
        </w:rPr>
      </w:pPr>
      <w:r w:rsidRPr="00207748">
        <w:rPr>
          <w:rStyle w:val="Ohne"/>
          <w:rFonts w:ascii="Cambria" w:hAnsi="Cambria" w:cs="Arial"/>
          <w:sz w:val="20"/>
          <w:szCs w:val="20"/>
        </w:rPr>
        <w:t>Dennoch liegen keine multizentrischen RCTs mit adäquater Patientenzahl vor, die den primären Endpunkt Letalität bzw. die Inzidenz von VALI untersuchten und damit den Vorteil einer frühzeitigen assistierten Beatmung belegen.</w:t>
      </w:r>
    </w:p>
    <w:p w14:paraId="68BB4C4E" w14:textId="511203F5" w:rsidR="00E11869" w:rsidRPr="00207748" w:rsidRDefault="00447357" w:rsidP="004454B6">
      <w:pPr>
        <w:rPr>
          <w:rStyle w:val="Ohne"/>
          <w:rFonts w:ascii="Cambria" w:eastAsia="Arial" w:hAnsi="Cambria" w:cs="Arial"/>
          <w:sz w:val="20"/>
          <w:szCs w:val="20"/>
        </w:rPr>
      </w:pPr>
      <w:r w:rsidRPr="00207748">
        <w:rPr>
          <w:rStyle w:val="Ohne"/>
          <w:rFonts w:ascii="Cambria" w:hAnsi="Cambria" w:cs="Arial"/>
          <w:sz w:val="20"/>
          <w:szCs w:val="20"/>
        </w:rPr>
        <w:t>Allerdings empfiehlt auch die S3-Leitlinie Analgesie, Sedierung und Delirmanagement in der Intensivmedizin</w:t>
      </w:r>
      <w:r w:rsidR="006B2B71">
        <w:rPr>
          <w:rStyle w:val="Ohne"/>
          <w:rFonts w:ascii="Cambria" w:hAnsi="Cambria" w:cs="Arial"/>
          <w:sz w:val="20"/>
          <w:szCs w:val="20"/>
        </w:rPr>
        <w:t xml:space="preserve"> </w:t>
      </w:r>
      <w:r w:rsidR="006B2B71" w:rsidRPr="006B2B71">
        <w:rPr>
          <w:rStyle w:val="EndnoteZchn"/>
          <w:sz w:val="20"/>
          <w:szCs w:val="20"/>
        </w:rPr>
        <w:fldChar w:fldCharType="begin"/>
      </w:r>
      <w:r w:rsidR="006B2B71" w:rsidRPr="006B2B71">
        <w:rPr>
          <w:rStyle w:val="EndnoteZchn"/>
          <w:sz w:val="20"/>
          <w:szCs w:val="20"/>
        </w:rPr>
        <w:instrText xml:space="preserve"> NOTEREF _Ref30602788 \h  \* MERGEFORMAT </w:instrText>
      </w:r>
      <w:r w:rsidR="006B2B71" w:rsidRPr="006B2B71">
        <w:rPr>
          <w:rStyle w:val="EndnoteZchn"/>
          <w:sz w:val="20"/>
          <w:szCs w:val="20"/>
        </w:rPr>
      </w:r>
      <w:r w:rsidR="006B2B71" w:rsidRPr="006B2B71">
        <w:rPr>
          <w:rStyle w:val="EndnoteZchn"/>
          <w:sz w:val="20"/>
          <w:szCs w:val="20"/>
        </w:rPr>
        <w:fldChar w:fldCharType="separate"/>
      </w:r>
      <w:r w:rsidR="001A283B">
        <w:rPr>
          <w:rStyle w:val="EndnoteZchn"/>
          <w:sz w:val="20"/>
          <w:szCs w:val="20"/>
        </w:rPr>
        <w:t>476</w:t>
      </w:r>
      <w:r w:rsidR="006B2B71" w:rsidRPr="006B2B71">
        <w:rPr>
          <w:rStyle w:val="EndnoteZchn"/>
          <w:sz w:val="20"/>
          <w:szCs w:val="20"/>
        </w:rPr>
        <w:fldChar w:fldCharType="end"/>
      </w:r>
      <w:r w:rsidRPr="00207748">
        <w:rPr>
          <w:rStyle w:val="Ohne"/>
          <w:rFonts w:ascii="Cambria" w:hAnsi="Cambria" w:cs="Arial"/>
          <w:sz w:val="20"/>
          <w:szCs w:val="20"/>
        </w:rPr>
        <w:t xml:space="preserve"> ein protokollbasiertes Sedierungsregime, das spontan atmende, möglichst wache und kooperative Patienten, die die intensivmedizinisch erforderlichen Maßnahmen gut tolerieren (RASS 0/-1), anstrebt. Dies ist nur durch eine frühzeitige unterstützende Beatmung möglich. Eine zu tiefe Analgosedierung kann zu einer erhöhten Sterblichkeit beitragen und soll daher vermieden werden</w:t>
      </w:r>
      <w:r w:rsidR="006B2B71">
        <w:rPr>
          <w:rStyle w:val="Ohne"/>
          <w:rFonts w:ascii="Cambria" w:hAnsi="Cambria" w:cs="Arial"/>
          <w:sz w:val="20"/>
          <w:szCs w:val="20"/>
        </w:rPr>
        <w:t>.</w:t>
      </w:r>
    </w:p>
    <w:p w14:paraId="746B49B0" w14:textId="77777777" w:rsidR="00E11869" w:rsidRPr="00207748" w:rsidRDefault="00447357" w:rsidP="004454B6">
      <w:pPr>
        <w:spacing w:before="240"/>
        <w:rPr>
          <w:rStyle w:val="Ohne"/>
          <w:rFonts w:ascii="Cambria" w:eastAsia="Arial" w:hAnsi="Cambria" w:cs="Arial"/>
          <w:sz w:val="20"/>
          <w:szCs w:val="20"/>
        </w:rPr>
      </w:pPr>
      <w:r w:rsidRPr="00207748">
        <w:rPr>
          <w:rStyle w:val="Ohne"/>
          <w:rFonts w:ascii="Cambria" w:hAnsi="Cambria" w:cs="Arial"/>
          <w:sz w:val="20"/>
          <w:szCs w:val="20"/>
        </w:rPr>
        <w:t>Aufgrund der aktuellen Datenlage, welche Nachweise für eine Verbesserung wichtiger, aber nicht kritischer Endpunkte (Verbesserung Oxygenierung, Reduktion der Beatmungsdrücke und verminderter Sedierungsbedarf) bei gleichzeitig fehlenden relevanten Risiken liefert und unter Berücksichtigung der Empfehlungen der S3-Leitlinie Analgesie, Sedierung und Delirmanagement schlägt d</w:t>
      </w:r>
      <w:r w:rsidR="00524587" w:rsidRPr="00207748">
        <w:rPr>
          <w:rStyle w:val="Ohne"/>
          <w:rFonts w:ascii="Cambria" w:hAnsi="Cambria" w:cs="Arial"/>
          <w:sz w:val="20"/>
          <w:szCs w:val="20"/>
        </w:rPr>
        <w:t>ie</w:t>
      </w:r>
      <w:r w:rsidRPr="00207748">
        <w:rPr>
          <w:rStyle w:val="Ohne"/>
          <w:rFonts w:ascii="Cambria" w:hAnsi="Cambria" w:cs="Arial"/>
          <w:sz w:val="20"/>
          <w:szCs w:val="20"/>
        </w:rPr>
        <w:t xml:space="preserve"> Leitlinien</w:t>
      </w:r>
      <w:r w:rsidR="00524587" w:rsidRPr="00207748">
        <w:rPr>
          <w:rStyle w:val="Ohne"/>
          <w:rFonts w:ascii="Cambria" w:hAnsi="Cambria" w:cs="Arial"/>
          <w:sz w:val="20"/>
          <w:szCs w:val="20"/>
        </w:rPr>
        <w:t>kommission</w:t>
      </w:r>
      <w:r w:rsidRPr="00207748">
        <w:rPr>
          <w:rStyle w:val="Ohne"/>
          <w:rFonts w:ascii="Cambria" w:hAnsi="Cambria" w:cs="Arial"/>
          <w:sz w:val="20"/>
          <w:szCs w:val="20"/>
        </w:rPr>
        <w:t xml:space="preserve"> daher frühzeitig eine unterstützende Beatmung zur Ermöglichung von Spontanatmung bei respiratorischer Insuffizienz </w:t>
      </w:r>
      <w:r w:rsidRPr="00207748">
        <w:rPr>
          <w:rStyle w:val="Ohne"/>
          <w:rFonts w:ascii="Cambria" w:hAnsi="Cambria" w:cs="Arial"/>
          <w:sz w:val="20"/>
          <w:szCs w:val="20"/>
        </w:rPr>
        <w:lastRenderedPageBreak/>
        <w:t>mit Ausnahme des schweren ARDS vor (Empfehlungsgrad:</w:t>
      </w:r>
      <w:r w:rsidR="001A58EF" w:rsidRPr="00207748">
        <w:rPr>
          <w:rStyle w:val="Ohne"/>
          <w:rFonts w:ascii="Cambria" w:hAnsi="Cambria" w:cs="Arial"/>
          <w:sz w:val="20"/>
          <w:szCs w:val="20"/>
        </w:rPr>
        <w:t xml:space="preserve"> </w:t>
      </w:r>
      <w:r w:rsidRPr="00207748">
        <w:rPr>
          <w:rStyle w:val="Ohne"/>
          <w:rFonts w:ascii="Cambria" w:hAnsi="Cambria" w:cs="Arial"/>
          <w:sz w:val="20"/>
          <w:szCs w:val="20"/>
        </w:rPr>
        <w:t>schwach). Bei Patienten, bei denen aufgrund der Grunderkrankung eine Spontanatmungsaktivität vermieden werden soll (z.B. erhöhter intrakranieller Druck, Rechtsherzversagen, etc.) ist Nutzen und Risiko einer assistierten Beatmung individuell kritisch zu bewerten.</w:t>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02"/>
        <w:gridCol w:w="850"/>
      </w:tblGrid>
      <w:tr w:rsidR="00E11869" w:rsidRPr="00207748" w14:paraId="22195958"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2F6E0B8" w14:textId="77777777" w:rsidR="00E11869" w:rsidRPr="00207748" w:rsidRDefault="00447357" w:rsidP="004454B6">
            <w:pPr>
              <w:rPr>
                <w:rStyle w:val="Ohne"/>
                <w:rFonts w:ascii="Cambria" w:hAnsi="Cambria"/>
                <w:b/>
                <w:bCs/>
                <w:sz w:val="20"/>
                <w:szCs w:val="20"/>
              </w:rPr>
            </w:pPr>
            <w:r w:rsidRPr="00207748">
              <w:rPr>
                <w:rStyle w:val="Ohne"/>
                <w:rFonts w:ascii="Cambria" w:hAnsi="Cambria" w:cs="Arial"/>
                <w:b/>
                <w:bCs/>
                <w:sz w:val="20"/>
                <w:szCs w:val="20"/>
              </w:rPr>
              <w:t>M.17</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417CF61"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007BA298"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40B09E0E" w14:textId="77777777" w:rsidTr="00334AF5">
        <w:trPr>
          <w:trHeight w:val="176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53A52"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Empfehlungsgrad</w:t>
            </w:r>
          </w:p>
          <w:p w14:paraId="2F1B275B" w14:textId="77777777" w:rsidR="00E11869" w:rsidRPr="00207748" w:rsidRDefault="00E11869" w:rsidP="004454B6">
            <w:pPr>
              <w:spacing w:after="0"/>
              <w:rPr>
                <w:rStyle w:val="Ohne"/>
                <w:rFonts w:ascii="Cambria" w:eastAsia="Arial" w:hAnsi="Cambria" w:cs="Arial"/>
                <w:sz w:val="20"/>
                <w:szCs w:val="20"/>
              </w:rPr>
            </w:pPr>
          </w:p>
          <w:p w14:paraId="3FC19BD6" w14:textId="77777777" w:rsidR="00E11869" w:rsidRPr="00207748" w:rsidRDefault="00447357" w:rsidP="004454B6">
            <w:pPr>
              <w:spacing w:after="0"/>
              <w:rPr>
                <w:rStyle w:val="Ohne"/>
                <w:rFonts w:ascii="Cambria" w:eastAsia="Arial" w:hAnsi="Cambria" w:cs="Arial"/>
                <w:b/>
                <w:bCs/>
                <w:sz w:val="20"/>
                <w:szCs w:val="20"/>
              </w:rPr>
            </w:pPr>
            <w:r w:rsidRPr="00207748">
              <w:rPr>
                <w:rStyle w:val="Ohne"/>
                <w:rFonts w:ascii="Cambria" w:hAnsi="Cambria" w:cs="Arial"/>
                <w:b/>
                <w:bCs/>
                <w:sz w:val="20"/>
                <w:szCs w:val="20"/>
              </w:rPr>
              <w:t>stark</w:t>
            </w:r>
          </w:p>
          <w:p w14:paraId="0184290D" w14:textId="77777777" w:rsidR="00E11869" w:rsidRPr="00207748" w:rsidRDefault="00E11869" w:rsidP="004454B6">
            <w:pPr>
              <w:spacing w:after="0"/>
              <w:rPr>
                <w:rStyle w:val="Ohne"/>
                <w:rFonts w:ascii="Cambria" w:eastAsia="Arial" w:hAnsi="Cambria" w:cs="Arial"/>
                <w:sz w:val="20"/>
                <w:szCs w:val="20"/>
              </w:rPr>
            </w:pPr>
          </w:p>
          <w:p w14:paraId="46279610"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Evidenzgrad</w:t>
            </w:r>
          </w:p>
          <w:p w14:paraId="77B4C272" w14:textId="77777777" w:rsidR="00E11869" w:rsidRPr="00207748" w:rsidRDefault="00E11869" w:rsidP="004454B6">
            <w:pPr>
              <w:spacing w:after="0"/>
              <w:rPr>
                <w:rStyle w:val="Ohne"/>
                <w:rFonts w:ascii="Cambria" w:eastAsia="Arial" w:hAnsi="Cambria" w:cs="Arial"/>
                <w:sz w:val="20"/>
                <w:szCs w:val="20"/>
              </w:rPr>
            </w:pPr>
          </w:p>
          <w:p w14:paraId="6C948486"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moderat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D054A"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Wir empfehlen keine intravenöse und inhalative Gabe von Beta-2-Mimetika zur Prophylaxe oder zur adjunktiven Therapie bei Patienten mit ARDS</w:t>
            </w:r>
            <w:r w:rsidR="00B20D2B" w:rsidRPr="00207748">
              <w:rPr>
                <w:rStyle w:val="Ohne"/>
                <w:rFonts w:ascii="Cambria" w:hAnsi="Cambria" w:cs="Arial"/>
                <w:b/>
                <w:bCs/>
                <w:sz w:val="20"/>
                <w:szCs w:val="20"/>
              </w:rPr>
              <w:t>.</w:t>
            </w:r>
          </w:p>
        </w:tc>
      </w:tr>
      <w:tr w:rsidR="00E11869" w:rsidRPr="00207748" w14:paraId="668F6BB2" w14:textId="77777777" w:rsidTr="00342FB3">
        <w:trPr>
          <w:trHeight w:val="56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52AC6570"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C582C"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 xml:space="preserve">Adaptation </w:t>
            </w:r>
            <w:r w:rsidR="00B20D2B" w:rsidRPr="00207748">
              <w:rPr>
                <w:rStyle w:val="Ohne"/>
                <w:rFonts w:ascii="Cambria" w:hAnsi="Cambria" w:cs="Arial"/>
                <w:b/>
                <w:bCs/>
                <w:sz w:val="20"/>
                <w:szCs w:val="20"/>
              </w:rPr>
              <w:t xml:space="preserve">der </w:t>
            </w:r>
            <w:r w:rsidRPr="00207748">
              <w:rPr>
                <w:rStyle w:val="Ohne"/>
                <w:rFonts w:ascii="Cambria" w:hAnsi="Cambria" w:cs="Arial"/>
                <w:b/>
                <w:bCs/>
                <w:sz w:val="20"/>
                <w:szCs w:val="20"/>
              </w:rPr>
              <w:t xml:space="preserve">S3-Leitline Beatmung </w:t>
            </w:r>
          </w:p>
        </w:tc>
      </w:tr>
      <w:tr w:rsidR="00E11869" w:rsidRPr="00207748" w14:paraId="5103F9CA"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37218"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CC1D0"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Konsensstärke: 100 %</w:t>
            </w:r>
          </w:p>
        </w:tc>
      </w:tr>
    </w:tbl>
    <w:p w14:paraId="2092A130" w14:textId="77777777" w:rsidR="00342FB3" w:rsidRPr="00207748" w:rsidRDefault="00342FB3" w:rsidP="004454B6">
      <w:pPr>
        <w:spacing w:after="0"/>
        <w:rPr>
          <w:rStyle w:val="Ohne"/>
          <w:rFonts w:ascii="Cambria" w:eastAsia="Arial" w:hAnsi="Cambria" w:cs="Arial"/>
          <w:sz w:val="20"/>
          <w:szCs w:val="20"/>
        </w:rPr>
      </w:pPr>
    </w:p>
    <w:p w14:paraId="343E6A02" w14:textId="7173887F" w:rsidR="00E11869" w:rsidRPr="00207748" w:rsidRDefault="00420A45" w:rsidP="004454B6">
      <w:pPr>
        <w:spacing w:after="0"/>
        <w:rPr>
          <w:rStyle w:val="Ohne"/>
          <w:rFonts w:ascii="Cambria" w:eastAsia="Arial" w:hAnsi="Cambria" w:cs="Arial"/>
          <w:sz w:val="20"/>
          <w:szCs w:val="20"/>
        </w:rPr>
      </w:pPr>
      <w:r w:rsidRPr="00207748">
        <w:rPr>
          <w:rStyle w:val="Ohne"/>
          <w:rFonts w:ascii="Cambria" w:hAnsi="Cambria" w:cs="Arial"/>
          <w:b/>
          <w:bCs/>
          <w:sz w:val="20"/>
          <w:szCs w:val="20"/>
        </w:rPr>
        <w:t>Begründung:</w:t>
      </w:r>
      <w:r w:rsidR="00447357" w:rsidRPr="00207748">
        <w:rPr>
          <w:rStyle w:val="Ohne"/>
          <w:rFonts w:ascii="Cambria" w:hAnsi="Cambria" w:cs="Arial"/>
          <w:sz w:val="20"/>
          <w:szCs w:val="20"/>
        </w:rPr>
        <w:t xml:space="preserve"> Eine Meta-Analyse über drei prospektive, randomisierte, placebo- kontrollierte Studien mit intravenösem oder inhalativen beta-2-Mimetika Salbutamol / Albuterol konnte keinen Vorteil für beta-2-Mimetika als adjuvante Therapie beim ARDS zeigen (28 Tage Sterblichkeit RR 1.04 (0.5-2.16 95 % CI), I</w:t>
      </w:r>
      <w:r w:rsidR="00447357" w:rsidRPr="00207748">
        <w:rPr>
          <w:rStyle w:val="Ohne"/>
          <w:rFonts w:ascii="Cambria" w:hAnsi="Cambria" w:cs="Arial"/>
          <w:sz w:val="20"/>
          <w:szCs w:val="20"/>
          <w:vertAlign w:val="superscript"/>
        </w:rPr>
        <w:t>2</w:t>
      </w:r>
      <w:r w:rsidR="00447357" w:rsidRPr="00207748">
        <w:rPr>
          <w:rStyle w:val="Ohne"/>
          <w:rFonts w:ascii="Cambria" w:hAnsi="Cambria" w:cs="Arial"/>
          <w:sz w:val="20"/>
          <w:szCs w:val="20"/>
        </w:rPr>
        <w:t xml:space="preserve"> 83 %, p 0.92). Darüber hinaus treten in den mit beta-2-Mimetika behandelten Patienten signifikant mehr unerwünschte Ereignisse (Tachykardien und Arrhythmien) auf.</w:t>
      </w:r>
      <w:r w:rsidR="00E35D7C" w:rsidRPr="00207748">
        <w:rPr>
          <w:rStyle w:val="Endnotenzeichen"/>
          <w:rFonts w:ascii="Cambria" w:hAnsi="Cambria" w:cs="Arial"/>
          <w:sz w:val="20"/>
          <w:szCs w:val="20"/>
        </w:rPr>
        <w:endnoteReference w:id="437"/>
      </w:r>
      <w:r w:rsidR="00447357" w:rsidRPr="00207748">
        <w:rPr>
          <w:rStyle w:val="Ohne"/>
          <w:rFonts w:ascii="Cambria" w:hAnsi="Cambria" w:cs="Arial"/>
          <w:sz w:val="20"/>
          <w:szCs w:val="20"/>
        </w:rPr>
        <w:t xml:space="preserve"> Die Qualität der in die Meta-Analyse eingegangen Studien wurde aufgrund niedrigem Bias-Risiko und in Bezug auf die beatmungsfreie</w:t>
      </w:r>
      <w:r w:rsidR="001A58EF" w:rsidRPr="00207748">
        <w:rPr>
          <w:rStyle w:val="Ohne"/>
          <w:rFonts w:ascii="Cambria" w:hAnsi="Cambria" w:cs="Arial"/>
          <w:sz w:val="20"/>
          <w:szCs w:val="20"/>
        </w:rPr>
        <w:t>n</w:t>
      </w:r>
      <w:r w:rsidR="00447357" w:rsidRPr="00207748">
        <w:rPr>
          <w:rStyle w:val="Ohne"/>
          <w:rFonts w:ascii="Cambria" w:hAnsi="Cambria" w:cs="Arial"/>
          <w:sz w:val="20"/>
          <w:szCs w:val="20"/>
        </w:rPr>
        <w:t xml:space="preserve"> Tage und organversagensfreie Tage als hoch eingeschätzt.</w:t>
      </w:r>
    </w:p>
    <w:p w14:paraId="597591B6" w14:textId="77777777" w:rsidR="00E11869" w:rsidRPr="00207748" w:rsidRDefault="00447357" w:rsidP="004454B6">
      <w:pPr>
        <w:spacing w:after="0"/>
        <w:rPr>
          <w:rStyle w:val="Ohne"/>
          <w:rFonts w:ascii="Cambria" w:eastAsia="Arial" w:hAnsi="Cambria" w:cs="Arial"/>
          <w:b/>
          <w:bCs/>
          <w:sz w:val="20"/>
          <w:szCs w:val="20"/>
        </w:rPr>
      </w:pPr>
      <w:r w:rsidRPr="00207748">
        <w:rPr>
          <w:rStyle w:val="Ohne"/>
          <w:rFonts w:ascii="Cambria" w:hAnsi="Cambria" w:cs="Arial"/>
          <w:sz w:val="20"/>
          <w:szCs w:val="20"/>
        </w:rPr>
        <w:t xml:space="preserve">Die aktualisierte Version der </w:t>
      </w:r>
      <w:r w:rsidR="001A58EF" w:rsidRPr="00207748">
        <w:rPr>
          <w:rStyle w:val="Ohne"/>
          <w:rFonts w:ascii="Cambria" w:hAnsi="Cambria" w:cs="Arial"/>
          <w:sz w:val="20"/>
          <w:szCs w:val="20"/>
        </w:rPr>
        <w:t>SSC</w:t>
      </w:r>
      <w:r w:rsidRPr="00207748">
        <w:rPr>
          <w:rStyle w:val="Ohne"/>
          <w:rFonts w:ascii="Cambria" w:hAnsi="Cambria" w:cs="Arial"/>
          <w:sz w:val="20"/>
          <w:szCs w:val="20"/>
        </w:rPr>
        <w:t xml:space="preserve"> 2016 enthält eine starke Empfehlung gegen die Anwendung von Beta-2-Mimetika bei Patienten mit ARDS ohne Bronchospasmus (starke Empfehlung, moderate Qualität der Evidenz).</w:t>
      </w:r>
      <w:r w:rsidR="00E35D7C" w:rsidRPr="00207748">
        <w:rPr>
          <w:rStyle w:val="Endnotenzeichen"/>
          <w:rFonts w:ascii="Cambria" w:hAnsi="Cambria" w:cs="Arial"/>
          <w:sz w:val="20"/>
          <w:szCs w:val="20"/>
        </w:rPr>
        <w:endnoteReference w:id="438"/>
      </w:r>
    </w:p>
    <w:p w14:paraId="0E63DBCC" w14:textId="77777777" w:rsidR="00E11869" w:rsidRPr="00207748" w:rsidRDefault="00447357" w:rsidP="004454B6">
      <w:pPr>
        <w:rPr>
          <w:rStyle w:val="Ohne"/>
          <w:rFonts w:ascii="Cambria" w:eastAsia="Arial" w:hAnsi="Cambria" w:cs="Arial"/>
          <w:sz w:val="20"/>
          <w:szCs w:val="20"/>
        </w:rPr>
      </w:pPr>
      <w:r w:rsidRPr="00207748">
        <w:rPr>
          <w:rStyle w:val="Ohne"/>
          <w:rFonts w:ascii="Cambria" w:hAnsi="Cambria" w:cs="Arial"/>
          <w:sz w:val="20"/>
          <w:szCs w:val="20"/>
        </w:rPr>
        <w:t xml:space="preserve">Aufgrund des fehlenden Nutzens bei gleichzeitigen deutlichen Hinweisen für einen möglichen Schaden durch die Gabe von Beta-2-Mimetika bei Patienten mit ARDS und zudem </w:t>
      </w:r>
      <w:r w:rsidRPr="00207748">
        <w:rPr>
          <w:rStyle w:val="Ohne"/>
          <w:rFonts w:ascii="Cambria" w:hAnsi="Cambria" w:cs="Arial"/>
          <w:sz w:val="20"/>
          <w:szCs w:val="20"/>
        </w:rPr>
        <w:lastRenderedPageBreak/>
        <w:t>hoher Qualität der zugrundeliegenden Evidenz vergibt d</w:t>
      </w:r>
      <w:r w:rsidR="00524587" w:rsidRPr="00207748">
        <w:rPr>
          <w:rStyle w:val="Ohne"/>
          <w:rFonts w:ascii="Cambria" w:hAnsi="Cambria" w:cs="Arial"/>
          <w:sz w:val="20"/>
          <w:szCs w:val="20"/>
        </w:rPr>
        <w:t>ie</w:t>
      </w:r>
      <w:r w:rsidRPr="00207748">
        <w:rPr>
          <w:rStyle w:val="Ohne"/>
          <w:rFonts w:ascii="Cambria" w:hAnsi="Cambria" w:cs="Arial"/>
          <w:sz w:val="20"/>
          <w:szCs w:val="20"/>
        </w:rPr>
        <w:t xml:space="preserve"> Leitlinien</w:t>
      </w:r>
      <w:r w:rsidR="00524587" w:rsidRPr="00207748">
        <w:rPr>
          <w:rStyle w:val="Ohne"/>
          <w:rFonts w:ascii="Cambria" w:hAnsi="Cambria" w:cs="Arial"/>
          <w:sz w:val="20"/>
          <w:szCs w:val="20"/>
        </w:rPr>
        <w:t>kommission</w:t>
      </w:r>
      <w:r w:rsidRPr="00207748">
        <w:rPr>
          <w:rStyle w:val="Ohne"/>
          <w:rFonts w:ascii="Cambria" w:hAnsi="Cambria" w:cs="Arial"/>
          <w:sz w:val="20"/>
          <w:szCs w:val="20"/>
        </w:rPr>
        <w:t xml:space="preserve"> eine starke Empfehlung gegen diese Therapie.</w:t>
      </w:r>
    </w:p>
    <w:p w14:paraId="27F3CB12" w14:textId="3F8F806E" w:rsidR="00DA3A66" w:rsidRDefault="00447357" w:rsidP="004454B6">
      <w:pPr>
        <w:rPr>
          <w:rStyle w:val="Ohne"/>
          <w:rFonts w:ascii="Cambria" w:hAnsi="Cambria" w:cs="Arial"/>
          <w:sz w:val="20"/>
          <w:szCs w:val="20"/>
        </w:rPr>
      </w:pPr>
      <w:r w:rsidRPr="00207748">
        <w:rPr>
          <w:rStyle w:val="Ohne"/>
          <w:rFonts w:ascii="Cambria" w:hAnsi="Cambria" w:cs="Arial"/>
          <w:sz w:val="20"/>
          <w:szCs w:val="20"/>
        </w:rPr>
        <w:t>Die Empfehlung bezieht sich nicht auf invasiv beatmete Patienten mit einer akuten durch einen Bronchospasmus verursachten Atemwegsobstruktion. Im Falle einer solchen akuten o</w:t>
      </w:r>
      <w:r w:rsidR="005454B0">
        <w:rPr>
          <w:rStyle w:val="Ohne"/>
          <w:rFonts w:ascii="Cambria" w:hAnsi="Cambria" w:cs="Arial"/>
          <w:sz w:val="20"/>
          <w:szCs w:val="20"/>
        </w:rPr>
        <w:t>der</w:t>
      </w:r>
      <w:r w:rsidRPr="00207748">
        <w:rPr>
          <w:rStyle w:val="Ohne"/>
          <w:rFonts w:ascii="Cambria" w:hAnsi="Cambria" w:cs="Arial"/>
          <w:sz w:val="20"/>
          <w:szCs w:val="20"/>
        </w:rPr>
        <w:t xml:space="preserve"> akut auf chronischen obstruktiven Störung (Bronchospasmus) bei invasiv beatmeten Patienten besteht die Indikation zur inhalativen Applikationen von Beta-2 Mimetika (z.B. über Vernebler). Hierzu verweisen wir auf die entsprechenden Behandlungsleitlinien für Patienten mit COPD (chronic obstructive pulmonary disease) bzw. Asthma bronchiale </w:t>
      </w:r>
      <w:r w:rsidR="00E35D7C" w:rsidRPr="00207748">
        <w:rPr>
          <w:rStyle w:val="Endnotenzeichen"/>
          <w:rFonts w:ascii="Cambria" w:hAnsi="Cambria" w:cs="Arial"/>
          <w:sz w:val="20"/>
          <w:szCs w:val="20"/>
        </w:rPr>
        <w:endnoteReference w:id="439"/>
      </w:r>
      <w:r w:rsidR="00E35D7C" w:rsidRPr="00207748">
        <w:rPr>
          <w:rStyle w:val="Ohne"/>
          <w:rFonts w:ascii="Cambria" w:hAnsi="Cambria" w:cs="Arial"/>
          <w:sz w:val="20"/>
          <w:szCs w:val="20"/>
        </w:rPr>
        <w:t xml:space="preserve">, </w:t>
      </w:r>
      <w:r w:rsidRPr="00207748">
        <w:rPr>
          <w:rStyle w:val="Ohne"/>
          <w:rFonts w:ascii="Cambria" w:hAnsi="Cambria" w:cs="Arial"/>
          <w:sz w:val="20"/>
          <w:szCs w:val="20"/>
        </w:rPr>
        <w:t>welche sich zurzeit in Überarbeitung befinden.</w:t>
      </w:r>
    </w:p>
    <w:p w14:paraId="7F3EC7EF" w14:textId="77777777" w:rsidR="00DA3A66" w:rsidRDefault="00DA3A66">
      <w:pPr>
        <w:spacing w:after="0" w:line="240" w:lineRule="auto"/>
        <w:rPr>
          <w:rStyle w:val="Ohne"/>
          <w:rFonts w:ascii="Cambria" w:hAnsi="Cambria" w:cs="Arial"/>
          <w:sz w:val="20"/>
          <w:szCs w:val="20"/>
        </w:rPr>
      </w:pPr>
      <w:r>
        <w:rPr>
          <w:rStyle w:val="Ohne"/>
          <w:rFonts w:ascii="Cambria" w:hAnsi="Cambria" w:cs="Arial"/>
          <w:sz w:val="20"/>
          <w:szCs w:val="20"/>
        </w:rPr>
        <w:br w:type="page"/>
      </w: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4"/>
        <w:gridCol w:w="1770"/>
        <w:gridCol w:w="889"/>
      </w:tblGrid>
      <w:tr w:rsidR="00E11869" w:rsidRPr="00207748" w14:paraId="7CE25F4B" w14:textId="77777777" w:rsidTr="00DA3A66">
        <w:trPr>
          <w:trHeight w:val="282"/>
        </w:trPr>
        <w:tc>
          <w:tcPr>
            <w:tcW w:w="1932"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4EC24096" w14:textId="77777777" w:rsidR="00E11869" w:rsidRPr="00207748" w:rsidRDefault="00447357" w:rsidP="004454B6">
            <w:pPr>
              <w:rPr>
                <w:rStyle w:val="Ohne"/>
                <w:rFonts w:ascii="Cambria" w:hAnsi="Cambria"/>
                <w:b/>
                <w:bCs/>
                <w:sz w:val="20"/>
                <w:szCs w:val="20"/>
              </w:rPr>
            </w:pPr>
            <w:r w:rsidRPr="00207748">
              <w:rPr>
                <w:rStyle w:val="Ohne"/>
                <w:rFonts w:ascii="Cambria" w:hAnsi="Cambria" w:cs="Arial"/>
                <w:b/>
                <w:bCs/>
                <w:sz w:val="20"/>
                <w:szCs w:val="20"/>
              </w:rPr>
              <w:lastRenderedPageBreak/>
              <w:t>M.18</w:t>
            </w:r>
          </w:p>
        </w:tc>
        <w:tc>
          <w:tcPr>
            <w:tcW w:w="2042"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0D34AC89"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 xml:space="preserve">Empfehlung </w:t>
            </w:r>
          </w:p>
        </w:tc>
        <w:tc>
          <w:tcPr>
            <w:tcW w:w="1026"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38CBC8C7" w14:textId="77777777" w:rsidR="00E11869" w:rsidRPr="00207748" w:rsidRDefault="0077072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042A2069" w14:textId="77777777" w:rsidTr="00DA3A66">
        <w:trPr>
          <w:trHeight w:val="5873"/>
        </w:trPr>
        <w:tc>
          <w:tcPr>
            <w:tcW w:w="193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EBAC2"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Empfehlungsgrad</w:t>
            </w:r>
          </w:p>
          <w:p w14:paraId="19FF575B" w14:textId="77777777" w:rsidR="00E11869" w:rsidRPr="00207748" w:rsidRDefault="00E11869" w:rsidP="004454B6">
            <w:pPr>
              <w:spacing w:after="0"/>
              <w:rPr>
                <w:rStyle w:val="Ohne"/>
                <w:rFonts w:ascii="Cambria" w:eastAsia="Arial" w:hAnsi="Cambria" w:cs="Arial"/>
                <w:sz w:val="20"/>
                <w:szCs w:val="20"/>
              </w:rPr>
            </w:pPr>
          </w:p>
          <w:p w14:paraId="73C6FE58" w14:textId="77777777" w:rsidR="00E11869" w:rsidRPr="00207748" w:rsidRDefault="00447357" w:rsidP="004454B6">
            <w:pPr>
              <w:spacing w:after="0"/>
              <w:rPr>
                <w:rStyle w:val="Ohne"/>
                <w:rFonts w:ascii="Cambria" w:eastAsia="Arial" w:hAnsi="Cambria" w:cs="Arial"/>
                <w:b/>
                <w:bCs/>
                <w:sz w:val="20"/>
                <w:szCs w:val="20"/>
              </w:rPr>
            </w:pPr>
            <w:r w:rsidRPr="00207748">
              <w:rPr>
                <w:rStyle w:val="Ohne"/>
                <w:rFonts w:ascii="Cambria" w:hAnsi="Cambria" w:cs="Arial"/>
                <w:b/>
                <w:bCs/>
                <w:sz w:val="20"/>
                <w:szCs w:val="20"/>
              </w:rPr>
              <w:t>stark</w:t>
            </w:r>
          </w:p>
          <w:p w14:paraId="34187054" w14:textId="77777777" w:rsidR="00E11869" w:rsidRPr="00207748" w:rsidRDefault="00E11869" w:rsidP="004454B6">
            <w:pPr>
              <w:spacing w:after="0"/>
              <w:rPr>
                <w:rStyle w:val="Ohne"/>
                <w:rFonts w:ascii="Cambria" w:eastAsia="Arial" w:hAnsi="Cambria" w:cs="Arial"/>
                <w:sz w:val="20"/>
                <w:szCs w:val="20"/>
              </w:rPr>
            </w:pPr>
          </w:p>
          <w:p w14:paraId="289A11D2"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Evidenzgrad</w:t>
            </w:r>
          </w:p>
          <w:p w14:paraId="39AA6DD2" w14:textId="77777777" w:rsidR="00E11869" w:rsidRPr="00207748" w:rsidRDefault="00E11869" w:rsidP="004454B6">
            <w:pPr>
              <w:spacing w:after="0"/>
              <w:rPr>
                <w:rStyle w:val="Ohne"/>
                <w:rFonts w:ascii="Cambria" w:eastAsia="Arial" w:hAnsi="Cambria" w:cs="Arial"/>
                <w:sz w:val="20"/>
                <w:szCs w:val="20"/>
              </w:rPr>
            </w:pPr>
          </w:p>
          <w:p w14:paraId="5A43E488"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moderat</w:t>
            </w:r>
          </w:p>
        </w:tc>
        <w:tc>
          <w:tcPr>
            <w:tcW w:w="3068"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32E0A"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Wir empfehlen bei adulten Patienten, die länger als 24</w:t>
            </w:r>
            <w:r w:rsidR="00E873A9" w:rsidRPr="00207748">
              <w:rPr>
                <w:rStyle w:val="Ohne"/>
                <w:rFonts w:ascii="Cambria" w:hAnsi="Cambria" w:cs="Arial"/>
                <w:b/>
                <w:bCs/>
                <w:sz w:val="20"/>
                <w:szCs w:val="20"/>
              </w:rPr>
              <w:t xml:space="preserve"> Stunden</w:t>
            </w:r>
            <w:r w:rsidRPr="00207748">
              <w:rPr>
                <w:rStyle w:val="Ohne"/>
                <w:rFonts w:ascii="Cambria" w:hAnsi="Cambria" w:cs="Arial"/>
                <w:b/>
                <w:bCs/>
                <w:sz w:val="20"/>
                <w:szCs w:val="20"/>
              </w:rPr>
              <w:t xml:space="preserve"> invasiv beatmet wurden, ein Protokoll zur Entw</w:t>
            </w:r>
            <w:r w:rsidRPr="00207748">
              <w:rPr>
                <w:rStyle w:val="Ohne"/>
                <w:rFonts w:ascii="Cambria" w:hAnsi="Cambria" w:cs="Arial"/>
                <w:b/>
                <w:bCs/>
                <w:sz w:val="20"/>
                <w:szCs w:val="20"/>
                <w:lang w:val="sv-SE"/>
              </w:rPr>
              <w:t>ö</w:t>
            </w:r>
            <w:r w:rsidRPr="00207748">
              <w:rPr>
                <w:rStyle w:val="Ohne"/>
                <w:rFonts w:ascii="Cambria" w:hAnsi="Cambria" w:cs="Arial"/>
                <w:b/>
                <w:bCs/>
                <w:sz w:val="20"/>
                <w:szCs w:val="20"/>
              </w:rPr>
              <w:t>hnung von der invasiven Beatmung (Weaning-Protokoll) anzuwenden, um standardisiert die Bewertung der Entw</w:t>
            </w:r>
            <w:r w:rsidRPr="00207748">
              <w:rPr>
                <w:rStyle w:val="Ohne"/>
                <w:rFonts w:ascii="Cambria" w:hAnsi="Cambria" w:cs="Arial"/>
                <w:b/>
                <w:bCs/>
                <w:sz w:val="20"/>
                <w:szCs w:val="20"/>
                <w:lang w:val="sv-SE"/>
              </w:rPr>
              <w:t>ö</w:t>
            </w:r>
            <w:r w:rsidRPr="00207748">
              <w:rPr>
                <w:rStyle w:val="Ohne"/>
                <w:rFonts w:ascii="Cambria" w:hAnsi="Cambria" w:cs="Arial"/>
                <w:b/>
                <w:bCs/>
                <w:sz w:val="20"/>
                <w:szCs w:val="20"/>
              </w:rPr>
              <w:t>hnungsbereitschaft (Readiness to Wean) zu evaluieren, die Spontanatmungsversuche (Spontaneous Breathing Trial) durchzuführen und die Kriterien zur Beendigung der invasiven Beatmung bzw. Extubation/Dekanülierung zu überprüfen.</w:t>
            </w:r>
          </w:p>
        </w:tc>
      </w:tr>
      <w:tr w:rsidR="00E11869" w:rsidRPr="00207748" w14:paraId="0B7648AF" w14:textId="77777777" w:rsidTr="00DA3A66">
        <w:trPr>
          <w:trHeight w:val="562"/>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Pr>
          <w:p w14:paraId="5F2A0979" w14:textId="77777777" w:rsidR="00E11869" w:rsidRPr="00207748" w:rsidRDefault="00E11869" w:rsidP="004454B6">
            <w:pPr>
              <w:rPr>
                <w:rFonts w:ascii="Cambria" w:hAnsi="Cambria" w:cs="Arial"/>
                <w:sz w:val="20"/>
                <w:szCs w:val="20"/>
              </w:rPr>
            </w:pPr>
          </w:p>
        </w:tc>
        <w:tc>
          <w:tcPr>
            <w:tcW w:w="3068"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A6309"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 xml:space="preserve">Adaptation </w:t>
            </w:r>
            <w:r w:rsidR="00B20D2B" w:rsidRPr="00207748">
              <w:rPr>
                <w:rStyle w:val="Ohne"/>
                <w:rFonts w:ascii="Cambria" w:hAnsi="Cambria" w:cs="Arial"/>
                <w:b/>
                <w:bCs/>
                <w:sz w:val="20"/>
                <w:szCs w:val="20"/>
              </w:rPr>
              <w:t xml:space="preserve">der </w:t>
            </w:r>
            <w:r w:rsidRPr="00207748">
              <w:rPr>
                <w:rStyle w:val="Ohne"/>
                <w:rFonts w:ascii="Cambria" w:hAnsi="Cambria" w:cs="Arial"/>
                <w:b/>
                <w:bCs/>
                <w:sz w:val="20"/>
                <w:szCs w:val="20"/>
              </w:rPr>
              <w:t xml:space="preserve">S3-Leitline Beatmung </w:t>
            </w:r>
          </w:p>
        </w:tc>
      </w:tr>
      <w:tr w:rsidR="00E11869" w:rsidRPr="00207748" w14:paraId="2715C0E1" w14:textId="77777777" w:rsidTr="00DA3A66">
        <w:trPr>
          <w:trHeight w:val="282"/>
        </w:trPr>
        <w:tc>
          <w:tcPr>
            <w:tcW w:w="19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F1114" w14:textId="77777777" w:rsidR="00E11869" w:rsidRPr="00207748" w:rsidRDefault="00E11869" w:rsidP="004454B6">
            <w:pPr>
              <w:rPr>
                <w:rFonts w:ascii="Cambria" w:hAnsi="Cambria" w:cs="Arial"/>
                <w:sz w:val="20"/>
                <w:szCs w:val="20"/>
              </w:rPr>
            </w:pPr>
          </w:p>
        </w:tc>
        <w:tc>
          <w:tcPr>
            <w:tcW w:w="3068"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F0C40"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Konsensstärke: 100 %</w:t>
            </w:r>
          </w:p>
        </w:tc>
      </w:tr>
    </w:tbl>
    <w:p w14:paraId="0895321C" w14:textId="77777777" w:rsidR="00E11869" w:rsidRPr="00207748" w:rsidRDefault="00342FB3" w:rsidP="004454B6">
      <w:pPr>
        <w:spacing w:before="240"/>
        <w:rPr>
          <w:rStyle w:val="Ohne"/>
          <w:rFonts w:ascii="Cambria" w:eastAsia="Arial" w:hAnsi="Cambria" w:cs="Arial"/>
          <w:b/>
          <w:bCs/>
          <w:sz w:val="20"/>
          <w:szCs w:val="20"/>
        </w:rPr>
      </w:pPr>
      <w:r w:rsidRPr="00207748">
        <w:rPr>
          <w:rStyle w:val="Ohne"/>
          <w:rFonts w:ascii="Cambria" w:hAnsi="Cambria" w:cs="Arial"/>
          <w:b/>
          <w:bCs/>
          <w:sz w:val="20"/>
          <w:szCs w:val="20"/>
        </w:rPr>
        <w:t>Begründung</w:t>
      </w:r>
      <w:r w:rsidR="00420A45" w:rsidRPr="00207748">
        <w:rPr>
          <w:rStyle w:val="Ohne"/>
          <w:rFonts w:ascii="Cambria" w:hAnsi="Cambria" w:cs="Arial"/>
          <w:b/>
          <w:bCs/>
          <w:sz w:val="20"/>
          <w:szCs w:val="20"/>
        </w:rPr>
        <w:t>:</w:t>
      </w:r>
      <w:r w:rsidR="00447357" w:rsidRPr="00207748">
        <w:rPr>
          <w:rStyle w:val="Ohne"/>
          <w:rFonts w:ascii="Cambria" w:hAnsi="Cambria" w:cs="Arial"/>
          <w:b/>
          <w:bCs/>
          <w:sz w:val="20"/>
          <w:szCs w:val="20"/>
        </w:rPr>
        <w:t xml:space="preserve"> </w:t>
      </w:r>
      <w:r w:rsidR="00447357" w:rsidRPr="00207748">
        <w:rPr>
          <w:rStyle w:val="Ohne"/>
          <w:rFonts w:ascii="Cambria" w:hAnsi="Cambria" w:cs="Arial"/>
          <w:sz w:val="20"/>
          <w:szCs w:val="20"/>
        </w:rPr>
        <w:t>Mehrere Meta-Analysen zeigen eine Reduktion der Beatmungs-, der Weaning- und der Intensivbehandlungsdauer durch die Anwendung von standardisierten Weaning-Protokollen bei adulten (&gt; 18 Jahre) maschinell beatmeten Patienten im Rahmen der Intensivbehandlung</w:t>
      </w:r>
      <w:r w:rsidR="00E35D7C" w:rsidRPr="00207748">
        <w:rPr>
          <w:rStyle w:val="Ohne"/>
          <w:rFonts w:ascii="Cambria" w:hAnsi="Cambria" w:cs="Arial"/>
          <w:sz w:val="20"/>
          <w:szCs w:val="20"/>
        </w:rPr>
        <w:t>.</w:t>
      </w:r>
      <w:bookmarkStart w:id="442" w:name="_Ref30603402"/>
      <w:r w:rsidR="00E35D7C" w:rsidRPr="00207748">
        <w:rPr>
          <w:rStyle w:val="Endnotenzeichen"/>
          <w:rFonts w:ascii="Cambria" w:hAnsi="Cambria" w:cs="Arial"/>
          <w:sz w:val="20"/>
          <w:szCs w:val="20"/>
        </w:rPr>
        <w:endnoteReference w:id="440"/>
      </w:r>
      <w:bookmarkEnd w:id="442"/>
      <w:r w:rsidR="00E35D7C" w:rsidRPr="00207748">
        <w:rPr>
          <w:rStyle w:val="Ohne"/>
          <w:rFonts w:ascii="Cambria" w:hAnsi="Cambria" w:cs="Arial"/>
          <w:sz w:val="20"/>
          <w:szCs w:val="20"/>
        </w:rPr>
        <w:t xml:space="preserve"> </w:t>
      </w:r>
      <w:bookmarkStart w:id="443" w:name="_Ref30603525"/>
      <w:r w:rsidR="00E35D7C" w:rsidRPr="00207748">
        <w:rPr>
          <w:rStyle w:val="Endnotenzeichen"/>
          <w:rFonts w:ascii="Cambria" w:hAnsi="Cambria" w:cs="Arial"/>
          <w:sz w:val="20"/>
          <w:szCs w:val="20"/>
        </w:rPr>
        <w:endnoteReference w:id="441"/>
      </w:r>
      <w:bookmarkEnd w:id="443"/>
    </w:p>
    <w:p w14:paraId="5EB022C1" w14:textId="0A11C250"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Alle Meta-Analysen belegen, dass die Anwendung von standardisierten Weaning-Protokollen nicht mit einer Zunahme von Komplikationen oder nachteiligen Auswirkungen wie z.B. erhöhte Rate an Weaningversagen, Re-Intubation, Tracheotomie assoziiert ist.</w:t>
      </w:r>
      <w:r w:rsidR="006B2B71" w:rsidRPr="006B2B71">
        <w:rPr>
          <w:rStyle w:val="EndnoteRealZchn"/>
        </w:rPr>
        <w:fldChar w:fldCharType="begin"/>
      </w:r>
      <w:r w:rsidR="006B2B71" w:rsidRPr="006B2B71">
        <w:rPr>
          <w:rStyle w:val="EndnoteRealZchn"/>
        </w:rPr>
        <w:instrText xml:space="preserve"> NOTEREF _Ref30603402 \h </w:instrText>
      </w:r>
      <w:r w:rsidR="006B2B71">
        <w:rPr>
          <w:rStyle w:val="EndnoteRealZchn"/>
        </w:rPr>
        <w:instrText xml:space="preserve"> \* MERGEFORMAT </w:instrText>
      </w:r>
      <w:r w:rsidR="006B2B71" w:rsidRPr="006B2B71">
        <w:rPr>
          <w:rStyle w:val="EndnoteRealZchn"/>
        </w:rPr>
      </w:r>
      <w:r w:rsidR="006B2B71" w:rsidRPr="006B2B71">
        <w:rPr>
          <w:rStyle w:val="EndnoteRealZchn"/>
        </w:rPr>
        <w:fldChar w:fldCharType="separate"/>
      </w:r>
      <w:r w:rsidR="001A283B">
        <w:rPr>
          <w:rStyle w:val="EndnoteRealZchn"/>
        </w:rPr>
        <w:t>492</w:t>
      </w:r>
      <w:r w:rsidR="006B2B71" w:rsidRPr="006B2B71">
        <w:rPr>
          <w:rStyle w:val="EndnoteRealZchn"/>
        </w:rPr>
        <w:fldChar w:fldCharType="end"/>
      </w:r>
    </w:p>
    <w:p w14:paraId="26322400" w14:textId="6A514B5C" w:rsidR="00E11869" w:rsidRPr="00207748" w:rsidRDefault="00447357" w:rsidP="004454B6">
      <w:pPr>
        <w:rPr>
          <w:rStyle w:val="Ohne"/>
          <w:rFonts w:ascii="Cambria" w:eastAsia="Arial" w:hAnsi="Cambria" w:cs="Arial"/>
          <w:sz w:val="20"/>
          <w:szCs w:val="20"/>
        </w:rPr>
      </w:pPr>
      <w:r w:rsidRPr="00207748">
        <w:rPr>
          <w:rStyle w:val="Ohne"/>
          <w:rFonts w:ascii="Cambria" w:hAnsi="Cambria" w:cs="Arial"/>
          <w:sz w:val="20"/>
          <w:szCs w:val="20"/>
        </w:rPr>
        <w:t xml:space="preserve">Mehrere Meta-Analysen zeigen bei neurologischen bzw. neurochirurgischen Patienten keine Reduktion der Beatmungs-, der Weaning- und der Intensivbehandlungsdauer durch die Anwendung von standardisierten </w:t>
      </w:r>
      <w:r w:rsidRPr="00207748">
        <w:rPr>
          <w:rStyle w:val="Ohne"/>
          <w:rFonts w:ascii="Cambria" w:hAnsi="Cambria" w:cs="Arial"/>
          <w:sz w:val="20"/>
          <w:szCs w:val="20"/>
        </w:rPr>
        <w:lastRenderedPageBreak/>
        <w:t>Weaning-Protokollen.</w:t>
      </w:r>
      <w:r w:rsidR="006B2B71" w:rsidRPr="006B2B71">
        <w:rPr>
          <w:rStyle w:val="EndnoteRealZchn"/>
        </w:rPr>
        <w:fldChar w:fldCharType="begin"/>
      </w:r>
      <w:r w:rsidR="006B2B71" w:rsidRPr="006B2B71">
        <w:rPr>
          <w:rStyle w:val="EndnoteRealZchn"/>
        </w:rPr>
        <w:instrText xml:space="preserve"> NOTEREF _Ref30603402 \h </w:instrText>
      </w:r>
      <w:r w:rsidR="006B2B71">
        <w:rPr>
          <w:rStyle w:val="EndnoteRealZchn"/>
        </w:rPr>
        <w:instrText xml:space="preserve"> \* MERGEFORMAT </w:instrText>
      </w:r>
      <w:r w:rsidR="006B2B71" w:rsidRPr="006B2B71">
        <w:rPr>
          <w:rStyle w:val="EndnoteRealZchn"/>
        </w:rPr>
      </w:r>
      <w:r w:rsidR="006B2B71" w:rsidRPr="006B2B71">
        <w:rPr>
          <w:rStyle w:val="EndnoteRealZchn"/>
        </w:rPr>
        <w:fldChar w:fldCharType="separate"/>
      </w:r>
      <w:r w:rsidR="001A283B">
        <w:rPr>
          <w:rStyle w:val="EndnoteRealZchn"/>
        </w:rPr>
        <w:t>492</w:t>
      </w:r>
      <w:r w:rsidR="006B2B71" w:rsidRPr="006B2B71">
        <w:rPr>
          <w:rStyle w:val="EndnoteRealZchn"/>
        </w:rPr>
        <w:fldChar w:fldCharType="end"/>
      </w:r>
      <w:r w:rsidR="006B2B71" w:rsidRPr="006B2B71">
        <w:rPr>
          <w:rStyle w:val="EndnoteRealZchn"/>
        </w:rPr>
        <w:fldChar w:fldCharType="begin"/>
      </w:r>
      <w:r w:rsidR="006B2B71" w:rsidRPr="006B2B71">
        <w:rPr>
          <w:rStyle w:val="EndnoteRealZchn"/>
        </w:rPr>
        <w:instrText xml:space="preserve"> NOTEREF _Ref30603402 \h </w:instrText>
      </w:r>
      <w:r w:rsidR="006B2B71">
        <w:rPr>
          <w:rStyle w:val="EndnoteRealZchn"/>
        </w:rPr>
        <w:instrText xml:space="preserve"> \* MERGEFORMAT </w:instrText>
      </w:r>
      <w:r w:rsidR="006B2B71" w:rsidRPr="006B2B71">
        <w:rPr>
          <w:rStyle w:val="EndnoteRealZchn"/>
        </w:rPr>
      </w:r>
      <w:r w:rsidR="006B2B71" w:rsidRPr="006B2B71">
        <w:rPr>
          <w:rStyle w:val="EndnoteRealZchn"/>
        </w:rPr>
        <w:fldChar w:fldCharType="separate"/>
      </w:r>
      <w:r w:rsidR="001A283B">
        <w:rPr>
          <w:rStyle w:val="EndnoteRealZchn"/>
        </w:rPr>
        <w:t>492</w:t>
      </w:r>
      <w:r w:rsidR="006B2B71" w:rsidRPr="006B2B71">
        <w:rPr>
          <w:rStyle w:val="EndnoteRealZchn"/>
        </w:rPr>
        <w:fldChar w:fldCharType="end"/>
      </w:r>
      <w:r w:rsidR="00323A20" w:rsidRPr="006B2B71">
        <w:rPr>
          <w:rStyle w:val="EndnoteRealZchn"/>
        </w:rPr>
        <w:t xml:space="preserve"> </w:t>
      </w:r>
      <w:r w:rsidR="00323A20" w:rsidRPr="006B2B71">
        <w:rPr>
          <w:rStyle w:val="EndnoteRealZchn"/>
        </w:rPr>
        <w:endnoteReference w:id="442"/>
      </w:r>
      <w:r w:rsidR="00323A20" w:rsidRPr="006B2B71">
        <w:rPr>
          <w:rStyle w:val="EndnoteRealZchn"/>
        </w:rPr>
        <w:t xml:space="preserve"> </w:t>
      </w:r>
      <w:r w:rsidR="006B2B71">
        <w:rPr>
          <w:rStyle w:val="EndnoteRealZchn"/>
        </w:rPr>
        <w:fldChar w:fldCharType="begin"/>
      </w:r>
      <w:r w:rsidR="006B2B71">
        <w:rPr>
          <w:rStyle w:val="EndnoteRealZchn"/>
        </w:rPr>
        <w:instrText xml:space="preserve"> NOTEREF _Ref30603525 \h </w:instrText>
      </w:r>
      <w:r w:rsidR="006B2B71">
        <w:rPr>
          <w:rStyle w:val="EndnoteRealZchn"/>
        </w:rPr>
      </w:r>
      <w:r w:rsidR="006B2B71">
        <w:rPr>
          <w:rStyle w:val="EndnoteRealZchn"/>
        </w:rPr>
        <w:fldChar w:fldCharType="separate"/>
      </w:r>
      <w:r w:rsidR="001A283B">
        <w:rPr>
          <w:rStyle w:val="EndnoteRealZchn"/>
        </w:rPr>
        <w:t>493</w:t>
      </w:r>
      <w:r w:rsidR="006B2B71">
        <w:rPr>
          <w:rStyle w:val="EndnoteRealZchn"/>
        </w:rPr>
        <w:fldChar w:fldCharType="end"/>
      </w:r>
      <w:r w:rsidRPr="00207748">
        <w:rPr>
          <w:rStyle w:val="Ohne"/>
          <w:rFonts w:ascii="Cambria" w:hAnsi="Cambria" w:cs="Arial"/>
          <w:sz w:val="20"/>
          <w:szCs w:val="20"/>
        </w:rPr>
        <w:t>Für den Einsatz von Weaning</w:t>
      </w:r>
      <w:r w:rsidR="001A58EF" w:rsidRPr="00207748">
        <w:rPr>
          <w:rStyle w:val="Ohne"/>
          <w:rFonts w:ascii="Cambria" w:hAnsi="Cambria" w:cs="Arial"/>
          <w:sz w:val="20"/>
          <w:szCs w:val="20"/>
        </w:rPr>
        <w:t>-P</w:t>
      </w:r>
      <w:r w:rsidRPr="00207748">
        <w:rPr>
          <w:rStyle w:val="Ohne"/>
          <w:rFonts w:ascii="Cambria" w:hAnsi="Cambria" w:cs="Arial"/>
          <w:sz w:val="20"/>
          <w:szCs w:val="20"/>
        </w:rPr>
        <w:t xml:space="preserve">rotokollen bei dieser Patientengruppe kann somit aktuell kein Vorteil, aber auch kein Nachteil gesehen werden. </w:t>
      </w:r>
    </w:p>
    <w:p w14:paraId="6C9BDE54" w14:textId="77777777" w:rsidR="00E11869" w:rsidRPr="00207748" w:rsidRDefault="00447357" w:rsidP="004454B6">
      <w:pPr>
        <w:rPr>
          <w:rStyle w:val="Ohne"/>
          <w:rFonts w:ascii="Cambria" w:eastAsia="Arial" w:hAnsi="Cambria" w:cs="Arial"/>
          <w:sz w:val="20"/>
          <w:szCs w:val="20"/>
        </w:rPr>
      </w:pPr>
      <w:r w:rsidRPr="00207748">
        <w:rPr>
          <w:rStyle w:val="Ohne"/>
          <w:rFonts w:ascii="Cambria" w:hAnsi="Cambria" w:cs="Arial"/>
          <w:sz w:val="20"/>
          <w:szCs w:val="20"/>
        </w:rPr>
        <w:t>Für Patienten im prolongierten Weaning (Erfolgreiches Weaning nach &gt;3 SBT bzw. &gt;7 Tage Beatmungsdauer) findet sich eine unzureichende Studienlage, weshalb keine Empfehlung für den Einsatz von Weaning</w:t>
      </w:r>
      <w:r w:rsidR="001A58EF" w:rsidRPr="00207748">
        <w:rPr>
          <w:rStyle w:val="Ohne"/>
          <w:rFonts w:ascii="Cambria" w:hAnsi="Cambria" w:cs="Arial"/>
          <w:sz w:val="20"/>
          <w:szCs w:val="20"/>
        </w:rPr>
        <w:t>-P</w:t>
      </w:r>
      <w:r w:rsidRPr="00207748">
        <w:rPr>
          <w:rStyle w:val="Ohne"/>
          <w:rFonts w:ascii="Cambria" w:hAnsi="Cambria" w:cs="Arial"/>
          <w:sz w:val="20"/>
          <w:szCs w:val="20"/>
        </w:rPr>
        <w:t>rotokollen abgegeben werden kann.</w:t>
      </w:r>
      <w:r w:rsidR="00323A20" w:rsidRPr="00207748">
        <w:rPr>
          <w:rStyle w:val="Endnotenzeichen"/>
          <w:rFonts w:ascii="Cambria" w:hAnsi="Cambria" w:cs="Arial"/>
          <w:sz w:val="20"/>
          <w:szCs w:val="20"/>
        </w:rPr>
        <w:endnoteReference w:id="443"/>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613"/>
        <w:gridCol w:w="2323"/>
        <w:gridCol w:w="1289"/>
      </w:tblGrid>
      <w:tr w:rsidR="00E11869" w:rsidRPr="00207748" w14:paraId="68EB40BB"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32AD1D8D" w14:textId="77777777" w:rsidR="00E11869" w:rsidRPr="00207748" w:rsidRDefault="00447357" w:rsidP="004454B6">
            <w:pPr>
              <w:rPr>
                <w:rStyle w:val="Ohne"/>
                <w:rFonts w:ascii="Cambria" w:hAnsi="Cambria"/>
                <w:b/>
                <w:bCs/>
                <w:sz w:val="20"/>
                <w:szCs w:val="20"/>
              </w:rPr>
            </w:pPr>
            <w:r w:rsidRPr="00207748">
              <w:rPr>
                <w:rStyle w:val="Ohne"/>
                <w:rFonts w:ascii="Cambria" w:hAnsi="Cambria" w:cs="Arial"/>
                <w:b/>
                <w:bCs/>
                <w:sz w:val="20"/>
                <w:szCs w:val="20"/>
              </w:rPr>
              <w:t>M.19</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36536664"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Statement</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388BDEB3"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525978DE" w14:textId="77777777" w:rsidTr="00334AF5">
        <w:trPr>
          <w:trHeight w:val="1396"/>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F3F9F"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869A3"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Wir sprechen keine Empfehlung hinsichtlich der Verwendung einer nicht-invasi</w:t>
            </w:r>
            <w:r w:rsidR="00B20D2B" w:rsidRPr="00207748">
              <w:rPr>
                <w:rStyle w:val="Ohne"/>
                <w:rFonts w:ascii="Cambria" w:hAnsi="Cambria" w:cs="Arial"/>
                <w:b/>
                <w:bCs/>
                <w:sz w:val="20"/>
                <w:szCs w:val="20"/>
              </w:rPr>
              <w:t>ven Beatmung bei Patienten mit S</w:t>
            </w:r>
            <w:r w:rsidRPr="00207748">
              <w:rPr>
                <w:rStyle w:val="Ohne"/>
                <w:rFonts w:ascii="Cambria" w:hAnsi="Cambria" w:cs="Arial"/>
                <w:b/>
                <w:bCs/>
                <w:sz w:val="20"/>
                <w:szCs w:val="20"/>
              </w:rPr>
              <w:t>epsis</w:t>
            </w:r>
            <w:r w:rsidR="00B20D2B" w:rsidRPr="00207748">
              <w:rPr>
                <w:rStyle w:val="Ohne"/>
                <w:rFonts w:ascii="Cambria" w:hAnsi="Cambria" w:cs="Arial"/>
                <w:b/>
                <w:bCs/>
                <w:sz w:val="20"/>
                <w:szCs w:val="20"/>
              </w:rPr>
              <w:t>-</w:t>
            </w:r>
            <w:r w:rsidRPr="00207748">
              <w:rPr>
                <w:rStyle w:val="Ohne"/>
                <w:rFonts w:ascii="Cambria" w:hAnsi="Cambria" w:cs="Arial"/>
                <w:b/>
                <w:bCs/>
                <w:sz w:val="20"/>
                <w:szCs w:val="20"/>
              </w:rPr>
              <w:t>induziertem ARDS aus.</w:t>
            </w:r>
          </w:p>
        </w:tc>
      </w:tr>
      <w:tr w:rsidR="00E11869" w:rsidRPr="00207748" w14:paraId="39DADA8C" w14:textId="77777777" w:rsidTr="00342FB3">
        <w:trPr>
          <w:trHeight w:val="28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4D7EB0A4"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B752C"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SSC</w:t>
            </w:r>
            <w:r w:rsidR="001A58EF" w:rsidRPr="00207748">
              <w:rPr>
                <w:rStyle w:val="Ohne"/>
                <w:rFonts w:ascii="Cambria" w:hAnsi="Cambria" w:cs="Arial"/>
                <w:b/>
                <w:bCs/>
                <w:sz w:val="20"/>
                <w:szCs w:val="20"/>
              </w:rPr>
              <w:t>-</w:t>
            </w:r>
            <w:r w:rsidRPr="00207748">
              <w:rPr>
                <w:rStyle w:val="Ohne"/>
                <w:rFonts w:ascii="Cambria" w:hAnsi="Cambria" w:cs="Arial"/>
                <w:b/>
                <w:bCs/>
                <w:sz w:val="20"/>
                <w:szCs w:val="20"/>
              </w:rPr>
              <w:t xml:space="preserve">Leitlinienadaptation </w:t>
            </w:r>
          </w:p>
        </w:tc>
      </w:tr>
      <w:tr w:rsidR="00E11869" w:rsidRPr="00207748" w14:paraId="607C5006"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F043A"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1F6F8"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Konsensstärke: 100 %</w:t>
            </w:r>
          </w:p>
        </w:tc>
      </w:tr>
    </w:tbl>
    <w:p w14:paraId="1C16DE68" w14:textId="77777777" w:rsidR="00342FB3" w:rsidRPr="00207748" w:rsidRDefault="00342FB3" w:rsidP="004454B6">
      <w:pPr>
        <w:rPr>
          <w:rStyle w:val="Ohne"/>
          <w:rFonts w:ascii="Cambria" w:eastAsia="Arial" w:hAnsi="Cambria" w:cs="Arial"/>
          <w:iCs/>
          <w:sz w:val="20"/>
          <w:szCs w:val="20"/>
        </w:rPr>
      </w:pPr>
    </w:p>
    <w:p w14:paraId="345F08A9" w14:textId="5C4533E2" w:rsidR="00E11869" w:rsidRPr="00207748" w:rsidRDefault="00342FB3" w:rsidP="004454B6">
      <w:pPr>
        <w:rPr>
          <w:rStyle w:val="Ohne"/>
          <w:rFonts w:ascii="Cambria" w:eastAsia="Arial" w:hAnsi="Cambria" w:cs="Arial"/>
          <w:sz w:val="20"/>
          <w:szCs w:val="20"/>
        </w:rPr>
      </w:pPr>
      <w:r w:rsidRPr="00207748">
        <w:rPr>
          <w:rStyle w:val="Ohne"/>
          <w:rFonts w:ascii="Cambria" w:eastAsia="Arial" w:hAnsi="Cambria" w:cs="Arial"/>
          <w:iCs/>
          <w:sz w:val="20"/>
          <w:szCs w:val="20"/>
        </w:rPr>
        <w:t>B</w:t>
      </w:r>
      <w:r w:rsidRPr="00207748">
        <w:rPr>
          <w:rStyle w:val="Ohne"/>
          <w:rFonts w:ascii="Cambria" w:hAnsi="Cambria" w:cs="Arial"/>
          <w:b/>
          <w:bCs/>
          <w:sz w:val="20"/>
          <w:szCs w:val="20"/>
        </w:rPr>
        <w:t>egründung</w:t>
      </w:r>
      <w:r w:rsidR="00447357" w:rsidRPr="00207748">
        <w:rPr>
          <w:rStyle w:val="Ohne"/>
          <w:rFonts w:ascii="Cambria" w:hAnsi="Cambria" w:cs="Arial"/>
          <w:b/>
          <w:bCs/>
          <w:sz w:val="20"/>
          <w:szCs w:val="20"/>
        </w:rPr>
        <w:t>:</w:t>
      </w:r>
      <w:r w:rsidR="00447357" w:rsidRPr="00207748">
        <w:rPr>
          <w:rStyle w:val="Ohne"/>
          <w:rFonts w:ascii="Cambria" w:hAnsi="Cambria" w:cs="Arial"/>
          <w:sz w:val="20"/>
          <w:szCs w:val="20"/>
        </w:rPr>
        <w:t xml:space="preserve"> Die NIV könnte Vorteile </w:t>
      </w:r>
      <w:r w:rsidR="00B25848">
        <w:rPr>
          <w:rStyle w:val="Ohne"/>
          <w:rFonts w:ascii="Cambria" w:hAnsi="Cambria" w:cs="Arial"/>
          <w:sz w:val="20"/>
          <w:szCs w:val="20"/>
        </w:rPr>
        <w:t>bei</w:t>
      </w:r>
      <w:r w:rsidR="00447357" w:rsidRPr="00207748">
        <w:rPr>
          <w:rStyle w:val="Ohne"/>
          <w:rFonts w:ascii="Cambria" w:hAnsi="Cambria" w:cs="Arial"/>
          <w:sz w:val="20"/>
          <w:szCs w:val="20"/>
        </w:rPr>
        <w:t xml:space="preserve"> sepsisinduzierte</w:t>
      </w:r>
      <w:r w:rsidR="00B25848">
        <w:rPr>
          <w:rStyle w:val="Ohne"/>
          <w:rFonts w:ascii="Cambria" w:hAnsi="Cambria" w:cs="Arial"/>
          <w:sz w:val="20"/>
          <w:szCs w:val="20"/>
        </w:rPr>
        <w:t>m</w:t>
      </w:r>
      <w:r w:rsidR="00447357" w:rsidRPr="00207748">
        <w:rPr>
          <w:rStyle w:val="Ohne"/>
          <w:rFonts w:ascii="Cambria" w:hAnsi="Cambria" w:cs="Arial"/>
          <w:sz w:val="20"/>
          <w:szCs w:val="20"/>
        </w:rPr>
        <w:t xml:space="preserve"> Lungenversagen </w:t>
      </w:r>
      <w:r w:rsidR="00B25848">
        <w:rPr>
          <w:rStyle w:val="Ohne"/>
          <w:rFonts w:ascii="Cambria" w:hAnsi="Cambria" w:cs="Arial"/>
          <w:sz w:val="20"/>
          <w:szCs w:val="20"/>
        </w:rPr>
        <w:t>haben</w:t>
      </w:r>
      <w:r w:rsidR="00447357" w:rsidRPr="00207748">
        <w:rPr>
          <w:rStyle w:val="Ohne"/>
          <w:rFonts w:ascii="Cambria" w:hAnsi="Cambria" w:cs="Arial"/>
          <w:sz w:val="20"/>
          <w:szCs w:val="20"/>
        </w:rPr>
        <w:t>, wie z.B. bessere Kommunikationsfähigkeit, reduzierte</w:t>
      </w:r>
      <w:r w:rsidR="00B25848">
        <w:rPr>
          <w:rStyle w:val="Ohne"/>
          <w:rFonts w:ascii="Cambria" w:hAnsi="Cambria" w:cs="Arial"/>
          <w:sz w:val="20"/>
          <w:szCs w:val="20"/>
        </w:rPr>
        <w:t>r</w:t>
      </w:r>
      <w:r w:rsidR="00447357" w:rsidRPr="00207748">
        <w:rPr>
          <w:rStyle w:val="Ohne"/>
          <w:rFonts w:ascii="Cambria" w:hAnsi="Cambria" w:cs="Arial"/>
          <w:sz w:val="20"/>
          <w:szCs w:val="20"/>
        </w:rPr>
        <w:t xml:space="preserve"> Sedierungsbedarf und die Vermeidung einer Intubation. Eine NIV könnte jedoch die Nutzung eines niedrigen Atemzugvolumens oder das Erreichen von angemessenen PEEP-Werten ausschließen, bei</w:t>
      </w:r>
      <w:r w:rsidR="00B25848">
        <w:rPr>
          <w:rStyle w:val="Ohne"/>
          <w:rFonts w:ascii="Cambria" w:hAnsi="Cambria" w:cs="Arial"/>
          <w:sz w:val="20"/>
          <w:szCs w:val="20"/>
        </w:rPr>
        <w:t>des</w:t>
      </w:r>
      <w:r w:rsidR="002B1061">
        <w:rPr>
          <w:rStyle w:val="Ohne"/>
          <w:rFonts w:ascii="Cambria" w:hAnsi="Cambria" w:cs="Arial"/>
          <w:sz w:val="20"/>
          <w:szCs w:val="20"/>
        </w:rPr>
        <w:t xml:space="preserve"> </w:t>
      </w:r>
      <w:r w:rsidR="00B25848">
        <w:rPr>
          <w:rStyle w:val="Ohne"/>
          <w:rFonts w:ascii="Cambria" w:hAnsi="Cambria" w:cs="Arial"/>
          <w:sz w:val="20"/>
          <w:szCs w:val="20"/>
        </w:rPr>
        <w:t>Beatmungs</w:t>
      </w:r>
      <w:r w:rsidR="00447357" w:rsidRPr="00207748">
        <w:rPr>
          <w:rStyle w:val="Ohne"/>
          <w:rFonts w:ascii="Cambria" w:hAnsi="Cambria" w:cs="Arial"/>
          <w:sz w:val="20"/>
          <w:szCs w:val="20"/>
        </w:rPr>
        <w:t>strategien handelt, für die ein Nutzen sogar bei leichtem bis schwerem ARDS nachgewiesen wurde</w:t>
      </w:r>
      <w:r w:rsidR="00323A20" w:rsidRPr="00207748">
        <w:rPr>
          <w:rStyle w:val="Ohne"/>
          <w:rFonts w:ascii="Cambria" w:hAnsi="Cambria" w:cs="Arial"/>
          <w:sz w:val="20"/>
          <w:szCs w:val="20"/>
        </w:rPr>
        <w:t xml:space="preserve">. </w:t>
      </w:r>
      <w:r w:rsidR="00323A20" w:rsidRPr="00207748">
        <w:rPr>
          <w:rStyle w:val="Endnotenzeichen"/>
          <w:rFonts w:ascii="Cambria" w:hAnsi="Cambria" w:cs="Arial"/>
          <w:sz w:val="20"/>
          <w:szCs w:val="20"/>
        </w:rPr>
        <w:endnoteReference w:id="444"/>
      </w:r>
      <w:r w:rsidR="00323A20" w:rsidRPr="00207748">
        <w:rPr>
          <w:rStyle w:val="Ohne"/>
          <w:rFonts w:ascii="Cambria" w:hAnsi="Cambria" w:cs="Arial"/>
          <w:sz w:val="20"/>
          <w:szCs w:val="20"/>
        </w:rPr>
        <w:t xml:space="preserve"> </w:t>
      </w:r>
      <w:r w:rsidR="00323A20" w:rsidRPr="00207748">
        <w:rPr>
          <w:rStyle w:val="Endnotenzeichen"/>
          <w:rFonts w:ascii="Cambria" w:hAnsi="Cambria" w:cs="Arial"/>
          <w:sz w:val="20"/>
          <w:szCs w:val="20"/>
        </w:rPr>
        <w:endnoteReference w:id="445"/>
      </w:r>
      <w:r w:rsidR="00447357" w:rsidRPr="00207748">
        <w:rPr>
          <w:rStyle w:val="Ohne"/>
          <w:rFonts w:ascii="Cambria" w:hAnsi="Cambria" w:cs="Arial"/>
          <w:sz w:val="20"/>
          <w:szCs w:val="20"/>
        </w:rPr>
        <w:t xml:space="preserve"> im Gegensatz zu Indikationen wie dem kardiogenen Lungenödem oder einer </w:t>
      </w:r>
      <w:r w:rsidR="00B25848">
        <w:rPr>
          <w:rStyle w:val="Ohne"/>
          <w:rFonts w:ascii="Cambria" w:hAnsi="Cambria" w:cs="Arial"/>
          <w:sz w:val="20"/>
          <w:szCs w:val="20"/>
        </w:rPr>
        <w:t>Exazerbation</w:t>
      </w:r>
      <w:r w:rsidR="00447357" w:rsidRPr="00207748">
        <w:rPr>
          <w:rStyle w:val="Ohne"/>
          <w:rFonts w:ascii="Cambria" w:hAnsi="Cambria" w:cs="Arial"/>
          <w:sz w:val="20"/>
          <w:szCs w:val="20"/>
        </w:rPr>
        <w:t xml:space="preserve"> einer chronisch-obstruktiven Lungenerkrankung (COPD), wo die NIV-Nutzung nur kurzzeitig erfolgt, dauert es bei ARDS oft Tage oder Wochen, bis eine Besserung eintritt, und eine länger andauernde NIV-Nutzung kann zu Komplikationen führen, wie z.B. eine Schädigung der Gesichtshaut, einer ungenügenden Nahrungszufuhr und einer mangelhaften Erholung der Atemmuskulatur.</w:t>
      </w:r>
    </w:p>
    <w:p w14:paraId="3CDBFCCF" w14:textId="32F5D556" w:rsidR="00E11869" w:rsidRPr="00207748" w:rsidRDefault="00447357" w:rsidP="004454B6">
      <w:pPr>
        <w:rPr>
          <w:rStyle w:val="Ohne"/>
          <w:rFonts w:ascii="Cambria" w:eastAsia="Arial" w:hAnsi="Cambria" w:cs="Arial"/>
          <w:sz w:val="20"/>
          <w:szCs w:val="20"/>
        </w:rPr>
      </w:pPr>
      <w:r w:rsidRPr="00207748">
        <w:rPr>
          <w:rStyle w:val="Ohne"/>
          <w:rFonts w:ascii="Cambria" w:hAnsi="Cambria" w:cs="Arial"/>
          <w:sz w:val="20"/>
          <w:szCs w:val="20"/>
        </w:rPr>
        <w:t>Einige kleine RCTs haben einen Vorteil bei der NIV-Nutzung bei leichtem ARDS oder ARDS im Frühstadium oder hypoxischem De-novo-</w:t>
      </w:r>
      <w:r w:rsidRPr="00207748">
        <w:rPr>
          <w:rStyle w:val="Ohne"/>
          <w:rFonts w:ascii="Cambria" w:hAnsi="Cambria" w:cs="Arial"/>
          <w:sz w:val="20"/>
          <w:szCs w:val="20"/>
        </w:rPr>
        <w:lastRenderedPageBreak/>
        <w:t>Lungenversagen nachgewiesen; diese Studien wurden jedoch an stark selektierten Patienten-Populationen durchgeführt.</w:t>
      </w:r>
      <w:r w:rsidR="00323A20" w:rsidRPr="00207748">
        <w:rPr>
          <w:rStyle w:val="Endnotenzeichen"/>
          <w:rFonts w:ascii="Cambria" w:hAnsi="Cambria" w:cs="Arial"/>
          <w:sz w:val="20"/>
          <w:szCs w:val="20"/>
        </w:rPr>
        <w:endnoteReference w:id="446"/>
      </w:r>
      <w:r w:rsidR="00323A20" w:rsidRPr="00207748">
        <w:rPr>
          <w:rStyle w:val="Ohne"/>
          <w:rFonts w:ascii="Cambria" w:hAnsi="Cambria" w:cs="Arial"/>
          <w:sz w:val="20"/>
          <w:szCs w:val="20"/>
        </w:rPr>
        <w:t xml:space="preserve"> </w:t>
      </w:r>
      <w:r w:rsidR="00323A20" w:rsidRPr="00207748">
        <w:rPr>
          <w:rStyle w:val="Endnotenzeichen"/>
          <w:rFonts w:ascii="Cambria" w:hAnsi="Cambria" w:cs="Arial"/>
          <w:sz w:val="20"/>
          <w:szCs w:val="20"/>
        </w:rPr>
        <w:endnoteReference w:id="447"/>
      </w:r>
      <w:r w:rsidRPr="00207748">
        <w:rPr>
          <w:rStyle w:val="Ohne"/>
          <w:rFonts w:ascii="Cambria" w:hAnsi="Cambria" w:cs="Arial"/>
          <w:sz w:val="20"/>
          <w:szCs w:val="20"/>
        </w:rPr>
        <w:t xml:space="preserve"> In jüngerer Zeit verglich ein größere</w:t>
      </w:r>
      <w:r w:rsidR="00B25848">
        <w:rPr>
          <w:rStyle w:val="Ohne"/>
          <w:rFonts w:ascii="Cambria" w:hAnsi="Cambria" w:cs="Arial"/>
          <w:sz w:val="20"/>
          <w:szCs w:val="20"/>
        </w:rPr>
        <w:t>s</w:t>
      </w:r>
      <w:r w:rsidRPr="00207748">
        <w:rPr>
          <w:rStyle w:val="Ohne"/>
          <w:rFonts w:ascii="Cambria" w:hAnsi="Cambria" w:cs="Arial"/>
          <w:sz w:val="20"/>
          <w:szCs w:val="20"/>
        </w:rPr>
        <w:t xml:space="preserve"> RCT an Patienten mit hypoxämischem Lungenversagen die NIV mit der traditionellen Sauerstofftherapie oder der High-Flow-Nasenkanüle.</w:t>
      </w:r>
      <w:r w:rsidR="00323A20" w:rsidRPr="00207748">
        <w:rPr>
          <w:rStyle w:val="Endnotenzeichen"/>
          <w:rFonts w:ascii="Cambria" w:hAnsi="Cambria" w:cs="Arial"/>
          <w:sz w:val="20"/>
          <w:szCs w:val="20"/>
        </w:rPr>
        <w:endnoteReference w:id="448"/>
      </w:r>
      <w:r w:rsidRPr="00207748">
        <w:rPr>
          <w:rStyle w:val="Ohne"/>
          <w:rFonts w:ascii="Cambria" w:hAnsi="Cambria" w:cs="Arial"/>
          <w:sz w:val="20"/>
          <w:szCs w:val="20"/>
        </w:rPr>
        <w:t xml:space="preserve"> Diese Studie </w:t>
      </w:r>
      <w:r w:rsidR="00B25848">
        <w:rPr>
          <w:rStyle w:val="Ohne"/>
          <w:rFonts w:ascii="Cambria" w:hAnsi="Cambria" w:cs="Arial"/>
          <w:sz w:val="20"/>
          <w:szCs w:val="20"/>
        </w:rPr>
        <w:t>wies</w:t>
      </w:r>
      <w:r w:rsidRPr="00207748">
        <w:rPr>
          <w:rStyle w:val="Ohne"/>
          <w:rFonts w:ascii="Cambria" w:hAnsi="Cambria" w:cs="Arial"/>
          <w:sz w:val="20"/>
          <w:szCs w:val="20"/>
        </w:rPr>
        <w:t xml:space="preserve"> eine verbesserte 90-Tage-Überlebensrate mit High-Flow-Sauerstoff im Vergleich zur Standardtherapie oder NIV</w:t>
      </w:r>
      <w:r w:rsidR="00B25848">
        <w:rPr>
          <w:rStyle w:val="Ohne"/>
          <w:rFonts w:ascii="Cambria" w:hAnsi="Cambria" w:cs="Arial"/>
          <w:sz w:val="20"/>
          <w:szCs w:val="20"/>
        </w:rPr>
        <w:t xml:space="preserve"> auf</w:t>
      </w:r>
      <w:r w:rsidRPr="00207748">
        <w:rPr>
          <w:rStyle w:val="Ohne"/>
          <w:rFonts w:ascii="Cambria" w:hAnsi="Cambria" w:cs="Arial"/>
          <w:sz w:val="20"/>
          <w:szCs w:val="20"/>
        </w:rPr>
        <w:t xml:space="preserve">; die NIV-Technik war jedoch nicht standardisiert und die Erfahrung der </w:t>
      </w:r>
      <w:r w:rsidR="00B25848">
        <w:rPr>
          <w:rStyle w:val="Ohne"/>
          <w:rFonts w:ascii="Cambria" w:hAnsi="Cambria" w:cs="Arial"/>
          <w:sz w:val="20"/>
          <w:szCs w:val="20"/>
        </w:rPr>
        <w:t>Studienzentren</w:t>
      </w:r>
      <w:r w:rsidRPr="00207748">
        <w:rPr>
          <w:rStyle w:val="Ohne"/>
          <w:rFonts w:ascii="Cambria" w:hAnsi="Cambria" w:cs="Arial"/>
          <w:sz w:val="20"/>
          <w:szCs w:val="20"/>
        </w:rPr>
        <w:t xml:space="preserve"> variierte. Obwohl High-Flow-Sauerstoff hier nicht </w:t>
      </w:r>
      <w:r w:rsidR="00B25848">
        <w:rPr>
          <w:rStyle w:val="Ohne"/>
          <w:rFonts w:ascii="Cambria" w:hAnsi="Cambria" w:cs="Arial"/>
          <w:sz w:val="20"/>
          <w:szCs w:val="20"/>
        </w:rPr>
        <w:t>adressiert</w:t>
      </w:r>
      <w:r w:rsidRPr="00207748">
        <w:rPr>
          <w:rStyle w:val="Ohne"/>
          <w:rFonts w:ascii="Cambria" w:hAnsi="Cambria" w:cs="Arial"/>
          <w:sz w:val="20"/>
          <w:szCs w:val="20"/>
        </w:rPr>
        <w:t xml:space="preserve"> wird, ist es möglich, dass diese Technik künftig eine größere Rolle bei der Behandlung von hypoxischem Lungenversagen und ARDS spielen wird.</w:t>
      </w:r>
    </w:p>
    <w:p w14:paraId="5E7E5AA1" w14:textId="77777777" w:rsidR="00E11869" w:rsidRPr="00207748" w:rsidRDefault="00447357" w:rsidP="004454B6">
      <w:pPr>
        <w:rPr>
          <w:rStyle w:val="Ohne"/>
          <w:rFonts w:ascii="Cambria" w:eastAsia="Arial" w:hAnsi="Cambria" w:cs="Arial"/>
          <w:sz w:val="20"/>
          <w:szCs w:val="20"/>
        </w:rPr>
      </w:pPr>
      <w:r w:rsidRPr="00207748">
        <w:rPr>
          <w:rStyle w:val="Ohne"/>
          <w:rFonts w:ascii="Cambria" w:hAnsi="Cambria" w:cs="Arial"/>
          <w:sz w:val="20"/>
          <w:szCs w:val="20"/>
        </w:rPr>
        <w:t>Angesichts der Ungewissheit, ob die Kliniker ARDS-Patienten identifizieren können, bei denen sich eine NIV vorteilhaft auswirken könnte, haben wir keine Empfehlung für oder gegen diese Maßnahme ausgesprochen. Falls die NIV-Methode bei Patienten mit ARDS genutzt wird, empfehlen wir eine engmaschige Überwachung des Atemzugvolumens.</w:t>
      </w:r>
    </w:p>
    <w:tbl>
      <w:tblPr>
        <w:tblStyle w:val="TableNormal"/>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96"/>
        <w:gridCol w:w="1560"/>
        <w:gridCol w:w="907"/>
      </w:tblGrid>
      <w:tr w:rsidR="00E11869" w:rsidRPr="00207748" w14:paraId="4D427A0D" w14:textId="77777777" w:rsidTr="00DA3A66">
        <w:trPr>
          <w:trHeight w:val="282"/>
        </w:trPr>
        <w:tc>
          <w:tcPr>
            <w:tcW w:w="1696" w:type="dxa"/>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3067ACA1" w14:textId="77777777" w:rsidR="00E11869" w:rsidRPr="00207748" w:rsidRDefault="00447357" w:rsidP="004454B6">
            <w:pPr>
              <w:rPr>
                <w:rStyle w:val="Ohne"/>
                <w:rFonts w:ascii="Cambria" w:hAnsi="Cambria"/>
                <w:b/>
                <w:bCs/>
                <w:sz w:val="20"/>
                <w:szCs w:val="20"/>
              </w:rPr>
            </w:pPr>
            <w:r w:rsidRPr="00207748">
              <w:rPr>
                <w:rStyle w:val="Ohne"/>
                <w:rFonts w:ascii="Cambria" w:hAnsi="Cambria" w:cs="Arial"/>
                <w:b/>
                <w:bCs/>
                <w:sz w:val="20"/>
                <w:szCs w:val="20"/>
              </w:rPr>
              <w:t>M.20</w:t>
            </w:r>
          </w:p>
        </w:tc>
        <w:tc>
          <w:tcPr>
            <w:tcW w:w="1560" w:type="dxa"/>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145663AC"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 xml:space="preserve">Empfehlung </w:t>
            </w:r>
          </w:p>
        </w:tc>
        <w:tc>
          <w:tcPr>
            <w:tcW w:w="907" w:type="dxa"/>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13A8664"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5E42917D" w14:textId="77777777" w:rsidTr="00DA3A66">
        <w:trPr>
          <w:trHeight w:val="1886"/>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128C1"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Empfehlungsgrad</w:t>
            </w:r>
          </w:p>
          <w:p w14:paraId="66953A65" w14:textId="77777777" w:rsidR="00E11869" w:rsidRPr="00207748" w:rsidRDefault="00E11869" w:rsidP="004454B6">
            <w:pPr>
              <w:spacing w:after="0"/>
              <w:rPr>
                <w:rStyle w:val="Ohne"/>
                <w:rFonts w:ascii="Cambria" w:eastAsia="Arial" w:hAnsi="Cambria" w:cs="Arial"/>
                <w:sz w:val="20"/>
                <w:szCs w:val="20"/>
              </w:rPr>
            </w:pPr>
          </w:p>
          <w:p w14:paraId="05EE1D12" w14:textId="77777777" w:rsidR="00E11869" w:rsidRPr="00207748" w:rsidRDefault="00447357" w:rsidP="004454B6">
            <w:pPr>
              <w:spacing w:after="0"/>
              <w:rPr>
                <w:rStyle w:val="Ohne"/>
                <w:rFonts w:ascii="Cambria" w:eastAsia="Arial" w:hAnsi="Cambria" w:cs="Arial"/>
                <w:b/>
                <w:bCs/>
                <w:sz w:val="20"/>
                <w:szCs w:val="20"/>
              </w:rPr>
            </w:pPr>
            <w:r w:rsidRPr="00207748">
              <w:rPr>
                <w:rStyle w:val="Ohne"/>
                <w:rFonts w:ascii="Cambria" w:hAnsi="Cambria" w:cs="Arial"/>
                <w:b/>
                <w:bCs/>
                <w:sz w:val="20"/>
                <w:szCs w:val="20"/>
              </w:rPr>
              <w:t>stark</w:t>
            </w:r>
          </w:p>
          <w:p w14:paraId="1ADDEFFE" w14:textId="77777777" w:rsidR="00E11869" w:rsidRPr="00207748" w:rsidRDefault="00E11869" w:rsidP="004454B6">
            <w:pPr>
              <w:spacing w:after="0"/>
              <w:rPr>
                <w:rStyle w:val="Ohne"/>
                <w:rFonts w:ascii="Cambria" w:eastAsia="Arial" w:hAnsi="Cambria" w:cs="Arial"/>
                <w:sz w:val="20"/>
                <w:szCs w:val="20"/>
              </w:rPr>
            </w:pPr>
          </w:p>
          <w:p w14:paraId="4F4C9C71"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Evidenzgrad</w:t>
            </w:r>
          </w:p>
          <w:p w14:paraId="491A8B98" w14:textId="77777777" w:rsidR="00E11869" w:rsidRPr="00207748" w:rsidRDefault="00E11869" w:rsidP="004454B6">
            <w:pPr>
              <w:spacing w:after="0"/>
              <w:rPr>
                <w:rStyle w:val="Ohne"/>
                <w:rFonts w:ascii="Cambria" w:eastAsia="Arial" w:hAnsi="Cambria" w:cs="Arial"/>
                <w:sz w:val="20"/>
                <w:szCs w:val="20"/>
              </w:rPr>
            </w:pPr>
          </w:p>
          <w:p w14:paraId="1A6A1951"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hoch</w:t>
            </w:r>
          </w:p>
        </w:tc>
        <w:tc>
          <w:tcPr>
            <w:tcW w:w="24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9FCC2"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Wir empfehlen die Anwendung von protokollbasierten Spontanatmungsversuchen bei mechanisch beatmeten Patienten mit Sepsis.</w:t>
            </w:r>
          </w:p>
        </w:tc>
      </w:tr>
      <w:tr w:rsidR="00E11869" w:rsidRPr="00207748" w14:paraId="54AB8B34" w14:textId="77777777" w:rsidTr="00DA3A66">
        <w:trPr>
          <w:trHeight w:val="282"/>
        </w:trPr>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14:paraId="3AD461B8" w14:textId="77777777" w:rsidR="00E11869" w:rsidRPr="00207748" w:rsidRDefault="00E11869" w:rsidP="004454B6">
            <w:pPr>
              <w:rPr>
                <w:rFonts w:ascii="Cambria" w:hAnsi="Cambria" w:cs="Arial"/>
                <w:sz w:val="20"/>
                <w:szCs w:val="20"/>
              </w:rPr>
            </w:pPr>
          </w:p>
        </w:tc>
        <w:tc>
          <w:tcPr>
            <w:tcW w:w="24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5AC9C" w14:textId="77777777" w:rsidR="00E11869" w:rsidRPr="00207748" w:rsidRDefault="00342FB3" w:rsidP="004454B6">
            <w:pPr>
              <w:spacing w:after="0"/>
              <w:rPr>
                <w:rFonts w:ascii="Cambria" w:hAnsi="Cambria" w:cs="Arial"/>
                <w:sz w:val="20"/>
                <w:szCs w:val="20"/>
              </w:rPr>
            </w:pPr>
            <w:r w:rsidRPr="00207748">
              <w:rPr>
                <w:rStyle w:val="Ohne"/>
                <w:rFonts w:ascii="Cambria" w:hAnsi="Cambria" w:cs="Arial"/>
                <w:b/>
                <w:bCs/>
                <w:sz w:val="20"/>
                <w:szCs w:val="20"/>
              </w:rPr>
              <w:t>SSC-</w:t>
            </w:r>
            <w:r w:rsidR="00447357" w:rsidRPr="00207748">
              <w:rPr>
                <w:rStyle w:val="Ohne"/>
                <w:rFonts w:ascii="Cambria" w:hAnsi="Cambria" w:cs="Arial"/>
                <w:b/>
                <w:bCs/>
                <w:sz w:val="20"/>
                <w:szCs w:val="20"/>
              </w:rPr>
              <w:t xml:space="preserve">Leitlinienadaptation </w:t>
            </w:r>
          </w:p>
        </w:tc>
      </w:tr>
      <w:tr w:rsidR="00E11869" w:rsidRPr="00207748" w14:paraId="4581DB2C" w14:textId="77777777" w:rsidTr="00DA3A66">
        <w:trPr>
          <w:trHeight w:val="282"/>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81C03" w14:textId="77777777" w:rsidR="00E11869" w:rsidRPr="00207748" w:rsidRDefault="00E11869" w:rsidP="004454B6">
            <w:pPr>
              <w:rPr>
                <w:rFonts w:ascii="Cambria" w:hAnsi="Cambria" w:cs="Arial"/>
                <w:sz w:val="20"/>
                <w:szCs w:val="20"/>
              </w:rPr>
            </w:pPr>
          </w:p>
        </w:tc>
        <w:tc>
          <w:tcPr>
            <w:tcW w:w="24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78764"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Konsensstärke: 100 %</w:t>
            </w:r>
          </w:p>
        </w:tc>
      </w:tr>
    </w:tbl>
    <w:p w14:paraId="21C20AA4" w14:textId="5CAFE46C" w:rsidR="00E11869" w:rsidRPr="00207748" w:rsidRDefault="00420A45" w:rsidP="004454B6">
      <w:pPr>
        <w:spacing w:before="240"/>
        <w:rPr>
          <w:rStyle w:val="Ohne"/>
          <w:rFonts w:ascii="Cambria" w:eastAsia="Arial" w:hAnsi="Cambria" w:cs="Arial"/>
          <w:sz w:val="20"/>
          <w:szCs w:val="20"/>
        </w:rPr>
      </w:pPr>
      <w:r w:rsidRPr="00207748">
        <w:rPr>
          <w:rStyle w:val="Ohne"/>
          <w:rFonts w:ascii="Cambria" w:hAnsi="Cambria" w:cs="Arial"/>
          <w:b/>
          <w:bCs/>
          <w:sz w:val="20"/>
          <w:szCs w:val="20"/>
        </w:rPr>
        <w:t>Begründung:</w:t>
      </w:r>
      <w:r w:rsidR="00447357" w:rsidRPr="00207748">
        <w:rPr>
          <w:rStyle w:val="Ohne"/>
          <w:rFonts w:ascii="Cambria" w:hAnsi="Cambria" w:cs="Arial"/>
          <w:sz w:val="20"/>
          <w:szCs w:val="20"/>
        </w:rPr>
        <w:t xml:space="preserve"> Tägliche spontane Atmungsversuche bei sorgfältig ausgewählten Patienten reduzieren die Dauer der mechanischen Beatmung und die Entwöhnungsdauer sowohl in individuellen Studien als auch in der gepoolten Analyse der individuellen Studie</w:t>
      </w:r>
      <w:r w:rsidR="007A2AE7" w:rsidRPr="00207748">
        <w:rPr>
          <w:rStyle w:val="Ohne"/>
          <w:rFonts w:ascii="Cambria" w:hAnsi="Cambria" w:cs="Arial"/>
          <w:sz w:val="20"/>
          <w:szCs w:val="20"/>
        </w:rPr>
        <w:t>n</w:t>
      </w:r>
      <w:r w:rsidR="00447357" w:rsidRPr="00207748">
        <w:rPr>
          <w:rStyle w:val="Ohne"/>
          <w:rFonts w:ascii="Cambria" w:hAnsi="Cambria" w:cs="Arial"/>
          <w:sz w:val="20"/>
          <w:szCs w:val="20"/>
        </w:rPr>
        <w:t>.</w:t>
      </w:r>
      <w:r w:rsidR="007A2AE7" w:rsidRPr="00207748">
        <w:rPr>
          <w:rStyle w:val="Endnotenzeichen"/>
          <w:rFonts w:ascii="Cambria" w:hAnsi="Cambria" w:cs="Arial"/>
          <w:sz w:val="20"/>
          <w:szCs w:val="20"/>
        </w:rPr>
        <w:endnoteReference w:id="449"/>
      </w:r>
      <w:r w:rsidR="007A2AE7" w:rsidRPr="00207748">
        <w:rPr>
          <w:rStyle w:val="Ohne"/>
          <w:rFonts w:ascii="Cambria" w:hAnsi="Cambria" w:cs="Arial"/>
          <w:sz w:val="20"/>
          <w:szCs w:val="20"/>
        </w:rPr>
        <w:t xml:space="preserve"> </w:t>
      </w:r>
      <w:bookmarkStart w:id="444" w:name="_Ref31189327"/>
      <w:r w:rsidR="007A2AE7" w:rsidRPr="00207748">
        <w:rPr>
          <w:rStyle w:val="Endnotenzeichen"/>
          <w:rFonts w:ascii="Cambria" w:hAnsi="Cambria" w:cs="Arial"/>
          <w:sz w:val="20"/>
          <w:szCs w:val="20"/>
        </w:rPr>
        <w:endnoteReference w:id="450"/>
      </w:r>
      <w:bookmarkEnd w:id="444"/>
      <w:r w:rsidR="007A2AE7" w:rsidRPr="00207748">
        <w:rPr>
          <w:rStyle w:val="Ohne"/>
          <w:rFonts w:ascii="Cambria" w:hAnsi="Cambria" w:cs="Arial"/>
          <w:sz w:val="20"/>
          <w:szCs w:val="20"/>
        </w:rPr>
        <w:t xml:space="preserve"> </w:t>
      </w:r>
      <w:r w:rsidR="006B2B71" w:rsidRPr="006B2B71">
        <w:rPr>
          <w:rStyle w:val="EndnoteRealZchn"/>
          <w:sz w:val="20"/>
          <w:szCs w:val="20"/>
        </w:rPr>
        <w:fldChar w:fldCharType="begin"/>
      </w:r>
      <w:r w:rsidR="006B2B71" w:rsidRPr="006B2B71">
        <w:rPr>
          <w:rStyle w:val="EndnoteRealZchn"/>
          <w:sz w:val="20"/>
          <w:szCs w:val="20"/>
        </w:rPr>
        <w:instrText xml:space="preserve"> NOTEREF _Ref30603402 \h  \* MERGEFORMAT </w:instrText>
      </w:r>
      <w:r w:rsidR="006B2B71" w:rsidRPr="006B2B71">
        <w:rPr>
          <w:rStyle w:val="EndnoteRealZchn"/>
          <w:sz w:val="20"/>
          <w:szCs w:val="20"/>
        </w:rPr>
      </w:r>
      <w:r w:rsidR="006B2B71" w:rsidRPr="006B2B71">
        <w:rPr>
          <w:rStyle w:val="EndnoteRealZchn"/>
          <w:sz w:val="20"/>
          <w:szCs w:val="20"/>
        </w:rPr>
        <w:fldChar w:fldCharType="separate"/>
      </w:r>
      <w:r w:rsidR="001A283B">
        <w:rPr>
          <w:rStyle w:val="EndnoteRealZchn"/>
          <w:sz w:val="20"/>
          <w:szCs w:val="20"/>
        </w:rPr>
        <w:t>492</w:t>
      </w:r>
      <w:r w:rsidR="006B2B71" w:rsidRPr="006B2B71">
        <w:rPr>
          <w:rStyle w:val="EndnoteRealZchn"/>
          <w:sz w:val="20"/>
          <w:szCs w:val="20"/>
        </w:rPr>
        <w:fldChar w:fldCharType="end"/>
      </w:r>
      <w:r w:rsidR="00447357" w:rsidRPr="00207748">
        <w:rPr>
          <w:rStyle w:val="Ohne"/>
          <w:rFonts w:ascii="Cambria" w:hAnsi="Cambria" w:cs="Arial"/>
          <w:sz w:val="20"/>
          <w:szCs w:val="20"/>
        </w:rPr>
        <w:t xml:space="preserve">Diese Atmungsversuche sollten in Verbindung mit einem spontanen </w:t>
      </w:r>
      <w:r w:rsidR="00B25848">
        <w:rPr>
          <w:rStyle w:val="Ohne"/>
          <w:rFonts w:ascii="Cambria" w:hAnsi="Cambria" w:cs="Arial"/>
          <w:sz w:val="20"/>
          <w:szCs w:val="20"/>
        </w:rPr>
        <w:t>Aufwach</w:t>
      </w:r>
      <w:r w:rsidR="00447357" w:rsidRPr="00207748">
        <w:rPr>
          <w:rStyle w:val="Ohne"/>
          <w:rFonts w:ascii="Cambria" w:hAnsi="Cambria" w:cs="Arial"/>
          <w:sz w:val="20"/>
          <w:szCs w:val="20"/>
        </w:rPr>
        <w:t xml:space="preserve">versuch durchgeführt </w:t>
      </w:r>
      <w:r w:rsidR="00447357" w:rsidRPr="00207748">
        <w:rPr>
          <w:rStyle w:val="Ohne"/>
          <w:rFonts w:ascii="Cambria" w:hAnsi="Cambria" w:cs="Arial"/>
          <w:sz w:val="20"/>
          <w:szCs w:val="20"/>
        </w:rPr>
        <w:lastRenderedPageBreak/>
        <w:t>werden.</w:t>
      </w:r>
      <w:r w:rsidR="007A2AE7" w:rsidRPr="00207748">
        <w:rPr>
          <w:rStyle w:val="Endnotenzeichen"/>
          <w:rFonts w:ascii="Cambria" w:hAnsi="Cambria" w:cs="Arial"/>
          <w:sz w:val="20"/>
          <w:szCs w:val="20"/>
        </w:rPr>
        <w:endnoteReference w:id="451"/>
      </w:r>
      <w:r w:rsidR="00447357" w:rsidRPr="00207748">
        <w:rPr>
          <w:rStyle w:val="Ohne"/>
          <w:rFonts w:ascii="Cambria" w:hAnsi="Cambria" w:cs="Arial"/>
          <w:sz w:val="20"/>
          <w:szCs w:val="20"/>
        </w:rPr>
        <w:t xml:space="preserve"> Die erfolgreiche Absolvierung von spontanen Atmungsversuchen führt zu einer hohen Wahrscheinlichkeit eines erfolgreichen frühzeitigen Absetzens der mechanischen Beatmung bei nachweislich minimaler Schädlichkeit</w:t>
      </w:r>
    </w:p>
    <w:p w14:paraId="2C1EFF62" w14:textId="77777777" w:rsidR="00E11869" w:rsidRPr="00182D07" w:rsidRDefault="00447357" w:rsidP="004454B6">
      <w:pPr>
        <w:pStyle w:val="berschrift2"/>
        <w:rPr>
          <w:b w:val="0"/>
        </w:rPr>
      </w:pPr>
      <w:bookmarkStart w:id="445" w:name="_Toc25845121"/>
      <w:bookmarkStart w:id="446" w:name="_Toc437861469"/>
      <w:bookmarkStart w:id="447" w:name="_Toc31278507"/>
      <w:r w:rsidRPr="00182D07">
        <w:rPr>
          <w:rStyle w:val="Ohne"/>
        </w:rPr>
        <w:t>N. Sedierung und Analgesie</w:t>
      </w:r>
      <w:bookmarkEnd w:id="445"/>
      <w:bookmarkEnd w:id="446"/>
      <w:bookmarkEnd w:id="447"/>
    </w:p>
    <w:p w14:paraId="3C382938" w14:textId="77777777" w:rsidR="00E11869" w:rsidRPr="00207748" w:rsidRDefault="00E11869" w:rsidP="004454B6">
      <w:pPr>
        <w:spacing w:after="0"/>
        <w:rPr>
          <w:rStyle w:val="Ohne"/>
          <w:rFonts w:ascii="Cambria" w:eastAsia="Arial" w:hAnsi="Cambria" w:cs="Arial"/>
          <w:iCs/>
          <w:sz w:val="20"/>
          <w:szCs w:val="20"/>
        </w:rPr>
      </w:pP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762"/>
        <w:gridCol w:w="1643"/>
        <w:gridCol w:w="820"/>
      </w:tblGrid>
      <w:tr w:rsidR="00E11869" w:rsidRPr="00207748" w14:paraId="25ADE129"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1922248" w14:textId="77777777" w:rsidR="00E11869" w:rsidRPr="00207748" w:rsidRDefault="00447357" w:rsidP="004454B6">
            <w:pPr>
              <w:rPr>
                <w:rStyle w:val="Ohne"/>
                <w:rFonts w:ascii="Cambria" w:hAnsi="Cambria"/>
                <w:b/>
                <w:bCs/>
                <w:sz w:val="20"/>
                <w:szCs w:val="20"/>
              </w:rPr>
            </w:pPr>
            <w:r w:rsidRPr="00207748">
              <w:rPr>
                <w:rStyle w:val="Ohne"/>
                <w:rFonts w:ascii="Cambria" w:hAnsi="Cambria" w:cs="Arial"/>
                <w:b/>
                <w:bCs/>
                <w:sz w:val="20"/>
                <w:szCs w:val="20"/>
              </w:rPr>
              <w:t>N.1</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E3A154C"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454FE917"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442D4D8E" w14:textId="77777777" w:rsidTr="00334AF5">
        <w:trPr>
          <w:trHeight w:val="4426"/>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A3B884"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Expertenkonsens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A5288" w14:textId="77777777" w:rsidR="00E11869" w:rsidRPr="00207748" w:rsidRDefault="00447357" w:rsidP="004454B6">
            <w:pPr>
              <w:spacing w:after="0"/>
              <w:rPr>
                <w:rStyle w:val="Ohne"/>
                <w:rFonts w:ascii="Cambria" w:eastAsia="Arial" w:hAnsi="Cambria" w:cs="Arial"/>
                <w:b/>
                <w:bCs/>
                <w:spacing w:val="-4"/>
                <w:sz w:val="20"/>
                <w:szCs w:val="20"/>
              </w:rPr>
            </w:pPr>
            <w:r w:rsidRPr="00207748">
              <w:rPr>
                <w:rStyle w:val="Ohne"/>
                <w:rFonts w:ascii="Cambria" w:hAnsi="Cambria" w:cs="Arial"/>
                <w:b/>
                <w:bCs/>
                <w:spacing w:val="-4"/>
                <w:sz w:val="20"/>
                <w:szCs w:val="20"/>
              </w:rPr>
              <w:t xml:space="preserve">Wir empfehlen </w:t>
            </w:r>
            <w:r w:rsidR="0028539B" w:rsidRPr="00207748">
              <w:rPr>
                <w:rStyle w:val="Ohne"/>
                <w:rFonts w:ascii="Cambria" w:hAnsi="Cambria" w:cs="Arial"/>
                <w:b/>
                <w:bCs/>
                <w:spacing w:val="-4"/>
                <w:sz w:val="20"/>
                <w:szCs w:val="20"/>
              </w:rPr>
              <w:t>die Minimierung einer</w:t>
            </w:r>
            <w:r w:rsidRPr="00207748">
              <w:rPr>
                <w:rStyle w:val="Ohne"/>
                <w:rFonts w:ascii="Cambria" w:hAnsi="Cambria" w:cs="Arial"/>
                <w:b/>
                <w:bCs/>
                <w:spacing w:val="-4"/>
                <w:sz w:val="20"/>
                <w:szCs w:val="20"/>
              </w:rPr>
              <w:t xml:space="preserve"> kontinuierliche</w:t>
            </w:r>
            <w:r w:rsidR="0028539B" w:rsidRPr="00207748">
              <w:rPr>
                <w:rStyle w:val="Ohne"/>
                <w:rFonts w:ascii="Cambria" w:hAnsi="Cambria" w:cs="Arial"/>
                <w:b/>
                <w:bCs/>
                <w:spacing w:val="-4"/>
                <w:sz w:val="20"/>
                <w:szCs w:val="20"/>
              </w:rPr>
              <w:t>n</w:t>
            </w:r>
            <w:r w:rsidRPr="00207748">
              <w:rPr>
                <w:rStyle w:val="Ohne"/>
                <w:rFonts w:ascii="Cambria" w:hAnsi="Cambria" w:cs="Arial"/>
                <w:b/>
                <w:bCs/>
                <w:spacing w:val="-4"/>
                <w:sz w:val="20"/>
                <w:szCs w:val="20"/>
              </w:rPr>
              <w:t xml:space="preserve"> oder </w:t>
            </w:r>
            <w:r w:rsidR="0028539B" w:rsidRPr="00207748">
              <w:rPr>
                <w:rStyle w:val="Ohne"/>
                <w:rFonts w:ascii="Cambria" w:hAnsi="Cambria" w:cs="Arial"/>
                <w:b/>
                <w:bCs/>
                <w:spacing w:val="-4"/>
                <w:sz w:val="20"/>
                <w:szCs w:val="20"/>
              </w:rPr>
              <w:t xml:space="preserve">diskontinuierlichen </w:t>
            </w:r>
            <w:r w:rsidRPr="00207748">
              <w:rPr>
                <w:rStyle w:val="Ohne"/>
                <w:rFonts w:ascii="Cambria" w:hAnsi="Cambria" w:cs="Arial"/>
                <w:b/>
                <w:bCs/>
                <w:spacing w:val="-4"/>
                <w:sz w:val="20"/>
                <w:szCs w:val="20"/>
              </w:rPr>
              <w:t>Sedierung bei beatmeten Sepsis-Patienten bis zu festgelegten Titrationsendpunkten.</w:t>
            </w:r>
          </w:p>
          <w:p w14:paraId="596CF62F"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Der Zielwert auf der Richmond Agitation-Sedation Scale (RASS) für alle intensivmedizinisch behandelten Patienten ist außerhalb von speziellen Indikationen 0/-1.</w:t>
            </w:r>
          </w:p>
        </w:tc>
      </w:tr>
      <w:tr w:rsidR="00E11869" w:rsidRPr="00207748" w14:paraId="6EAB8C48" w14:textId="77777777" w:rsidTr="00342FB3">
        <w:trPr>
          <w:trHeight w:val="112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19050A51"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99512" w14:textId="77777777" w:rsidR="00E11869" w:rsidRPr="00207748" w:rsidRDefault="00447357" w:rsidP="004454B6">
            <w:pPr>
              <w:spacing w:after="0"/>
              <w:rPr>
                <w:rStyle w:val="Ohne"/>
                <w:rFonts w:ascii="Cambria" w:eastAsia="Arial" w:hAnsi="Cambria" w:cs="Arial"/>
                <w:b/>
                <w:bCs/>
                <w:sz w:val="20"/>
                <w:szCs w:val="20"/>
              </w:rPr>
            </w:pPr>
            <w:r w:rsidRPr="00207748">
              <w:rPr>
                <w:rStyle w:val="Ohne"/>
                <w:rFonts w:ascii="Cambria" w:hAnsi="Cambria" w:cs="Arial"/>
                <w:b/>
                <w:bCs/>
                <w:sz w:val="20"/>
                <w:szCs w:val="20"/>
              </w:rPr>
              <w:t>SSC</w:t>
            </w:r>
            <w:r w:rsidR="001A58EF" w:rsidRPr="00207748">
              <w:rPr>
                <w:rStyle w:val="Ohne"/>
                <w:rFonts w:ascii="Cambria" w:hAnsi="Cambria" w:cs="Arial"/>
                <w:b/>
                <w:bCs/>
                <w:sz w:val="20"/>
                <w:szCs w:val="20"/>
              </w:rPr>
              <w:t>-</w:t>
            </w:r>
            <w:r w:rsidRPr="00207748">
              <w:rPr>
                <w:rStyle w:val="Ohne"/>
                <w:rFonts w:ascii="Cambria" w:hAnsi="Cambria" w:cs="Arial"/>
                <w:b/>
                <w:bCs/>
                <w:sz w:val="20"/>
                <w:szCs w:val="20"/>
              </w:rPr>
              <w:t>Leitlinienadaptation;</w:t>
            </w:r>
          </w:p>
          <w:p w14:paraId="7A88D6F6"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Zusätzliche DSG-Ergänzung</w:t>
            </w:r>
          </w:p>
        </w:tc>
      </w:tr>
      <w:tr w:rsidR="00E11869" w:rsidRPr="00207748" w14:paraId="6FE0B5D9"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19C2B"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0FAC1"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Konsensstärke: 100 %</w:t>
            </w:r>
          </w:p>
        </w:tc>
      </w:tr>
    </w:tbl>
    <w:p w14:paraId="1AAD29DD" w14:textId="5BE92D93" w:rsidR="00E11869" w:rsidRPr="00207748" w:rsidRDefault="00420A45" w:rsidP="004454B6">
      <w:pPr>
        <w:spacing w:before="240"/>
        <w:rPr>
          <w:rStyle w:val="Ohne"/>
          <w:rFonts w:ascii="Cambria" w:eastAsia="Arial" w:hAnsi="Cambria" w:cs="Arial"/>
          <w:sz w:val="20"/>
          <w:szCs w:val="20"/>
        </w:rPr>
      </w:pPr>
      <w:r w:rsidRPr="00207748">
        <w:rPr>
          <w:rStyle w:val="Ohne"/>
          <w:rFonts w:ascii="Cambria" w:hAnsi="Cambria" w:cs="Arial"/>
          <w:b/>
          <w:bCs/>
          <w:sz w:val="20"/>
          <w:szCs w:val="20"/>
        </w:rPr>
        <w:t>Begründung:</w:t>
      </w:r>
      <w:r w:rsidR="00447357" w:rsidRPr="00207748">
        <w:rPr>
          <w:rStyle w:val="Ohne"/>
          <w:rFonts w:ascii="Cambria" w:hAnsi="Cambria" w:cs="Arial"/>
          <w:sz w:val="20"/>
          <w:szCs w:val="20"/>
        </w:rPr>
        <w:t xml:space="preserve"> Die Eingrenzung der Nutzung einer Sedierung bei kritisch erkrankten beatmeten Patienten reduziert die Dauer der mechanischen Beatmung und die Aufenthaltsdauer auf der ITS und im Krankenhaus und ermöglicht eine frühere Mobilisierung</w:t>
      </w:r>
      <w:r w:rsidR="00E569D2" w:rsidRPr="00207748">
        <w:rPr>
          <w:rStyle w:val="Ohne"/>
          <w:rFonts w:ascii="Cambria" w:hAnsi="Cambria" w:cs="Arial"/>
          <w:sz w:val="20"/>
          <w:szCs w:val="20"/>
        </w:rPr>
        <w:t>.</w:t>
      </w:r>
      <w:r w:rsidR="00447357" w:rsidRPr="00207748">
        <w:rPr>
          <w:rStyle w:val="Ohne"/>
          <w:rFonts w:ascii="Cambria" w:eastAsia="Arial" w:hAnsi="Cambria" w:cs="Arial"/>
          <w:sz w:val="20"/>
          <w:szCs w:val="20"/>
          <w:vertAlign w:val="superscript"/>
        </w:rPr>
        <w:endnoteReference w:id="452"/>
      </w:r>
      <w:r w:rsidR="00447357" w:rsidRPr="00207748">
        <w:rPr>
          <w:rStyle w:val="Ohne"/>
          <w:rFonts w:ascii="Cambria" w:hAnsi="Cambria" w:cs="Arial"/>
          <w:sz w:val="20"/>
          <w:szCs w:val="20"/>
        </w:rPr>
        <w:t xml:space="preserve"> </w:t>
      </w:r>
      <w:r w:rsidR="00447357" w:rsidRPr="00207748">
        <w:rPr>
          <w:rStyle w:val="Ohne"/>
          <w:rFonts w:ascii="Cambria" w:eastAsia="Arial" w:hAnsi="Cambria" w:cs="Arial"/>
          <w:sz w:val="20"/>
          <w:szCs w:val="20"/>
          <w:vertAlign w:val="superscript"/>
        </w:rPr>
        <w:endnoteReference w:id="453"/>
      </w:r>
      <w:r w:rsidR="00447357" w:rsidRPr="00207748">
        <w:rPr>
          <w:rStyle w:val="Ohne"/>
          <w:rFonts w:ascii="Cambria" w:hAnsi="Cambria" w:cs="Arial"/>
          <w:sz w:val="20"/>
          <w:szCs w:val="20"/>
        </w:rPr>
        <w:t xml:space="preserve"> Während diese Daten aus Studien stammen, die an einem großen Spektrum an kritisch erkrankten Patienten durchgeführt wurden, besteht wenig Grund zur Annahme, dass </w:t>
      </w:r>
      <w:r w:rsidR="00B25848">
        <w:rPr>
          <w:rStyle w:val="Ohne"/>
          <w:rFonts w:ascii="Cambria" w:hAnsi="Cambria" w:cs="Arial"/>
          <w:sz w:val="20"/>
          <w:szCs w:val="20"/>
        </w:rPr>
        <w:t xml:space="preserve">bei </w:t>
      </w:r>
      <w:r w:rsidR="00447357" w:rsidRPr="00207748">
        <w:rPr>
          <w:rStyle w:val="Ohne"/>
          <w:rFonts w:ascii="Cambria" w:hAnsi="Cambria" w:cs="Arial"/>
          <w:sz w:val="20"/>
          <w:szCs w:val="20"/>
        </w:rPr>
        <w:t>septische</w:t>
      </w:r>
      <w:r w:rsidR="00B25848">
        <w:rPr>
          <w:rStyle w:val="Ohne"/>
          <w:rFonts w:ascii="Cambria" w:hAnsi="Cambria" w:cs="Arial"/>
          <w:sz w:val="20"/>
          <w:szCs w:val="20"/>
        </w:rPr>
        <w:t>n</w:t>
      </w:r>
      <w:r w:rsidR="00447357" w:rsidRPr="00207748">
        <w:rPr>
          <w:rStyle w:val="Ohne"/>
          <w:rFonts w:ascii="Cambria" w:hAnsi="Cambria" w:cs="Arial"/>
          <w:sz w:val="20"/>
          <w:szCs w:val="20"/>
        </w:rPr>
        <w:t xml:space="preserve"> Patienten nicht die gleichen Vorteile </w:t>
      </w:r>
      <w:r w:rsidR="00B25848">
        <w:rPr>
          <w:rStyle w:val="Ohne"/>
          <w:rFonts w:ascii="Cambria" w:hAnsi="Cambria" w:cs="Arial"/>
          <w:sz w:val="20"/>
          <w:szCs w:val="20"/>
        </w:rPr>
        <w:t>nachweisbar sind</w:t>
      </w:r>
      <w:r w:rsidR="00447357" w:rsidRPr="00207748">
        <w:rPr>
          <w:rStyle w:val="Ohne"/>
          <w:rFonts w:ascii="Cambria" w:hAnsi="Cambria" w:cs="Arial"/>
          <w:sz w:val="20"/>
          <w:szCs w:val="20"/>
        </w:rPr>
        <w:t>.</w:t>
      </w:r>
    </w:p>
    <w:p w14:paraId="002BC9A6" w14:textId="07646537" w:rsidR="00E11869" w:rsidRPr="00207748" w:rsidRDefault="00447357" w:rsidP="004454B6">
      <w:pPr>
        <w:spacing w:before="240"/>
        <w:rPr>
          <w:rStyle w:val="Ohne"/>
          <w:rFonts w:ascii="Cambria" w:eastAsia="Arial" w:hAnsi="Cambria" w:cs="Arial"/>
          <w:sz w:val="20"/>
          <w:szCs w:val="20"/>
        </w:rPr>
      </w:pPr>
      <w:r w:rsidRPr="00207748">
        <w:rPr>
          <w:rStyle w:val="Ohne"/>
          <w:rFonts w:ascii="Cambria" w:hAnsi="Cambria" w:cs="Arial"/>
          <w:sz w:val="20"/>
          <w:szCs w:val="20"/>
        </w:rPr>
        <w:lastRenderedPageBreak/>
        <w:t xml:space="preserve">Diverse Strategien haben nachweislich die Nutzung von Sedativa und </w:t>
      </w:r>
      <w:r w:rsidR="00170302">
        <w:rPr>
          <w:rStyle w:val="Ohne"/>
          <w:rFonts w:ascii="Cambria" w:hAnsi="Cambria" w:cs="Arial"/>
          <w:sz w:val="20"/>
          <w:szCs w:val="20"/>
        </w:rPr>
        <w:t xml:space="preserve">damit </w:t>
      </w:r>
      <w:r w:rsidRPr="00207748">
        <w:rPr>
          <w:rStyle w:val="Ohne"/>
          <w:rFonts w:ascii="Cambria" w:hAnsi="Cambria" w:cs="Arial"/>
          <w:sz w:val="20"/>
          <w:szCs w:val="20"/>
        </w:rPr>
        <w:t>die Dauer der mechanischen Beatmung reduzier</w:t>
      </w:r>
      <w:r w:rsidR="00170302">
        <w:rPr>
          <w:rStyle w:val="Ohne"/>
          <w:rFonts w:ascii="Cambria" w:hAnsi="Cambria" w:cs="Arial"/>
          <w:sz w:val="20"/>
          <w:szCs w:val="20"/>
        </w:rPr>
        <w:t>en können</w:t>
      </w:r>
      <w:r w:rsidRPr="00207748">
        <w:rPr>
          <w:rStyle w:val="Ohne"/>
          <w:rFonts w:ascii="Cambria" w:hAnsi="Cambria" w:cs="Arial"/>
          <w:sz w:val="20"/>
          <w:szCs w:val="20"/>
        </w:rPr>
        <w:t xml:space="preserve">. Durch das Pflegepersonal gesteuerte Protokolle, die eine Sedierungsskala beinhalten, führen mit großer Wahrscheinlichkeit zu besseren Ergebnissen; allerdings hängt der Nutzen von der vorhandenen lokalen </w:t>
      </w:r>
      <w:r w:rsidR="00170302">
        <w:rPr>
          <w:rStyle w:val="Ohne"/>
          <w:rFonts w:ascii="Cambria" w:hAnsi="Cambria" w:cs="Arial"/>
          <w:sz w:val="20"/>
          <w:szCs w:val="20"/>
        </w:rPr>
        <w:t>Gewohnheiten</w:t>
      </w:r>
      <w:r w:rsidRPr="00207748">
        <w:rPr>
          <w:rStyle w:val="Ohne"/>
          <w:rFonts w:ascii="Cambria" w:hAnsi="Cambria" w:cs="Arial"/>
          <w:sz w:val="20"/>
          <w:szCs w:val="20"/>
        </w:rPr>
        <w:t xml:space="preserve"> und </w:t>
      </w:r>
      <w:r w:rsidR="00170302">
        <w:rPr>
          <w:rStyle w:val="Ohne"/>
          <w:rFonts w:ascii="Cambria" w:hAnsi="Cambria" w:cs="Arial"/>
          <w:sz w:val="20"/>
          <w:szCs w:val="20"/>
        </w:rPr>
        <w:t>der</w:t>
      </w:r>
      <w:r w:rsidRPr="00207748">
        <w:rPr>
          <w:rStyle w:val="Ohne"/>
          <w:rFonts w:ascii="Cambria" w:hAnsi="Cambria" w:cs="Arial"/>
          <w:sz w:val="20"/>
          <w:szCs w:val="20"/>
        </w:rPr>
        <w:t xml:space="preserve"> Praxis ab</w:t>
      </w:r>
      <w:r w:rsidR="00E569D2" w:rsidRPr="00207748">
        <w:rPr>
          <w:rStyle w:val="Ohne"/>
          <w:rFonts w:ascii="Cambria" w:hAnsi="Cambria" w:cs="Arial"/>
          <w:sz w:val="20"/>
          <w:szCs w:val="20"/>
        </w:rPr>
        <w:t>.</w:t>
      </w:r>
      <w:r w:rsidRPr="00207748">
        <w:rPr>
          <w:rStyle w:val="Ohne"/>
          <w:rFonts w:ascii="Cambria" w:eastAsia="Arial" w:hAnsi="Cambria" w:cs="Arial"/>
          <w:sz w:val="20"/>
          <w:szCs w:val="20"/>
          <w:vertAlign w:val="superscript"/>
        </w:rPr>
        <w:endnoteReference w:id="454"/>
      </w:r>
      <w:r w:rsidRPr="00207748">
        <w:rPr>
          <w:rStyle w:val="Ohne"/>
          <w:rFonts w:ascii="Cambria" w:hAnsi="Cambria" w:cs="Arial"/>
          <w:sz w:val="20"/>
          <w:szCs w:val="20"/>
        </w:rPr>
        <w:t xml:space="preserve"> </w:t>
      </w:r>
      <w:r w:rsidRPr="00207748">
        <w:rPr>
          <w:rStyle w:val="Ohne"/>
          <w:rFonts w:ascii="Cambria" w:eastAsia="Arial" w:hAnsi="Cambria" w:cs="Arial"/>
          <w:sz w:val="20"/>
          <w:szCs w:val="20"/>
          <w:vertAlign w:val="superscript"/>
        </w:rPr>
        <w:endnoteReference w:id="455"/>
      </w:r>
      <w:r w:rsidRPr="00207748">
        <w:rPr>
          <w:rStyle w:val="Ohne"/>
          <w:rFonts w:ascii="Cambria" w:hAnsi="Cambria" w:cs="Arial"/>
          <w:sz w:val="20"/>
          <w:szCs w:val="20"/>
        </w:rPr>
        <w:t xml:space="preserve"> Eine andere Option für die systematische Begrenzung des Einsatzes von Sedierungsmaßnahmen ist die bevorzugte Verabreichung von intermittierend anstelle von kontinuierlich</w:t>
      </w:r>
      <w:r w:rsidR="00170302">
        <w:rPr>
          <w:rStyle w:val="Ohne"/>
          <w:rFonts w:ascii="Cambria" w:hAnsi="Cambria" w:cs="Arial"/>
          <w:sz w:val="20"/>
          <w:szCs w:val="20"/>
        </w:rPr>
        <w:t xml:space="preserve"> verabreichten</w:t>
      </w:r>
      <w:r w:rsidRPr="00207748">
        <w:rPr>
          <w:rStyle w:val="Ohne"/>
          <w:rFonts w:ascii="Cambria" w:hAnsi="Cambria" w:cs="Arial"/>
          <w:sz w:val="20"/>
          <w:szCs w:val="20"/>
        </w:rPr>
        <w:t xml:space="preserve"> Sedativa</w:t>
      </w:r>
      <w:r w:rsidR="00E569D2" w:rsidRPr="00207748">
        <w:rPr>
          <w:rStyle w:val="Ohne"/>
          <w:rFonts w:ascii="Cambria" w:hAnsi="Cambria" w:cs="Arial"/>
          <w:sz w:val="20"/>
          <w:szCs w:val="20"/>
        </w:rPr>
        <w:t>.</w:t>
      </w:r>
      <w:r w:rsidRPr="00207748">
        <w:rPr>
          <w:rStyle w:val="Ohne"/>
          <w:rFonts w:ascii="Cambria" w:eastAsia="Arial" w:hAnsi="Cambria" w:cs="Arial"/>
          <w:sz w:val="20"/>
          <w:szCs w:val="20"/>
          <w:vertAlign w:val="superscript"/>
        </w:rPr>
        <w:endnoteReference w:id="456"/>
      </w:r>
      <w:r w:rsidRPr="00207748">
        <w:rPr>
          <w:rStyle w:val="Ohne"/>
          <w:rFonts w:ascii="Cambria" w:hAnsi="Cambria" w:cs="Arial"/>
          <w:sz w:val="20"/>
          <w:szCs w:val="20"/>
        </w:rPr>
        <w:t xml:space="preserve"> </w:t>
      </w:r>
      <w:r w:rsidRPr="00207748">
        <w:rPr>
          <w:rStyle w:val="Ohne"/>
          <w:rFonts w:ascii="Cambria" w:eastAsia="Arial" w:hAnsi="Cambria" w:cs="Arial"/>
          <w:sz w:val="20"/>
          <w:szCs w:val="20"/>
          <w:vertAlign w:val="superscript"/>
        </w:rPr>
        <w:endnoteReference w:id="457"/>
      </w:r>
      <w:r w:rsidRPr="00207748">
        <w:rPr>
          <w:rStyle w:val="Ohne"/>
          <w:rFonts w:ascii="Cambria" w:hAnsi="Cambria" w:cs="Arial"/>
          <w:sz w:val="20"/>
          <w:szCs w:val="20"/>
        </w:rPr>
        <w:t xml:space="preserve"> Eine tägliche Sedationsunterbrechung (Daily </w:t>
      </w:r>
      <w:r w:rsidR="001A58EF" w:rsidRPr="00207748">
        <w:rPr>
          <w:rStyle w:val="Ohne"/>
          <w:rFonts w:ascii="Cambria" w:hAnsi="Cambria" w:cs="Arial"/>
          <w:sz w:val="20"/>
          <w:szCs w:val="20"/>
        </w:rPr>
        <w:t>S</w:t>
      </w:r>
      <w:r w:rsidRPr="00207748">
        <w:rPr>
          <w:rStyle w:val="Ohne"/>
          <w:rFonts w:ascii="Cambria" w:hAnsi="Cambria" w:cs="Arial"/>
          <w:sz w:val="20"/>
          <w:szCs w:val="20"/>
        </w:rPr>
        <w:t xml:space="preserve">edation </w:t>
      </w:r>
      <w:r w:rsidR="001A58EF" w:rsidRPr="00207748">
        <w:rPr>
          <w:rStyle w:val="Ohne"/>
          <w:rFonts w:ascii="Cambria" w:hAnsi="Cambria" w:cs="Arial"/>
          <w:sz w:val="20"/>
          <w:szCs w:val="20"/>
        </w:rPr>
        <w:t>I</w:t>
      </w:r>
      <w:r w:rsidRPr="00207748">
        <w:rPr>
          <w:rStyle w:val="Ohne"/>
          <w:rFonts w:ascii="Cambria" w:hAnsi="Cambria" w:cs="Arial"/>
          <w:sz w:val="20"/>
          <w:szCs w:val="20"/>
        </w:rPr>
        <w:t xml:space="preserve">nterruption, DSI) war mit verbesserten Ergebnissen in einer monozentrischen randomisierten Studie im Vergleich zur </w:t>
      </w:r>
      <w:r w:rsidR="00170302">
        <w:rPr>
          <w:rStyle w:val="Ohne"/>
          <w:rFonts w:ascii="Cambria" w:hAnsi="Cambria" w:cs="Arial"/>
          <w:sz w:val="20"/>
          <w:szCs w:val="20"/>
        </w:rPr>
        <w:t>Standardb</w:t>
      </w:r>
      <w:r w:rsidRPr="00207748">
        <w:rPr>
          <w:rStyle w:val="Ohne"/>
          <w:rFonts w:ascii="Cambria" w:hAnsi="Cambria" w:cs="Arial"/>
          <w:sz w:val="20"/>
          <w:szCs w:val="20"/>
        </w:rPr>
        <w:t>ehandlung verbunden</w:t>
      </w:r>
      <w:r w:rsidR="00E569D2" w:rsidRPr="00207748">
        <w:rPr>
          <w:rStyle w:val="Ohne"/>
          <w:rFonts w:ascii="Cambria" w:hAnsi="Cambria" w:cs="Arial"/>
          <w:sz w:val="20"/>
          <w:szCs w:val="20"/>
        </w:rPr>
        <w:t>.</w:t>
      </w:r>
      <w:r w:rsidR="00EF1A9E" w:rsidRPr="00EF1A9E">
        <w:rPr>
          <w:rStyle w:val="EndnoteRealZchn"/>
        </w:rPr>
        <w:fldChar w:fldCharType="begin"/>
      </w:r>
      <w:r w:rsidR="00EF1A9E" w:rsidRPr="00EF1A9E">
        <w:rPr>
          <w:rStyle w:val="EndnoteRealZchn"/>
        </w:rPr>
        <w:instrText xml:space="preserve"> NOTEREF _Ref31189327 \h </w:instrText>
      </w:r>
      <w:r w:rsidR="00EF1A9E">
        <w:rPr>
          <w:rStyle w:val="EndnoteRealZchn"/>
        </w:rPr>
        <w:instrText xml:space="preserve"> \* MERGEFORMAT </w:instrText>
      </w:r>
      <w:r w:rsidR="00EF1A9E" w:rsidRPr="00EF1A9E">
        <w:rPr>
          <w:rStyle w:val="EndnoteRealZchn"/>
        </w:rPr>
      </w:r>
      <w:r w:rsidR="00EF1A9E" w:rsidRPr="00EF1A9E">
        <w:rPr>
          <w:rStyle w:val="EndnoteRealZchn"/>
        </w:rPr>
        <w:fldChar w:fldCharType="separate"/>
      </w:r>
      <w:r w:rsidR="00EF1A9E" w:rsidRPr="00EF1A9E">
        <w:rPr>
          <w:rStyle w:val="EndnoteRealZchn"/>
        </w:rPr>
        <w:t>457</w:t>
      </w:r>
      <w:r w:rsidR="00EF1A9E" w:rsidRPr="00EF1A9E">
        <w:rPr>
          <w:rStyle w:val="EndnoteRealZchn"/>
        </w:rPr>
        <w:fldChar w:fldCharType="end"/>
      </w:r>
      <w:r w:rsidRPr="00207748">
        <w:rPr>
          <w:rStyle w:val="Ohne"/>
          <w:rFonts w:ascii="Cambria" w:hAnsi="Cambria" w:cs="Arial"/>
          <w:sz w:val="20"/>
          <w:szCs w:val="20"/>
        </w:rPr>
        <w:t xml:space="preserve"> Allerdings wurde in einer multizentrischen RCT kein Vorteil im Zusammenhang mit einer DSI festgestellt, wenn die Patienten unter Nutzung eines Sedierungsprotokolls behandelt wurden. Zudem </w:t>
      </w:r>
      <w:r w:rsidR="00170302">
        <w:rPr>
          <w:rStyle w:val="Ohne"/>
          <w:rFonts w:ascii="Cambria" w:hAnsi="Cambria" w:cs="Arial"/>
          <w:sz w:val="20"/>
          <w:szCs w:val="20"/>
        </w:rPr>
        <w:t>war dieses mit erhöhtem Aufwand für das</w:t>
      </w:r>
      <w:r w:rsidRPr="00207748">
        <w:rPr>
          <w:rStyle w:val="Ohne"/>
          <w:rFonts w:ascii="Cambria" w:hAnsi="Cambria" w:cs="Arial"/>
          <w:sz w:val="20"/>
          <w:szCs w:val="20"/>
        </w:rPr>
        <w:t xml:space="preserve"> das Pflegepersonal </w:t>
      </w:r>
      <w:r w:rsidR="00170302">
        <w:rPr>
          <w:rStyle w:val="Ohne"/>
          <w:rFonts w:ascii="Cambria" w:hAnsi="Cambria" w:cs="Arial"/>
          <w:sz w:val="20"/>
          <w:szCs w:val="20"/>
        </w:rPr>
        <w:t>verbunden</w:t>
      </w:r>
      <w:r w:rsidR="00E569D2" w:rsidRPr="00207748">
        <w:rPr>
          <w:rStyle w:val="Ohne"/>
          <w:rFonts w:ascii="Cambria" w:hAnsi="Cambria" w:cs="Arial"/>
          <w:sz w:val="20"/>
          <w:szCs w:val="20"/>
        </w:rPr>
        <w:t>.</w:t>
      </w:r>
      <w:r w:rsidRPr="00207748">
        <w:rPr>
          <w:rStyle w:val="Ohne"/>
          <w:rFonts w:ascii="Cambria" w:eastAsia="Arial" w:hAnsi="Cambria" w:cs="Arial"/>
          <w:sz w:val="20"/>
          <w:szCs w:val="20"/>
          <w:vertAlign w:val="superscript"/>
        </w:rPr>
        <w:endnoteReference w:id="458"/>
      </w:r>
      <w:r w:rsidRPr="00207748">
        <w:rPr>
          <w:rStyle w:val="Ohne"/>
          <w:rFonts w:ascii="Cambria" w:hAnsi="Cambria" w:cs="Arial"/>
          <w:sz w:val="20"/>
          <w:szCs w:val="20"/>
        </w:rPr>
        <w:t xml:space="preserve"> Eine vor kurzem durchgeführte Cochrane-Meta-Analyse ergab keine starke Evidenz dafür, dass eine DSI die Dauer der mechanischen Beatmung, die Mortalität, die Aufenthaltsdauer auf der ITS oder im Krankenhaus sowie die Nebenwirkungsraten oder den Medikamentenverbrauch von kritisch erkrankten Patienten</w:t>
      </w:r>
      <w:r w:rsidR="00170302">
        <w:rPr>
          <w:rStyle w:val="Ohne"/>
          <w:rFonts w:ascii="Cambria" w:hAnsi="Cambria" w:cs="Arial"/>
          <w:sz w:val="20"/>
          <w:szCs w:val="20"/>
        </w:rPr>
        <w:t xml:space="preserve"> reduziert</w:t>
      </w:r>
      <w:r w:rsidRPr="00207748">
        <w:rPr>
          <w:rStyle w:val="Ohne"/>
          <w:rFonts w:ascii="Cambria" w:hAnsi="Cambria" w:cs="Arial"/>
          <w:sz w:val="20"/>
          <w:szCs w:val="20"/>
        </w:rPr>
        <w:t xml:space="preserve">. Allerdings ist die Interpretation dieser Ergebnisse durch eine </w:t>
      </w:r>
      <w:r w:rsidR="00170302">
        <w:rPr>
          <w:rStyle w:val="Ohne"/>
          <w:rFonts w:ascii="Cambria" w:hAnsi="Cambria" w:cs="Arial"/>
          <w:sz w:val="20"/>
          <w:szCs w:val="20"/>
        </w:rPr>
        <w:t>hohe</w:t>
      </w:r>
      <w:r w:rsidRPr="00207748">
        <w:rPr>
          <w:rStyle w:val="Ohne"/>
          <w:rFonts w:ascii="Cambria" w:hAnsi="Cambria" w:cs="Arial"/>
          <w:sz w:val="20"/>
          <w:szCs w:val="20"/>
        </w:rPr>
        <w:t xml:space="preserve"> klinische Heterogenität limitiert</w:t>
      </w:r>
      <w:r w:rsidR="00E569D2" w:rsidRPr="00207748">
        <w:rPr>
          <w:rStyle w:val="Ohne"/>
          <w:rFonts w:ascii="Cambria" w:hAnsi="Cambria" w:cs="Arial"/>
          <w:sz w:val="20"/>
          <w:szCs w:val="20"/>
        </w:rPr>
        <w:t>.</w:t>
      </w:r>
      <w:r w:rsidRPr="00207748">
        <w:rPr>
          <w:rStyle w:val="Ohne"/>
          <w:rFonts w:ascii="Cambria" w:eastAsia="Arial" w:hAnsi="Cambria" w:cs="Arial"/>
          <w:sz w:val="20"/>
          <w:szCs w:val="20"/>
          <w:vertAlign w:val="superscript"/>
        </w:rPr>
        <w:endnoteReference w:id="459"/>
      </w:r>
    </w:p>
    <w:p w14:paraId="2AE387EC" w14:textId="0024572B" w:rsidR="00E11869" w:rsidRPr="00207748" w:rsidRDefault="00447357" w:rsidP="004454B6">
      <w:pPr>
        <w:spacing w:before="240"/>
        <w:rPr>
          <w:rStyle w:val="Ohne"/>
          <w:rFonts w:ascii="Cambria" w:eastAsia="Arial" w:hAnsi="Cambria" w:cs="Arial"/>
          <w:sz w:val="20"/>
          <w:szCs w:val="20"/>
        </w:rPr>
      </w:pPr>
      <w:r w:rsidRPr="00207748">
        <w:rPr>
          <w:rStyle w:val="Ohne"/>
          <w:rFonts w:ascii="Cambria" w:hAnsi="Cambria" w:cs="Arial"/>
          <w:sz w:val="20"/>
          <w:szCs w:val="20"/>
        </w:rPr>
        <w:t xml:space="preserve">Eine andere Strategie besteht in der primären, alleinigen Nutzung von Opioiden und der Vermeidung von Sedativa, wobei in einer monozentrischen Studie nachgewiesen wurde, dass diese Strategie bei der Mehrheit der beatmeten Patienten realisierbar und mit einer schnelleren </w:t>
      </w:r>
      <w:r w:rsidR="00170302">
        <w:rPr>
          <w:rStyle w:val="Ohne"/>
          <w:rFonts w:ascii="Cambria" w:hAnsi="Cambria" w:cs="Arial"/>
          <w:sz w:val="20"/>
          <w:szCs w:val="20"/>
        </w:rPr>
        <w:t>Entwöhnung</w:t>
      </w:r>
      <w:r w:rsidRPr="00207748">
        <w:rPr>
          <w:rStyle w:val="Ohne"/>
          <w:rFonts w:ascii="Cambria" w:hAnsi="Cambria" w:cs="Arial"/>
          <w:sz w:val="20"/>
          <w:szCs w:val="20"/>
        </w:rPr>
        <w:t xml:space="preserve"> von der mechanischen Beatmung verbunden war</w:t>
      </w:r>
      <w:r w:rsidR="00E569D2" w:rsidRPr="00207748">
        <w:rPr>
          <w:rStyle w:val="Ohne"/>
          <w:rFonts w:ascii="Cambria" w:hAnsi="Cambria" w:cs="Arial"/>
          <w:sz w:val="20"/>
          <w:szCs w:val="20"/>
        </w:rPr>
        <w:t>.</w:t>
      </w:r>
      <w:r w:rsidRPr="00207748">
        <w:rPr>
          <w:rStyle w:val="Ohne"/>
          <w:rFonts w:ascii="Cambria" w:eastAsia="Arial" w:hAnsi="Cambria" w:cs="Arial"/>
          <w:sz w:val="20"/>
          <w:szCs w:val="20"/>
          <w:vertAlign w:val="superscript"/>
        </w:rPr>
        <w:endnoteReference w:id="460"/>
      </w:r>
      <w:r w:rsidRPr="00207748">
        <w:rPr>
          <w:rStyle w:val="Ohne"/>
          <w:rFonts w:ascii="Cambria" w:hAnsi="Cambria" w:cs="Arial"/>
          <w:sz w:val="20"/>
          <w:szCs w:val="20"/>
        </w:rPr>
        <w:t xml:space="preserve"> </w:t>
      </w:r>
      <w:r w:rsidR="00170302">
        <w:rPr>
          <w:rStyle w:val="Ohne"/>
          <w:rFonts w:ascii="Cambria" w:hAnsi="Cambria" w:cs="Arial"/>
          <w:sz w:val="20"/>
          <w:szCs w:val="20"/>
        </w:rPr>
        <w:t>Weiterhin</w:t>
      </w:r>
      <w:r w:rsidR="002B1061">
        <w:rPr>
          <w:rStyle w:val="Ohne"/>
          <w:rFonts w:ascii="Cambria" w:hAnsi="Cambria" w:cs="Arial"/>
          <w:sz w:val="20"/>
          <w:szCs w:val="20"/>
        </w:rPr>
        <w:t xml:space="preserve"> </w:t>
      </w:r>
      <w:r w:rsidRPr="00207748">
        <w:rPr>
          <w:rStyle w:val="Ohne"/>
          <w:rFonts w:ascii="Cambria" w:hAnsi="Cambria" w:cs="Arial"/>
          <w:sz w:val="20"/>
          <w:szCs w:val="20"/>
        </w:rPr>
        <w:t>kann die Nutzung von schnell wirkenden Medikamenten, wie z.B. Propofol und Dexmedetomidin, zu besseren Ergebnissen führen als die Verwendung von Benzodiazepinen</w:t>
      </w:r>
      <w:r w:rsidR="00E569D2" w:rsidRPr="00207748">
        <w:rPr>
          <w:rStyle w:val="Ohne"/>
          <w:rFonts w:ascii="Cambria" w:hAnsi="Cambria" w:cs="Arial"/>
          <w:sz w:val="20"/>
          <w:szCs w:val="20"/>
        </w:rPr>
        <w:t>.</w:t>
      </w:r>
      <w:r w:rsidRPr="00207748">
        <w:rPr>
          <w:rStyle w:val="Ohne"/>
          <w:rFonts w:ascii="Cambria" w:eastAsia="Arial" w:hAnsi="Cambria" w:cs="Arial"/>
          <w:sz w:val="20"/>
          <w:szCs w:val="20"/>
          <w:vertAlign w:val="superscript"/>
        </w:rPr>
        <w:endnoteReference w:id="461"/>
      </w:r>
      <w:r w:rsidRPr="00207748">
        <w:rPr>
          <w:rStyle w:val="Ohne"/>
          <w:rFonts w:ascii="Cambria" w:hAnsi="Cambria" w:cs="Arial"/>
          <w:sz w:val="20"/>
          <w:szCs w:val="20"/>
        </w:rPr>
        <w:t xml:space="preserve"> </w:t>
      </w:r>
      <w:r w:rsidRPr="00207748">
        <w:rPr>
          <w:rStyle w:val="Ohne"/>
          <w:rFonts w:ascii="Cambria" w:eastAsia="Arial" w:hAnsi="Cambria" w:cs="Arial"/>
          <w:sz w:val="20"/>
          <w:szCs w:val="20"/>
          <w:vertAlign w:val="superscript"/>
        </w:rPr>
        <w:endnoteReference w:id="462"/>
      </w:r>
      <w:r w:rsidRPr="00207748">
        <w:rPr>
          <w:rStyle w:val="Ohne"/>
          <w:rFonts w:ascii="Cambria" w:hAnsi="Cambria" w:cs="Arial"/>
          <w:sz w:val="20"/>
          <w:szCs w:val="20"/>
        </w:rPr>
        <w:t xml:space="preserve"> </w:t>
      </w:r>
      <w:r w:rsidRPr="00207748">
        <w:rPr>
          <w:rStyle w:val="Ohne"/>
          <w:rFonts w:ascii="Cambria" w:eastAsia="Arial" w:hAnsi="Cambria" w:cs="Arial"/>
          <w:sz w:val="20"/>
          <w:szCs w:val="20"/>
          <w:vertAlign w:val="superscript"/>
        </w:rPr>
        <w:endnoteReference w:id="463"/>
      </w:r>
      <w:r w:rsidRPr="00207748">
        <w:rPr>
          <w:rStyle w:val="Ohne"/>
          <w:rFonts w:ascii="Cambria" w:hAnsi="Cambria" w:cs="Arial"/>
          <w:sz w:val="20"/>
          <w:szCs w:val="20"/>
        </w:rPr>
        <w:t xml:space="preserve"> Die aktuellen </w:t>
      </w:r>
      <w:r w:rsidR="00170302">
        <w:rPr>
          <w:rStyle w:val="Ohne"/>
          <w:rFonts w:ascii="Cambria" w:hAnsi="Cambria" w:cs="Arial"/>
          <w:sz w:val="20"/>
          <w:szCs w:val="20"/>
        </w:rPr>
        <w:t>Leit</w:t>
      </w:r>
      <w:r w:rsidRPr="00207748">
        <w:rPr>
          <w:rStyle w:val="Ohne"/>
          <w:rFonts w:ascii="Cambria" w:hAnsi="Cambria" w:cs="Arial"/>
          <w:sz w:val="20"/>
          <w:szCs w:val="20"/>
        </w:rPr>
        <w:t xml:space="preserve">linien zu Schmerzen, Unruhe und Delirium enthalten weitere Angaben zur Umsetzung des Sedierungs-Managements, </w:t>
      </w:r>
      <w:r w:rsidRPr="00207748">
        <w:rPr>
          <w:rStyle w:val="Ohne"/>
          <w:rFonts w:ascii="Cambria" w:hAnsi="Cambria" w:cs="Arial"/>
          <w:sz w:val="20"/>
          <w:szCs w:val="20"/>
        </w:rPr>
        <w:lastRenderedPageBreak/>
        <w:t>einschließlich nicht-pharmakologischer Ansätze für das Management von Schmerzen, Unruhe und Delirium</w:t>
      </w:r>
      <w:r w:rsidR="00E569D2" w:rsidRPr="00207748">
        <w:rPr>
          <w:rStyle w:val="Ohne"/>
          <w:rFonts w:ascii="Cambria" w:hAnsi="Cambria" w:cs="Arial"/>
          <w:sz w:val="20"/>
          <w:szCs w:val="20"/>
        </w:rPr>
        <w:t>.</w:t>
      </w:r>
      <w:r w:rsidRPr="00207748">
        <w:rPr>
          <w:rStyle w:val="Ohne"/>
          <w:rFonts w:ascii="Cambria" w:eastAsia="Arial" w:hAnsi="Cambria" w:cs="Arial"/>
          <w:sz w:val="20"/>
          <w:szCs w:val="20"/>
          <w:vertAlign w:val="superscript"/>
        </w:rPr>
        <w:endnoteReference w:id="464"/>
      </w:r>
    </w:p>
    <w:p w14:paraId="75E23F6D" w14:textId="77777777" w:rsidR="00E11869" w:rsidRPr="00207748" w:rsidRDefault="00447357" w:rsidP="004454B6">
      <w:pPr>
        <w:spacing w:before="240"/>
        <w:rPr>
          <w:rStyle w:val="Ohne"/>
          <w:rFonts w:ascii="Cambria" w:eastAsia="Arial" w:hAnsi="Cambria" w:cs="Arial"/>
          <w:sz w:val="20"/>
          <w:szCs w:val="20"/>
        </w:rPr>
      </w:pPr>
      <w:r w:rsidRPr="00207748">
        <w:rPr>
          <w:rStyle w:val="Ohne"/>
          <w:rFonts w:ascii="Cambria" w:hAnsi="Cambria" w:cs="Arial"/>
          <w:sz w:val="20"/>
          <w:szCs w:val="20"/>
        </w:rPr>
        <w:t>Unabhängig von der Herangehensweise steht ein großer Umfang an Evidenz zur Verfügung, welche den Vorteil einer Begrenzung der Sedierung bei Patienten demonstriert, die eine mechanische Beatmung benötigen und bei denen keine Kontraindikationen vorliegen. Dementsprechend sollte dies die Best Practice für alle kritisch erkrankten Patienten sein, einschließlich der Patienten mit Sepsis.</w:t>
      </w:r>
    </w:p>
    <w:p w14:paraId="03A826E5" w14:textId="77777777" w:rsidR="00E11869" w:rsidRPr="00207748" w:rsidRDefault="00447357" w:rsidP="004454B6">
      <w:pPr>
        <w:spacing w:before="240"/>
        <w:rPr>
          <w:rStyle w:val="Ohne"/>
          <w:rFonts w:ascii="Cambria" w:hAnsi="Cambria" w:cs="Arial"/>
          <w:sz w:val="20"/>
          <w:szCs w:val="20"/>
        </w:rPr>
      </w:pPr>
      <w:r w:rsidRPr="00207748">
        <w:rPr>
          <w:rStyle w:val="Ohne"/>
          <w:rFonts w:ascii="Cambria" w:hAnsi="Cambria" w:cs="Arial"/>
          <w:sz w:val="20"/>
          <w:szCs w:val="20"/>
        </w:rPr>
        <w:t>Im Vergleich zur SSC-Leitlinie, die als Einzelempfehlung vorschlägt, eine „kontinuierliche oder diskontinuierliche Sedierung zu minimieren und Sedierungsprotokolle mit spezifischen Sedierungszielen anzustreben“, empfiehlt die deutsche Leitlinie bei intensivmedizinisch behandelten Patienten mit höchstem Empfehlungsgrad außerhalb spezifischer Indikationen (z.B. therapeutische Sedierung im Rahmen eines erhöhten intrakraniellen Drucks, Bauchlagerungstherapie im Rahmen des ARDS) ein Richmond Agitation-Sedation Scale (RASS)-Zielwert von 0/-1 .</w:t>
      </w:r>
    </w:p>
    <w:p w14:paraId="64E8E10D" w14:textId="77777777" w:rsidR="00E11869" w:rsidRPr="00207748" w:rsidRDefault="00447357" w:rsidP="004454B6">
      <w:pPr>
        <w:rPr>
          <w:rStyle w:val="Ohne"/>
          <w:rFonts w:ascii="Cambria" w:hAnsi="Cambria" w:cs="Arial"/>
          <w:sz w:val="20"/>
          <w:szCs w:val="20"/>
        </w:rPr>
      </w:pPr>
      <w:r w:rsidRPr="00207748">
        <w:rPr>
          <w:rStyle w:val="Ohne"/>
          <w:rFonts w:ascii="Cambria" w:hAnsi="Cambria" w:cs="Arial"/>
          <w:sz w:val="20"/>
          <w:szCs w:val="20"/>
        </w:rPr>
        <w:t>Hinsichtlich der angewandten Methodologie zur Festlegung von Evidenzstärken unterscheidet sich die DAS-Leitlinie von der der SSC. In der deutschen Leitlinie kam das „Oxford Level of Evidence (Oxford LoE)“ zum Einsatz. In der SSC-Leitlinie handelt es sich um ein ungegradetes Best-Practice-Statement.</w:t>
      </w:r>
    </w:p>
    <w:p w14:paraId="550EA2F6" w14:textId="14AFD45F" w:rsidR="00E11869" w:rsidRPr="00207748" w:rsidRDefault="00447357" w:rsidP="004454B6">
      <w:pPr>
        <w:rPr>
          <w:rStyle w:val="Ohne"/>
          <w:rFonts w:ascii="Cambria" w:hAnsi="Cambria" w:cs="Arial"/>
          <w:sz w:val="20"/>
          <w:szCs w:val="20"/>
        </w:rPr>
      </w:pPr>
      <w:r w:rsidRPr="00207748">
        <w:rPr>
          <w:rStyle w:val="Ohne"/>
          <w:rFonts w:ascii="Cambria" w:hAnsi="Cambria" w:cs="Arial"/>
          <w:sz w:val="20"/>
          <w:szCs w:val="20"/>
        </w:rPr>
        <w:t>Zur Diagnostik und Behandlung von Agitation, Schmerzen und Delir sowie zum Einsatz von Sedativa wurde im Jahre 2015 die aktualisierte S3-Leitlinie „Analgesie, Sedierung und Delirmanagement in der Intensivmedizin (DAS-Leitlinie 2015)“ (AWMF-Nr. 001/012, gültig bis 30.08.2020) veröffentlicht</w:t>
      </w:r>
      <w:r w:rsidR="00E569D2" w:rsidRPr="00207748">
        <w:rPr>
          <w:rStyle w:val="Ohne"/>
          <w:rFonts w:ascii="Cambria" w:hAnsi="Cambria" w:cs="Arial"/>
          <w:sz w:val="20"/>
          <w:szCs w:val="20"/>
        </w:rPr>
        <w:t>.</w:t>
      </w:r>
      <w:r w:rsidRPr="006B2B71">
        <w:rPr>
          <w:rStyle w:val="EndnoteRealZchn"/>
        </w:rPr>
        <w:endnoteReference w:id="465"/>
      </w:r>
      <w:r w:rsidRPr="00207748">
        <w:rPr>
          <w:rStyle w:val="Ohne"/>
          <w:rFonts w:ascii="Cambria" w:hAnsi="Cambria" w:cs="Arial"/>
          <w:sz w:val="20"/>
          <w:szCs w:val="20"/>
        </w:rPr>
        <w:t xml:space="preserve"> Sie ist unter der Federführung der Deutschen Gesellschaft für Anästhesiologie und Intensivmedizin (DGAI) und der Deutschen Interdisziplinären Vereinigung für Intensiv- und Notfallmedizin (DIVI), sowie unter Beteiligung weiterer 15 medizinischer Fachgesellschaften entwickelt und verabschiedet worden. Die Empfehlungen </w:t>
      </w:r>
      <w:r w:rsidRPr="00207748">
        <w:rPr>
          <w:rStyle w:val="Ohne"/>
          <w:rFonts w:ascii="Cambria" w:hAnsi="Cambria" w:cs="Arial"/>
          <w:sz w:val="20"/>
          <w:szCs w:val="20"/>
        </w:rPr>
        <w:lastRenderedPageBreak/>
        <w:t xml:space="preserve">dieser nationalen Leitlinie gelten </w:t>
      </w:r>
      <w:r w:rsidR="00170302">
        <w:rPr>
          <w:rStyle w:val="Ohne"/>
          <w:rFonts w:ascii="Cambria" w:hAnsi="Cambria" w:cs="Arial"/>
          <w:sz w:val="20"/>
          <w:szCs w:val="20"/>
        </w:rPr>
        <w:t>für</w:t>
      </w:r>
      <w:r w:rsidRPr="00207748">
        <w:rPr>
          <w:rStyle w:val="Ohne"/>
          <w:rFonts w:ascii="Cambria" w:hAnsi="Cambria" w:cs="Arial"/>
          <w:sz w:val="20"/>
          <w:szCs w:val="20"/>
        </w:rPr>
        <w:t xml:space="preserve"> Deutschland.</w:t>
      </w:r>
    </w:p>
    <w:p w14:paraId="2D8E9F25" w14:textId="77777777" w:rsidR="00E11869" w:rsidRPr="00182D07" w:rsidRDefault="00447357" w:rsidP="004454B6">
      <w:pPr>
        <w:pStyle w:val="berschrift2"/>
        <w:rPr>
          <w:b w:val="0"/>
        </w:rPr>
      </w:pPr>
      <w:bookmarkStart w:id="448" w:name="_Toc25845122"/>
      <w:bookmarkStart w:id="449" w:name="_Toc25845123"/>
      <w:bookmarkStart w:id="450" w:name="_Toc437861470"/>
      <w:bookmarkStart w:id="451" w:name="_Toc31278508"/>
      <w:bookmarkEnd w:id="448"/>
      <w:r w:rsidRPr="00182D07">
        <w:rPr>
          <w:rStyle w:val="Ohne"/>
        </w:rPr>
        <w:t>O. Blutzuckerkontrolle</w:t>
      </w:r>
      <w:bookmarkEnd w:id="449"/>
      <w:bookmarkEnd w:id="450"/>
      <w:bookmarkEnd w:id="451"/>
    </w:p>
    <w:p w14:paraId="537C17DF" w14:textId="77777777" w:rsidR="00E11869" w:rsidRPr="00207748" w:rsidRDefault="00E11869" w:rsidP="004454B6">
      <w:pPr>
        <w:spacing w:after="0"/>
        <w:ind w:right="289"/>
        <w:rPr>
          <w:rStyle w:val="Ohne"/>
          <w:rFonts w:ascii="Cambria" w:eastAsia="Arial" w:hAnsi="Cambria" w:cs="Arial"/>
          <w:iCs/>
          <w:sz w:val="20"/>
          <w:szCs w:val="20"/>
        </w:rPr>
      </w:pP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02"/>
        <w:gridCol w:w="850"/>
      </w:tblGrid>
      <w:tr w:rsidR="00E11869" w:rsidRPr="00207748" w14:paraId="7E4DEBAA"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AACA026" w14:textId="77777777" w:rsidR="00E11869" w:rsidRPr="00207748" w:rsidRDefault="00447357" w:rsidP="004454B6">
            <w:pPr>
              <w:rPr>
                <w:rStyle w:val="Ohne"/>
                <w:rFonts w:ascii="Cambria" w:hAnsi="Cambria"/>
                <w:b/>
                <w:bCs/>
                <w:sz w:val="20"/>
                <w:szCs w:val="20"/>
              </w:rPr>
            </w:pPr>
            <w:r w:rsidRPr="00207748">
              <w:rPr>
                <w:rStyle w:val="Ohne"/>
                <w:rFonts w:ascii="Cambria" w:hAnsi="Cambria" w:cs="Arial"/>
                <w:b/>
                <w:bCs/>
                <w:sz w:val="20"/>
                <w:szCs w:val="20"/>
              </w:rPr>
              <w:t>O.1</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2B88BF5A"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3821A89A"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0AA51319" w14:textId="77777777" w:rsidTr="00342FB3">
        <w:trPr>
          <w:trHeight w:val="560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6E327"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Empfehlungsgrad</w:t>
            </w:r>
          </w:p>
          <w:p w14:paraId="36551587" w14:textId="77777777" w:rsidR="00E11869" w:rsidRPr="00207748" w:rsidRDefault="00E11869" w:rsidP="004454B6">
            <w:pPr>
              <w:spacing w:after="0"/>
              <w:rPr>
                <w:rStyle w:val="Ohne"/>
                <w:rFonts w:ascii="Cambria" w:eastAsia="Arial" w:hAnsi="Cambria" w:cs="Arial"/>
                <w:sz w:val="20"/>
                <w:szCs w:val="20"/>
              </w:rPr>
            </w:pPr>
          </w:p>
          <w:p w14:paraId="7927A505" w14:textId="77777777" w:rsidR="00E11869" w:rsidRPr="00207748" w:rsidRDefault="00447357" w:rsidP="004454B6">
            <w:pPr>
              <w:spacing w:after="0"/>
              <w:rPr>
                <w:rStyle w:val="Ohne"/>
                <w:rFonts w:ascii="Cambria" w:eastAsia="Arial" w:hAnsi="Cambria" w:cs="Arial"/>
                <w:b/>
                <w:bCs/>
                <w:sz w:val="20"/>
                <w:szCs w:val="20"/>
              </w:rPr>
            </w:pPr>
            <w:r w:rsidRPr="00207748">
              <w:rPr>
                <w:rStyle w:val="Ohne"/>
                <w:rFonts w:ascii="Cambria" w:hAnsi="Cambria" w:cs="Arial"/>
                <w:b/>
                <w:bCs/>
                <w:sz w:val="20"/>
                <w:szCs w:val="20"/>
              </w:rPr>
              <w:t>stark</w:t>
            </w:r>
          </w:p>
          <w:p w14:paraId="00F2ADE0" w14:textId="77777777" w:rsidR="00E11869" w:rsidRPr="00207748" w:rsidRDefault="00E11869" w:rsidP="004454B6">
            <w:pPr>
              <w:spacing w:after="0"/>
              <w:rPr>
                <w:rStyle w:val="Ohne"/>
                <w:rFonts w:ascii="Cambria" w:eastAsia="Arial" w:hAnsi="Cambria" w:cs="Arial"/>
                <w:b/>
                <w:bCs/>
                <w:sz w:val="20"/>
                <w:szCs w:val="20"/>
              </w:rPr>
            </w:pPr>
          </w:p>
          <w:p w14:paraId="790523FE"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Evidenzqualität</w:t>
            </w:r>
          </w:p>
          <w:p w14:paraId="5542BB43" w14:textId="77777777" w:rsidR="00E11869" w:rsidRPr="00207748" w:rsidRDefault="00E11869" w:rsidP="004454B6">
            <w:pPr>
              <w:spacing w:after="0"/>
              <w:rPr>
                <w:rStyle w:val="Ohne"/>
                <w:rFonts w:ascii="Cambria" w:eastAsia="Arial" w:hAnsi="Cambria" w:cs="Arial"/>
                <w:b/>
                <w:bCs/>
                <w:sz w:val="20"/>
                <w:szCs w:val="20"/>
              </w:rPr>
            </w:pPr>
          </w:p>
          <w:p w14:paraId="7C16E59C"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hoch</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37D92"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Wir empfehlen einen protokollierten Ansatz für das Blutzuckermanagement bei ITS-Patienten mit Sepsis, bei denen die Insulindosisgabe beginnt, wenn zwei aufeinanderfolgende Messungen einen Blutzuckerspiegel von &gt;180mg/dl ergeben. Bei diesem Ansatz sollte bevorzugt ein oberer Blutzuckerspiegel von ≤180mg/dl statt eines oberen Zielblutzuckerspiegels von ≤110mg/dl angestrebt werden.</w:t>
            </w:r>
          </w:p>
        </w:tc>
      </w:tr>
      <w:tr w:rsidR="00E11869" w:rsidRPr="00207748" w14:paraId="4B1B89A6" w14:textId="77777777" w:rsidTr="00342FB3">
        <w:trPr>
          <w:trHeight w:val="28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79DA5D60"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D2E06"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SSC</w:t>
            </w:r>
            <w:r w:rsidR="00420A45" w:rsidRPr="00207748">
              <w:rPr>
                <w:rStyle w:val="Ohne"/>
                <w:rFonts w:ascii="Cambria" w:hAnsi="Cambria" w:cs="Arial"/>
                <w:b/>
                <w:bCs/>
                <w:sz w:val="20"/>
                <w:szCs w:val="20"/>
              </w:rPr>
              <w:t>-</w:t>
            </w:r>
            <w:r w:rsidRPr="00207748">
              <w:rPr>
                <w:rStyle w:val="Ohne"/>
                <w:rFonts w:ascii="Cambria" w:hAnsi="Cambria" w:cs="Arial"/>
                <w:b/>
                <w:bCs/>
                <w:sz w:val="20"/>
                <w:szCs w:val="20"/>
              </w:rPr>
              <w:t>Leitlinien</w:t>
            </w:r>
            <w:r w:rsidR="00E873A9" w:rsidRPr="00207748">
              <w:rPr>
                <w:rStyle w:val="Ohne"/>
                <w:rFonts w:ascii="Cambria" w:hAnsi="Cambria" w:cs="Arial"/>
                <w:b/>
                <w:bCs/>
                <w:sz w:val="20"/>
                <w:szCs w:val="20"/>
              </w:rPr>
              <w:t>adaptation</w:t>
            </w:r>
          </w:p>
        </w:tc>
      </w:tr>
      <w:tr w:rsidR="00E11869" w:rsidRPr="00207748" w14:paraId="01FAF655"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C8D9A"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14728" w14:textId="77777777" w:rsidR="00E11869" w:rsidRPr="00207748" w:rsidRDefault="00447357" w:rsidP="004454B6">
            <w:pPr>
              <w:spacing w:after="0"/>
              <w:rPr>
                <w:rStyle w:val="Ohne"/>
                <w:rFonts w:ascii="Cambria" w:hAnsi="Cambria" w:cs="Arial"/>
                <w:sz w:val="20"/>
                <w:szCs w:val="20"/>
              </w:rPr>
            </w:pPr>
            <w:r w:rsidRPr="00207748">
              <w:rPr>
                <w:rStyle w:val="Ohne"/>
                <w:rFonts w:ascii="Cambria" w:hAnsi="Cambria" w:cs="Arial"/>
                <w:sz w:val="20"/>
                <w:szCs w:val="20"/>
              </w:rPr>
              <w:t>Konsensstärke: 100 %</w:t>
            </w:r>
          </w:p>
          <w:p w14:paraId="242386E6" w14:textId="77777777" w:rsidR="000970C7" w:rsidRPr="00207748" w:rsidRDefault="000970C7" w:rsidP="004454B6">
            <w:pPr>
              <w:spacing w:after="0"/>
              <w:rPr>
                <w:rFonts w:ascii="Cambria" w:hAnsi="Cambria" w:cs="Arial"/>
                <w:sz w:val="20"/>
                <w:szCs w:val="20"/>
              </w:rPr>
            </w:pPr>
            <w:r w:rsidRPr="00207748">
              <w:rPr>
                <w:rStyle w:val="Ohne"/>
                <w:rFonts w:ascii="Cambria" w:hAnsi="Cambria" w:cs="Arial"/>
                <w:sz w:val="20"/>
                <w:szCs w:val="20"/>
              </w:rPr>
              <w:t>Enthaltung: 1</w:t>
            </w:r>
          </w:p>
        </w:tc>
      </w:tr>
    </w:tbl>
    <w:p w14:paraId="13C8C704" w14:textId="77777777" w:rsidR="00E11869" w:rsidRPr="00207748" w:rsidRDefault="00E11869" w:rsidP="004454B6">
      <w:pPr>
        <w:widowControl w:val="0"/>
        <w:spacing w:after="0"/>
        <w:rPr>
          <w:rStyle w:val="Ohne"/>
          <w:rFonts w:ascii="Cambria" w:eastAsia="Arial" w:hAnsi="Cambria" w:cs="Arial"/>
          <w:iCs/>
          <w:sz w:val="20"/>
          <w:szCs w:val="20"/>
        </w:rPr>
      </w:pPr>
    </w:p>
    <w:p w14:paraId="18879769" w14:textId="57C1062C" w:rsidR="00E11869" w:rsidRDefault="00E11869" w:rsidP="004454B6">
      <w:pPr>
        <w:spacing w:after="0"/>
        <w:ind w:right="289"/>
        <w:rPr>
          <w:rStyle w:val="Ohne"/>
          <w:rFonts w:ascii="Cambria" w:eastAsia="Arial" w:hAnsi="Cambria" w:cs="Arial"/>
          <w:iCs/>
          <w:sz w:val="20"/>
          <w:szCs w:val="20"/>
        </w:rPr>
      </w:pPr>
    </w:p>
    <w:p w14:paraId="2316B33B" w14:textId="5B7959CC" w:rsidR="00DA3A66" w:rsidRDefault="00DA3A66" w:rsidP="004454B6">
      <w:pPr>
        <w:spacing w:after="0"/>
        <w:ind w:right="289"/>
        <w:rPr>
          <w:rStyle w:val="Ohne"/>
          <w:rFonts w:ascii="Cambria" w:eastAsia="Arial" w:hAnsi="Cambria" w:cs="Arial"/>
          <w:iCs/>
          <w:sz w:val="20"/>
          <w:szCs w:val="20"/>
        </w:rPr>
      </w:pPr>
    </w:p>
    <w:p w14:paraId="5976CDC3" w14:textId="3ABE53F9" w:rsidR="00DA3A66" w:rsidRDefault="00DA3A66" w:rsidP="004454B6">
      <w:pPr>
        <w:spacing w:after="0"/>
        <w:ind w:right="289"/>
        <w:rPr>
          <w:rStyle w:val="Ohne"/>
          <w:rFonts w:ascii="Cambria" w:eastAsia="Arial" w:hAnsi="Cambria" w:cs="Arial"/>
          <w:iCs/>
          <w:sz w:val="20"/>
          <w:szCs w:val="20"/>
        </w:rPr>
      </w:pPr>
    </w:p>
    <w:p w14:paraId="32A84529" w14:textId="4B8D9656" w:rsidR="00DA3A66" w:rsidRDefault="00DA3A66" w:rsidP="004454B6">
      <w:pPr>
        <w:spacing w:after="0"/>
        <w:ind w:right="289"/>
        <w:rPr>
          <w:rStyle w:val="Ohne"/>
          <w:rFonts w:ascii="Cambria" w:eastAsia="Arial" w:hAnsi="Cambria" w:cs="Arial"/>
          <w:iCs/>
          <w:sz w:val="20"/>
          <w:szCs w:val="20"/>
        </w:rPr>
      </w:pPr>
    </w:p>
    <w:p w14:paraId="11CD46C6" w14:textId="4A0EE122" w:rsidR="00DA3A66" w:rsidRDefault="00DA3A66" w:rsidP="004454B6">
      <w:pPr>
        <w:spacing w:after="0"/>
        <w:ind w:right="289"/>
        <w:rPr>
          <w:rStyle w:val="Ohne"/>
          <w:rFonts w:ascii="Cambria" w:eastAsia="Arial" w:hAnsi="Cambria" w:cs="Arial"/>
          <w:iCs/>
          <w:sz w:val="20"/>
          <w:szCs w:val="20"/>
        </w:rPr>
      </w:pPr>
    </w:p>
    <w:p w14:paraId="37DFAD18" w14:textId="3222C1A8" w:rsidR="00DA3A66" w:rsidRDefault="00DA3A66" w:rsidP="004454B6">
      <w:pPr>
        <w:spacing w:after="0"/>
        <w:ind w:right="289"/>
        <w:rPr>
          <w:rStyle w:val="Ohne"/>
          <w:rFonts w:ascii="Cambria" w:eastAsia="Arial" w:hAnsi="Cambria" w:cs="Arial"/>
          <w:iCs/>
          <w:sz w:val="20"/>
          <w:szCs w:val="20"/>
        </w:rPr>
      </w:pPr>
    </w:p>
    <w:p w14:paraId="7A6C07D8" w14:textId="417A4E75" w:rsidR="00DA3A66" w:rsidRDefault="00DA3A66" w:rsidP="004454B6">
      <w:pPr>
        <w:spacing w:after="0"/>
        <w:ind w:right="289"/>
        <w:rPr>
          <w:rStyle w:val="Ohne"/>
          <w:rFonts w:ascii="Cambria" w:eastAsia="Arial" w:hAnsi="Cambria" w:cs="Arial"/>
          <w:iCs/>
          <w:sz w:val="20"/>
          <w:szCs w:val="20"/>
        </w:rPr>
      </w:pPr>
    </w:p>
    <w:p w14:paraId="0C20C349" w14:textId="04731367" w:rsidR="00DA3A66" w:rsidRDefault="00DA3A66" w:rsidP="004454B6">
      <w:pPr>
        <w:spacing w:after="0"/>
        <w:ind w:right="289"/>
        <w:rPr>
          <w:rStyle w:val="Ohne"/>
          <w:rFonts w:ascii="Cambria" w:eastAsia="Arial" w:hAnsi="Cambria" w:cs="Arial"/>
          <w:iCs/>
          <w:sz w:val="20"/>
          <w:szCs w:val="20"/>
        </w:rPr>
      </w:pPr>
    </w:p>
    <w:p w14:paraId="4DBC0240" w14:textId="78ABC21B" w:rsidR="00DA3A66" w:rsidRDefault="00DA3A66" w:rsidP="004454B6">
      <w:pPr>
        <w:spacing w:after="0"/>
        <w:ind w:right="289"/>
        <w:rPr>
          <w:rStyle w:val="Ohne"/>
          <w:rFonts w:ascii="Cambria" w:eastAsia="Arial" w:hAnsi="Cambria" w:cs="Arial"/>
          <w:iCs/>
          <w:sz w:val="20"/>
          <w:szCs w:val="20"/>
        </w:rPr>
      </w:pPr>
    </w:p>
    <w:p w14:paraId="704285EF" w14:textId="4CD7B1F3" w:rsidR="00DA3A66" w:rsidRDefault="00DA3A66" w:rsidP="004454B6">
      <w:pPr>
        <w:spacing w:after="0"/>
        <w:ind w:right="289"/>
        <w:rPr>
          <w:rStyle w:val="Ohne"/>
          <w:rFonts w:ascii="Cambria" w:eastAsia="Arial" w:hAnsi="Cambria" w:cs="Arial"/>
          <w:iCs/>
          <w:sz w:val="20"/>
          <w:szCs w:val="20"/>
        </w:rPr>
      </w:pPr>
    </w:p>
    <w:p w14:paraId="09D297B7" w14:textId="77777777" w:rsidR="00DA3A66" w:rsidRPr="00207748" w:rsidRDefault="00DA3A66" w:rsidP="004454B6">
      <w:pPr>
        <w:spacing w:after="0"/>
        <w:ind w:right="289"/>
        <w:rPr>
          <w:rStyle w:val="Ohne"/>
          <w:rFonts w:ascii="Cambria" w:eastAsia="Arial" w:hAnsi="Cambria" w:cs="Arial"/>
          <w:iCs/>
          <w:sz w:val="20"/>
          <w:szCs w:val="20"/>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883"/>
        <w:gridCol w:w="1634"/>
        <w:gridCol w:w="816"/>
      </w:tblGrid>
      <w:tr w:rsidR="00E11869" w:rsidRPr="00207748" w14:paraId="400664AB" w14:textId="77777777" w:rsidTr="00B26F79">
        <w:trPr>
          <w:trHeight w:val="282"/>
        </w:trPr>
        <w:tc>
          <w:tcPr>
            <w:tcW w:w="2173"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24C84F0B" w14:textId="77777777" w:rsidR="00E11869" w:rsidRPr="00207748" w:rsidRDefault="00447357" w:rsidP="004454B6">
            <w:pPr>
              <w:rPr>
                <w:rStyle w:val="Ohne"/>
                <w:rFonts w:ascii="Cambria" w:hAnsi="Cambria"/>
                <w:b/>
                <w:bCs/>
                <w:sz w:val="20"/>
                <w:szCs w:val="20"/>
              </w:rPr>
            </w:pPr>
            <w:r w:rsidRPr="00207748">
              <w:rPr>
                <w:rStyle w:val="Ohne"/>
                <w:rFonts w:ascii="Cambria" w:hAnsi="Cambria" w:cs="Arial"/>
                <w:b/>
                <w:bCs/>
                <w:sz w:val="20"/>
                <w:szCs w:val="20"/>
              </w:rPr>
              <w:t>O.2</w:t>
            </w:r>
          </w:p>
        </w:tc>
        <w:tc>
          <w:tcPr>
            <w:tcW w:w="1885"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338D1FCE"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 xml:space="preserve">Empfehlung </w:t>
            </w:r>
          </w:p>
        </w:tc>
        <w:tc>
          <w:tcPr>
            <w:tcW w:w="942"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4809EE43"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5666CAE3" w14:textId="77777777" w:rsidTr="00B26F79">
        <w:trPr>
          <w:trHeight w:val="3605"/>
        </w:trPr>
        <w:tc>
          <w:tcPr>
            <w:tcW w:w="2173"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50D647"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lastRenderedPageBreak/>
              <w:t>Expertenkonsens</w:t>
            </w:r>
          </w:p>
        </w:tc>
        <w:tc>
          <w:tcPr>
            <w:tcW w:w="282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939AF" w14:textId="657F745B"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Wir empfehlen, dass die Blutzuckerwerte alle 1 bis 2 Stunden kontrolliert werden, bis die Blutzucker</w:t>
            </w:r>
            <w:r w:rsidR="00B26F79">
              <w:rPr>
                <w:rStyle w:val="Ohne"/>
                <w:rFonts w:ascii="Cambria" w:hAnsi="Cambria" w:cs="Arial"/>
                <w:b/>
                <w:bCs/>
                <w:sz w:val="20"/>
                <w:szCs w:val="20"/>
              </w:rPr>
              <w:t>-</w:t>
            </w:r>
            <w:r w:rsidRPr="00207748">
              <w:rPr>
                <w:rStyle w:val="Ohne"/>
                <w:rFonts w:ascii="Cambria" w:hAnsi="Cambria" w:cs="Arial"/>
                <w:b/>
                <w:bCs/>
                <w:sz w:val="20"/>
                <w:szCs w:val="20"/>
              </w:rPr>
              <w:t>werte und die Insulininfusionsraten stabil sind. Danach sollte alle 4 Stunden eine Kontrolle bei Patienten erfolgen, die Insulininfusionen erhalten.</w:t>
            </w:r>
          </w:p>
        </w:tc>
      </w:tr>
      <w:tr w:rsidR="00E11869" w:rsidRPr="00207748" w14:paraId="66F64C5C" w14:textId="77777777" w:rsidTr="00B26F79">
        <w:trPr>
          <w:trHeight w:val="562"/>
        </w:trPr>
        <w:tc>
          <w:tcPr>
            <w:tcW w:w="2173" w:type="pct"/>
            <w:vMerge/>
            <w:tcBorders>
              <w:top w:val="single" w:sz="4" w:space="0" w:color="000000"/>
              <w:left w:val="single" w:sz="4" w:space="0" w:color="000000"/>
              <w:bottom w:val="single" w:sz="4" w:space="0" w:color="000000"/>
              <w:right w:val="single" w:sz="4" w:space="0" w:color="000000"/>
            </w:tcBorders>
            <w:shd w:val="clear" w:color="auto" w:fill="auto"/>
          </w:tcPr>
          <w:p w14:paraId="408237EA" w14:textId="77777777" w:rsidR="00E11869" w:rsidRPr="00207748" w:rsidRDefault="00E11869" w:rsidP="004454B6">
            <w:pPr>
              <w:rPr>
                <w:rFonts w:ascii="Cambria" w:hAnsi="Cambria" w:cs="Arial"/>
                <w:sz w:val="20"/>
                <w:szCs w:val="20"/>
              </w:rPr>
            </w:pPr>
          </w:p>
        </w:tc>
        <w:tc>
          <w:tcPr>
            <w:tcW w:w="282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7D07E" w14:textId="77777777" w:rsidR="00E11869" w:rsidRPr="00207748" w:rsidRDefault="00342FB3" w:rsidP="004454B6">
            <w:pPr>
              <w:spacing w:after="0"/>
              <w:rPr>
                <w:rFonts w:ascii="Cambria" w:hAnsi="Cambria" w:cs="Arial"/>
                <w:sz w:val="20"/>
                <w:szCs w:val="20"/>
              </w:rPr>
            </w:pPr>
            <w:r w:rsidRPr="00207748">
              <w:rPr>
                <w:rStyle w:val="Ohne"/>
                <w:rFonts w:ascii="Cambria" w:hAnsi="Cambria" w:cs="Arial"/>
                <w:b/>
                <w:bCs/>
                <w:sz w:val="20"/>
                <w:szCs w:val="20"/>
              </w:rPr>
              <w:t>SSC-</w:t>
            </w:r>
            <w:r w:rsidR="00447357" w:rsidRPr="00207748">
              <w:rPr>
                <w:rStyle w:val="Ohne"/>
                <w:rFonts w:ascii="Cambria" w:hAnsi="Cambria" w:cs="Arial"/>
                <w:b/>
                <w:bCs/>
                <w:sz w:val="20"/>
                <w:szCs w:val="20"/>
              </w:rPr>
              <w:t>Leitlinien</w:t>
            </w:r>
            <w:r w:rsidR="00E873A9" w:rsidRPr="00207748">
              <w:rPr>
                <w:rStyle w:val="Ohne"/>
                <w:rFonts w:ascii="Cambria" w:hAnsi="Cambria" w:cs="Arial"/>
                <w:b/>
                <w:bCs/>
                <w:sz w:val="20"/>
                <w:szCs w:val="20"/>
              </w:rPr>
              <w:t>adaptation</w:t>
            </w:r>
            <w:r w:rsidR="00447357" w:rsidRPr="00207748">
              <w:rPr>
                <w:rStyle w:val="Ohne"/>
                <w:rFonts w:ascii="Cambria" w:hAnsi="Cambria" w:cs="Arial"/>
                <w:b/>
                <w:bCs/>
                <w:sz w:val="20"/>
                <w:szCs w:val="20"/>
              </w:rPr>
              <w:t xml:space="preserve"> </w:t>
            </w:r>
          </w:p>
        </w:tc>
      </w:tr>
      <w:tr w:rsidR="00E11869" w:rsidRPr="00207748" w14:paraId="13717FB2" w14:textId="77777777" w:rsidTr="00B26F79">
        <w:trPr>
          <w:trHeight w:val="282"/>
        </w:trPr>
        <w:tc>
          <w:tcPr>
            <w:tcW w:w="21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C566B" w14:textId="77777777" w:rsidR="00E11869" w:rsidRPr="00207748" w:rsidRDefault="00E11869" w:rsidP="004454B6">
            <w:pPr>
              <w:rPr>
                <w:rFonts w:ascii="Cambria" w:hAnsi="Cambria" w:cs="Arial"/>
                <w:sz w:val="20"/>
                <w:szCs w:val="20"/>
              </w:rPr>
            </w:pPr>
          </w:p>
        </w:tc>
        <w:tc>
          <w:tcPr>
            <w:tcW w:w="282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BF70D"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Konsensstärke: 100 %</w:t>
            </w:r>
          </w:p>
        </w:tc>
      </w:tr>
    </w:tbl>
    <w:p w14:paraId="249BDE6B" w14:textId="55BD555A" w:rsidR="00E11869" w:rsidRPr="006B2B71" w:rsidRDefault="00342FB3" w:rsidP="004454B6">
      <w:pPr>
        <w:spacing w:before="240"/>
        <w:rPr>
          <w:rStyle w:val="Ohne"/>
          <w:rFonts w:ascii="Cambria" w:hAnsi="Cambria" w:cs="Arial"/>
          <w:sz w:val="20"/>
          <w:szCs w:val="20"/>
        </w:rPr>
      </w:pPr>
      <w:r w:rsidRPr="00207748">
        <w:rPr>
          <w:rStyle w:val="Ohne"/>
          <w:rFonts w:ascii="Cambria" w:hAnsi="Cambria" w:cs="Arial"/>
          <w:b/>
          <w:bCs/>
          <w:sz w:val="20"/>
          <w:szCs w:val="20"/>
        </w:rPr>
        <w:t>Begründung</w:t>
      </w:r>
      <w:r w:rsidR="00447357" w:rsidRPr="00207748">
        <w:rPr>
          <w:rStyle w:val="Ohne"/>
          <w:rFonts w:ascii="Cambria" w:hAnsi="Cambria" w:cs="Arial"/>
          <w:b/>
          <w:bCs/>
          <w:sz w:val="20"/>
          <w:szCs w:val="20"/>
        </w:rPr>
        <w:t>:</w:t>
      </w:r>
      <w:r w:rsidR="00447357" w:rsidRPr="00207748">
        <w:rPr>
          <w:rStyle w:val="Ohne"/>
          <w:rFonts w:ascii="Cambria" w:hAnsi="Cambria" w:cs="Arial"/>
          <w:b/>
          <w:bCs/>
          <w:iCs/>
          <w:sz w:val="20"/>
          <w:szCs w:val="20"/>
        </w:rPr>
        <w:t xml:space="preserve"> </w:t>
      </w:r>
      <w:r w:rsidR="00447357" w:rsidRPr="00207748">
        <w:rPr>
          <w:rStyle w:val="Ohne"/>
          <w:rFonts w:ascii="Cambria" w:hAnsi="Cambria" w:cs="Arial"/>
          <w:sz w:val="20"/>
          <w:szCs w:val="20"/>
        </w:rPr>
        <w:t>Eine große monozentrische RCT aus dem Jahr 2001 demonstrierte eine Reduzierung der ITS-</w:t>
      </w:r>
      <w:r w:rsidR="00170302">
        <w:rPr>
          <w:rStyle w:val="Ohne"/>
          <w:rFonts w:ascii="Cambria" w:hAnsi="Cambria" w:cs="Arial"/>
          <w:sz w:val="20"/>
          <w:szCs w:val="20"/>
        </w:rPr>
        <w:t>Mortalität</w:t>
      </w:r>
      <w:r w:rsidR="00447357" w:rsidRPr="00207748">
        <w:rPr>
          <w:rStyle w:val="Ohne"/>
          <w:rFonts w:ascii="Cambria" w:hAnsi="Cambria" w:cs="Arial"/>
          <w:sz w:val="20"/>
          <w:szCs w:val="20"/>
        </w:rPr>
        <w:t xml:space="preserve"> bei einer intensivierten intravenösen Insulin-Behandlung (Leuven-Protokoll) mit einem Blutzucker-Zielwert von 80–110 mg/dl</w:t>
      </w:r>
      <w:r w:rsidR="00E569D2" w:rsidRPr="00207748">
        <w:rPr>
          <w:rStyle w:val="Ohne"/>
          <w:rFonts w:ascii="Cambria" w:hAnsi="Cambria" w:cs="Arial"/>
          <w:sz w:val="20"/>
          <w:szCs w:val="20"/>
        </w:rPr>
        <w:t>.</w:t>
      </w:r>
      <w:r w:rsidR="00447357" w:rsidRPr="00207748">
        <w:rPr>
          <w:rStyle w:val="Ohne"/>
          <w:rFonts w:ascii="Cambria" w:eastAsia="Arial" w:hAnsi="Cambria" w:cs="Arial"/>
          <w:sz w:val="20"/>
          <w:szCs w:val="20"/>
          <w:vertAlign w:val="superscript"/>
        </w:rPr>
        <w:endnoteReference w:id="466"/>
      </w:r>
      <w:r w:rsidR="00447357" w:rsidRPr="00207748">
        <w:rPr>
          <w:rStyle w:val="Ohne"/>
          <w:rFonts w:ascii="Cambria" w:hAnsi="Cambria" w:cs="Arial"/>
          <w:sz w:val="20"/>
          <w:szCs w:val="20"/>
        </w:rPr>
        <w:t xml:space="preserve"> Eine zweite randomisierte Studie zu einer intensivierten Insulin-Therapie unter Verwendung des Leuven-Protokolls umfasste </w:t>
      </w:r>
      <w:r w:rsidR="00170302">
        <w:rPr>
          <w:rStyle w:val="Ohne"/>
          <w:rFonts w:ascii="Cambria" w:hAnsi="Cambria" w:cs="Arial"/>
          <w:sz w:val="20"/>
          <w:szCs w:val="20"/>
        </w:rPr>
        <w:t>internistischen</w:t>
      </w:r>
      <w:r w:rsidR="00447357" w:rsidRPr="00207748">
        <w:rPr>
          <w:rStyle w:val="Ohne"/>
          <w:rFonts w:ascii="Cambria" w:hAnsi="Cambria" w:cs="Arial"/>
          <w:sz w:val="20"/>
          <w:szCs w:val="20"/>
        </w:rPr>
        <w:t xml:space="preserve"> ITS-Patienten auf drei </w:t>
      </w:r>
      <w:r w:rsidR="00170302">
        <w:rPr>
          <w:rStyle w:val="Ohne"/>
          <w:rFonts w:ascii="Cambria" w:hAnsi="Cambria" w:cs="Arial"/>
          <w:sz w:val="20"/>
          <w:szCs w:val="20"/>
        </w:rPr>
        <w:t>internistischen</w:t>
      </w:r>
      <w:r w:rsidR="00447357" w:rsidRPr="00207748">
        <w:rPr>
          <w:rStyle w:val="Ohne"/>
          <w:rFonts w:ascii="Cambria" w:hAnsi="Cambria" w:cs="Arial"/>
          <w:sz w:val="20"/>
          <w:szCs w:val="20"/>
        </w:rPr>
        <w:t xml:space="preserve"> ITS mit einer erwarteten Aufenthaltsdauer auf der ITS von mehr als drei Tagen. In dieser Studie lag keine Reduzierung der Gesamtmortalität vor</w:t>
      </w:r>
      <w:r w:rsidR="00E569D2" w:rsidRPr="00207748">
        <w:rPr>
          <w:rStyle w:val="Ohne"/>
          <w:rFonts w:ascii="Cambria" w:hAnsi="Cambria" w:cs="Arial"/>
          <w:sz w:val="20"/>
          <w:szCs w:val="20"/>
        </w:rPr>
        <w:t>.</w:t>
      </w:r>
      <w:r w:rsidR="00447357" w:rsidRPr="00207748">
        <w:rPr>
          <w:rStyle w:val="Ohne"/>
          <w:rFonts w:ascii="Cambria" w:eastAsia="Arial" w:hAnsi="Cambria" w:cs="Arial"/>
          <w:sz w:val="20"/>
          <w:szCs w:val="20"/>
          <w:vertAlign w:val="superscript"/>
        </w:rPr>
        <w:endnoteReference w:id="467"/>
      </w:r>
      <w:r w:rsidR="006B2B71">
        <w:rPr>
          <w:rStyle w:val="Ohne"/>
          <w:rFonts w:ascii="Cambria" w:hAnsi="Cambria" w:cs="Arial"/>
          <w:sz w:val="20"/>
          <w:szCs w:val="20"/>
        </w:rPr>
        <w:t xml:space="preserve"> </w:t>
      </w:r>
      <w:r w:rsidR="00447357" w:rsidRPr="00207748">
        <w:rPr>
          <w:rStyle w:val="Ohne"/>
          <w:rFonts w:ascii="Cambria" w:hAnsi="Cambria" w:cs="Arial"/>
          <w:spacing w:val="-2"/>
          <w:sz w:val="20"/>
          <w:szCs w:val="20"/>
        </w:rPr>
        <w:t xml:space="preserve">Seit diese </w:t>
      </w:r>
      <w:r w:rsidR="006B2B71">
        <w:rPr>
          <w:rStyle w:val="Ohne"/>
          <w:rFonts w:ascii="Cambria" w:hAnsi="Cambria" w:cs="Arial"/>
          <w:spacing w:val="-2"/>
          <w:sz w:val="20"/>
          <w:szCs w:val="20"/>
        </w:rPr>
        <w:t xml:space="preserve">zwei </w:t>
      </w:r>
      <w:r w:rsidR="00447357" w:rsidRPr="00207748">
        <w:rPr>
          <w:rStyle w:val="Ohne"/>
          <w:rFonts w:ascii="Cambria" w:hAnsi="Cambria" w:cs="Arial"/>
          <w:spacing w:val="-2"/>
          <w:sz w:val="20"/>
          <w:szCs w:val="20"/>
        </w:rPr>
        <w:t>Studien</w:t>
      </w:r>
      <w:r w:rsidR="006B2B71">
        <w:rPr>
          <w:rStyle w:val="Ohne"/>
          <w:rFonts w:ascii="Cambria" w:hAnsi="Cambria" w:cs="Arial"/>
          <w:spacing w:val="-2"/>
          <w:sz w:val="20"/>
          <w:szCs w:val="20"/>
        </w:rPr>
        <w:t xml:space="preserve"> </w:t>
      </w:r>
      <w:r w:rsidR="00447357" w:rsidRPr="00207748">
        <w:rPr>
          <w:rStyle w:val="Ohne"/>
          <w:rFonts w:ascii="Cambria" w:hAnsi="Cambria" w:cs="Arial"/>
          <w:spacing w:val="-2"/>
          <w:sz w:val="20"/>
          <w:szCs w:val="20"/>
        </w:rPr>
        <w:t xml:space="preserve">veröffentlicht wurden, sind diverse RCTs </w:t>
      </w:r>
      <w:r w:rsidR="00447357" w:rsidRPr="00207748">
        <w:rPr>
          <w:rStyle w:val="Ohne"/>
          <w:rFonts w:ascii="Cambria" w:eastAsia="Arial" w:hAnsi="Cambria" w:cs="Arial"/>
          <w:spacing w:val="-2"/>
          <w:sz w:val="20"/>
          <w:szCs w:val="20"/>
          <w:vertAlign w:val="superscript"/>
        </w:rPr>
        <w:endnoteReference w:id="468"/>
      </w:r>
      <w:r w:rsidR="00447357" w:rsidRPr="00207748">
        <w:rPr>
          <w:rStyle w:val="Ohne"/>
          <w:rFonts w:ascii="Cambria" w:hAnsi="Cambria" w:cs="Arial"/>
          <w:spacing w:val="-2"/>
          <w:sz w:val="20"/>
          <w:szCs w:val="20"/>
        </w:rPr>
        <w:t xml:space="preserve"> </w:t>
      </w:r>
      <w:r w:rsidR="00447357" w:rsidRPr="00207748">
        <w:rPr>
          <w:rStyle w:val="Ohne"/>
          <w:rFonts w:ascii="Cambria" w:eastAsia="Arial" w:hAnsi="Cambria" w:cs="Arial"/>
          <w:spacing w:val="-2"/>
          <w:sz w:val="20"/>
          <w:szCs w:val="20"/>
          <w:vertAlign w:val="superscript"/>
        </w:rPr>
        <w:endnoteReference w:id="469"/>
      </w:r>
      <w:r w:rsidR="00447357" w:rsidRPr="00207748">
        <w:rPr>
          <w:rStyle w:val="Ohne"/>
          <w:rFonts w:ascii="Cambria" w:hAnsi="Cambria" w:cs="Arial"/>
          <w:spacing w:val="-2"/>
          <w:sz w:val="20"/>
          <w:szCs w:val="20"/>
        </w:rPr>
        <w:t xml:space="preserve"> </w:t>
      </w:r>
      <w:r w:rsidR="00447357" w:rsidRPr="00207748">
        <w:rPr>
          <w:rStyle w:val="Ohne"/>
          <w:rFonts w:ascii="Cambria" w:eastAsia="Arial" w:hAnsi="Cambria" w:cs="Arial"/>
          <w:spacing w:val="-2"/>
          <w:sz w:val="20"/>
          <w:szCs w:val="20"/>
          <w:vertAlign w:val="superscript"/>
        </w:rPr>
        <w:endnoteReference w:id="470"/>
      </w:r>
      <w:r w:rsidR="00447357" w:rsidRPr="00207748">
        <w:rPr>
          <w:rStyle w:val="Ohne"/>
          <w:rFonts w:ascii="Cambria" w:hAnsi="Cambria" w:cs="Arial"/>
          <w:spacing w:val="-2"/>
          <w:sz w:val="20"/>
          <w:szCs w:val="20"/>
        </w:rPr>
        <w:t xml:space="preserve"> </w:t>
      </w:r>
      <w:r w:rsidR="00447357" w:rsidRPr="00207748">
        <w:rPr>
          <w:rStyle w:val="Ohne"/>
          <w:rFonts w:ascii="Cambria" w:eastAsia="Arial" w:hAnsi="Cambria" w:cs="Arial"/>
          <w:spacing w:val="-2"/>
          <w:sz w:val="20"/>
          <w:szCs w:val="20"/>
          <w:vertAlign w:val="superscript"/>
        </w:rPr>
        <w:endnoteReference w:id="471"/>
      </w:r>
      <w:r w:rsidR="00447357" w:rsidRPr="00207748">
        <w:rPr>
          <w:rStyle w:val="Ohne"/>
          <w:rFonts w:ascii="Cambria" w:hAnsi="Cambria" w:cs="Arial"/>
          <w:spacing w:val="-2"/>
          <w:sz w:val="20"/>
          <w:szCs w:val="20"/>
        </w:rPr>
        <w:t xml:space="preserve"> </w:t>
      </w:r>
      <w:r w:rsidR="00447357" w:rsidRPr="00207748">
        <w:rPr>
          <w:rStyle w:val="Ohne"/>
          <w:rFonts w:ascii="Cambria" w:eastAsia="Arial" w:hAnsi="Cambria" w:cs="Arial"/>
          <w:spacing w:val="-2"/>
          <w:sz w:val="20"/>
          <w:szCs w:val="20"/>
          <w:vertAlign w:val="superscript"/>
        </w:rPr>
        <w:endnoteReference w:id="472"/>
      </w:r>
      <w:r w:rsidR="00447357" w:rsidRPr="00207748">
        <w:rPr>
          <w:rStyle w:val="Ohne"/>
          <w:rFonts w:ascii="Cambria" w:hAnsi="Cambria" w:cs="Arial"/>
          <w:spacing w:val="-2"/>
          <w:sz w:val="20"/>
          <w:szCs w:val="20"/>
        </w:rPr>
        <w:t xml:space="preserve"> </w:t>
      </w:r>
      <w:r w:rsidR="00447357" w:rsidRPr="00207748">
        <w:rPr>
          <w:rStyle w:val="Ohne"/>
          <w:rFonts w:ascii="Cambria" w:eastAsia="Arial" w:hAnsi="Cambria" w:cs="Arial"/>
          <w:spacing w:val="-2"/>
          <w:sz w:val="20"/>
          <w:szCs w:val="20"/>
          <w:vertAlign w:val="superscript"/>
        </w:rPr>
        <w:endnoteReference w:id="473"/>
      </w:r>
      <w:r w:rsidR="00447357" w:rsidRPr="00207748">
        <w:rPr>
          <w:rStyle w:val="Ohne"/>
          <w:rFonts w:ascii="Cambria" w:hAnsi="Cambria" w:cs="Arial"/>
          <w:spacing w:val="-2"/>
          <w:sz w:val="20"/>
          <w:szCs w:val="20"/>
        </w:rPr>
        <w:t xml:space="preserve"> </w:t>
      </w:r>
      <w:r w:rsidR="00447357" w:rsidRPr="00207748">
        <w:rPr>
          <w:rStyle w:val="Ohne"/>
          <w:rFonts w:ascii="Cambria" w:eastAsia="Arial" w:hAnsi="Cambria" w:cs="Arial"/>
          <w:spacing w:val="-2"/>
          <w:sz w:val="20"/>
          <w:szCs w:val="20"/>
          <w:vertAlign w:val="superscript"/>
        </w:rPr>
        <w:endnoteReference w:id="474"/>
      </w:r>
      <w:r w:rsidR="00447357" w:rsidRPr="00207748">
        <w:rPr>
          <w:rStyle w:val="Ohne"/>
          <w:rFonts w:ascii="Cambria" w:hAnsi="Cambria" w:cs="Arial"/>
          <w:spacing w:val="-2"/>
          <w:sz w:val="20"/>
          <w:szCs w:val="20"/>
        </w:rPr>
        <w:t xml:space="preserve"> </w:t>
      </w:r>
      <w:r w:rsidR="00447357" w:rsidRPr="00207748">
        <w:rPr>
          <w:rStyle w:val="Ohne"/>
          <w:rFonts w:ascii="Cambria" w:eastAsia="Arial" w:hAnsi="Cambria" w:cs="Arial"/>
          <w:spacing w:val="-2"/>
          <w:sz w:val="20"/>
          <w:szCs w:val="20"/>
          <w:vertAlign w:val="superscript"/>
        </w:rPr>
        <w:endnoteReference w:id="475"/>
      </w:r>
      <w:r w:rsidR="00447357" w:rsidRPr="00207748">
        <w:rPr>
          <w:rStyle w:val="Ohne"/>
          <w:rFonts w:ascii="Cambria" w:hAnsi="Cambria" w:cs="Arial"/>
          <w:spacing w:val="-2"/>
          <w:sz w:val="20"/>
          <w:szCs w:val="20"/>
        </w:rPr>
        <w:t xml:space="preserve"> und Meta-Analysen </w:t>
      </w:r>
      <w:r w:rsidR="00447357" w:rsidRPr="00207748">
        <w:rPr>
          <w:rStyle w:val="Ohne"/>
          <w:rFonts w:ascii="Cambria" w:eastAsia="Arial" w:hAnsi="Cambria" w:cs="Arial"/>
          <w:spacing w:val="-2"/>
          <w:sz w:val="20"/>
          <w:szCs w:val="20"/>
          <w:vertAlign w:val="superscript"/>
        </w:rPr>
        <w:endnoteReference w:id="476"/>
      </w:r>
      <w:r w:rsidR="00447357" w:rsidRPr="00207748">
        <w:rPr>
          <w:rStyle w:val="Ohne"/>
          <w:rFonts w:ascii="Cambria" w:hAnsi="Cambria" w:cs="Arial"/>
          <w:spacing w:val="-2"/>
          <w:sz w:val="20"/>
          <w:szCs w:val="20"/>
        </w:rPr>
        <w:t xml:space="preserve"> </w:t>
      </w:r>
      <w:r w:rsidR="00447357" w:rsidRPr="00207748">
        <w:rPr>
          <w:rStyle w:val="Ohne"/>
          <w:rFonts w:ascii="Cambria" w:eastAsia="Arial" w:hAnsi="Cambria" w:cs="Arial"/>
          <w:spacing w:val="-2"/>
          <w:sz w:val="20"/>
          <w:szCs w:val="20"/>
          <w:vertAlign w:val="superscript"/>
        </w:rPr>
        <w:endnoteReference w:id="477"/>
      </w:r>
      <w:r w:rsidR="00447357" w:rsidRPr="00207748">
        <w:rPr>
          <w:rStyle w:val="Ohne"/>
          <w:rFonts w:ascii="Cambria" w:hAnsi="Cambria" w:cs="Arial"/>
          <w:spacing w:val="-2"/>
          <w:sz w:val="20"/>
          <w:szCs w:val="20"/>
        </w:rPr>
        <w:t xml:space="preserve"> </w:t>
      </w:r>
      <w:r w:rsidR="00447357" w:rsidRPr="00207748">
        <w:rPr>
          <w:rStyle w:val="Ohne"/>
          <w:rFonts w:ascii="Cambria" w:eastAsia="Arial" w:hAnsi="Cambria" w:cs="Arial"/>
          <w:spacing w:val="-2"/>
          <w:sz w:val="20"/>
          <w:szCs w:val="20"/>
          <w:vertAlign w:val="superscript"/>
        </w:rPr>
        <w:endnoteReference w:id="478"/>
      </w:r>
      <w:r w:rsidR="00447357" w:rsidRPr="00207748">
        <w:rPr>
          <w:rStyle w:val="Ohne"/>
          <w:rFonts w:ascii="Cambria" w:hAnsi="Cambria" w:cs="Arial"/>
          <w:spacing w:val="-2"/>
          <w:sz w:val="20"/>
          <w:szCs w:val="20"/>
        </w:rPr>
        <w:t xml:space="preserve"> </w:t>
      </w:r>
      <w:r w:rsidR="00447357" w:rsidRPr="00207748">
        <w:rPr>
          <w:rStyle w:val="Ohne"/>
          <w:rFonts w:ascii="Cambria" w:eastAsia="Arial" w:hAnsi="Cambria" w:cs="Arial"/>
          <w:spacing w:val="-2"/>
          <w:sz w:val="20"/>
          <w:szCs w:val="20"/>
          <w:vertAlign w:val="superscript"/>
        </w:rPr>
        <w:endnoteReference w:id="479"/>
      </w:r>
      <w:r w:rsidR="00447357" w:rsidRPr="00207748">
        <w:rPr>
          <w:rStyle w:val="Ohne"/>
          <w:rFonts w:ascii="Cambria" w:hAnsi="Cambria" w:cs="Arial"/>
          <w:spacing w:val="-2"/>
          <w:sz w:val="20"/>
          <w:szCs w:val="20"/>
        </w:rPr>
        <w:t xml:space="preserve"> </w:t>
      </w:r>
      <w:r w:rsidR="00447357" w:rsidRPr="00207748">
        <w:rPr>
          <w:rStyle w:val="Ohne"/>
          <w:rFonts w:ascii="Cambria" w:eastAsia="Arial" w:hAnsi="Cambria" w:cs="Arial"/>
          <w:spacing w:val="-2"/>
          <w:sz w:val="20"/>
          <w:szCs w:val="20"/>
          <w:vertAlign w:val="superscript"/>
        </w:rPr>
        <w:endnoteReference w:id="480"/>
      </w:r>
      <w:r w:rsidR="00447357" w:rsidRPr="00207748">
        <w:rPr>
          <w:rStyle w:val="Ohne"/>
          <w:rFonts w:ascii="Cambria" w:hAnsi="Cambria" w:cs="Arial"/>
          <w:spacing w:val="-2"/>
          <w:sz w:val="20"/>
          <w:szCs w:val="20"/>
        </w:rPr>
        <w:t xml:space="preserve"> </w:t>
      </w:r>
      <w:r w:rsidR="00447357" w:rsidRPr="00207748">
        <w:rPr>
          <w:rStyle w:val="Ohne"/>
          <w:rFonts w:ascii="Cambria" w:eastAsia="Arial" w:hAnsi="Cambria" w:cs="Arial"/>
          <w:spacing w:val="-2"/>
          <w:sz w:val="20"/>
          <w:szCs w:val="20"/>
          <w:vertAlign w:val="superscript"/>
        </w:rPr>
        <w:endnoteReference w:id="481"/>
      </w:r>
      <w:r w:rsidR="00447357" w:rsidRPr="00207748">
        <w:rPr>
          <w:rStyle w:val="Ohne"/>
          <w:rFonts w:ascii="Cambria" w:hAnsi="Cambria" w:cs="Arial"/>
          <w:spacing w:val="-2"/>
          <w:sz w:val="20"/>
          <w:szCs w:val="20"/>
        </w:rPr>
        <w:t xml:space="preserve"> </w:t>
      </w:r>
      <w:bookmarkStart w:id="452" w:name="_Ref31189094"/>
      <w:r w:rsidR="00447357" w:rsidRPr="00207748">
        <w:rPr>
          <w:rStyle w:val="Ohne"/>
          <w:rFonts w:ascii="Cambria" w:eastAsia="Arial" w:hAnsi="Cambria" w:cs="Arial"/>
          <w:spacing w:val="-2"/>
          <w:sz w:val="20"/>
          <w:szCs w:val="20"/>
          <w:vertAlign w:val="superscript"/>
        </w:rPr>
        <w:endnoteReference w:id="482"/>
      </w:r>
      <w:bookmarkEnd w:id="452"/>
      <w:r w:rsidR="00447357" w:rsidRPr="00207748">
        <w:rPr>
          <w:rStyle w:val="Ohne"/>
          <w:rFonts w:ascii="Cambria" w:hAnsi="Cambria" w:cs="Arial"/>
          <w:spacing w:val="-2"/>
          <w:sz w:val="20"/>
          <w:szCs w:val="20"/>
        </w:rPr>
        <w:t xml:space="preserve"> zur intensiviert</w:t>
      </w:r>
      <w:r w:rsidR="00170302">
        <w:rPr>
          <w:rStyle w:val="Ohne"/>
          <w:rFonts w:ascii="Cambria" w:hAnsi="Cambria" w:cs="Arial"/>
          <w:spacing w:val="-2"/>
          <w:sz w:val="20"/>
          <w:szCs w:val="20"/>
        </w:rPr>
        <w:t>en</w:t>
      </w:r>
      <w:r w:rsidR="00447357" w:rsidRPr="00207748">
        <w:rPr>
          <w:rStyle w:val="Ohne"/>
          <w:rFonts w:ascii="Cambria" w:hAnsi="Cambria" w:cs="Arial"/>
          <w:spacing w:val="-2"/>
          <w:sz w:val="20"/>
          <w:szCs w:val="20"/>
        </w:rPr>
        <w:t xml:space="preserve"> Insulin-Therapie durchgeführt worden. Die RCTs untersuchten gemischte Populationen von chirurgischen und </w:t>
      </w:r>
      <w:r w:rsidR="00170302">
        <w:rPr>
          <w:rStyle w:val="Ohne"/>
          <w:rFonts w:ascii="Cambria" w:hAnsi="Cambria" w:cs="Arial"/>
          <w:spacing w:val="-2"/>
          <w:sz w:val="20"/>
          <w:szCs w:val="20"/>
        </w:rPr>
        <w:t>internistischen</w:t>
      </w:r>
      <w:r w:rsidR="00447357" w:rsidRPr="00207748">
        <w:rPr>
          <w:rStyle w:val="Ohne"/>
          <w:rFonts w:ascii="Cambria" w:hAnsi="Cambria" w:cs="Arial"/>
          <w:spacing w:val="-2"/>
          <w:sz w:val="20"/>
          <w:szCs w:val="20"/>
        </w:rPr>
        <w:t xml:space="preserve"> ITS-Patienten und </w:t>
      </w:r>
      <w:r w:rsidR="00170302">
        <w:rPr>
          <w:rStyle w:val="Ohne"/>
          <w:rFonts w:ascii="Cambria" w:hAnsi="Cambria" w:cs="Arial"/>
          <w:spacing w:val="-2"/>
          <w:sz w:val="20"/>
          <w:szCs w:val="20"/>
        </w:rPr>
        <w:t>wiesen nach</w:t>
      </w:r>
      <w:r w:rsidR="00447357" w:rsidRPr="00207748">
        <w:rPr>
          <w:rStyle w:val="Ohne"/>
          <w:rFonts w:ascii="Cambria" w:hAnsi="Cambria" w:cs="Arial"/>
          <w:spacing w:val="-2"/>
          <w:sz w:val="20"/>
          <w:szCs w:val="20"/>
        </w:rPr>
        <w:t xml:space="preserve">, dass eine intensivierte Insulin-Therapie zu keinem signifikanten Rückgang der </w:t>
      </w:r>
      <w:r w:rsidR="00170302">
        <w:rPr>
          <w:rStyle w:val="Ohne"/>
          <w:rFonts w:ascii="Cambria" w:hAnsi="Cambria" w:cs="Arial"/>
          <w:spacing w:val="-2"/>
          <w:sz w:val="20"/>
          <w:szCs w:val="20"/>
        </w:rPr>
        <w:t>Mortalität</w:t>
      </w:r>
      <w:r w:rsidR="00447357" w:rsidRPr="00207748">
        <w:rPr>
          <w:rStyle w:val="Ohne"/>
          <w:rFonts w:ascii="Cambria" w:hAnsi="Cambria" w:cs="Arial"/>
          <w:spacing w:val="-2"/>
          <w:sz w:val="20"/>
          <w:szCs w:val="20"/>
        </w:rPr>
        <w:t xml:space="preserve"> führte, die NICE-SUGAR-Studie </w:t>
      </w:r>
      <w:r w:rsidR="00170302">
        <w:rPr>
          <w:rStyle w:val="Ohne"/>
          <w:rFonts w:ascii="Cambria" w:hAnsi="Cambria" w:cs="Arial"/>
          <w:spacing w:val="-2"/>
          <w:sz w:val="20"/>
          <w:szCs w:val="20"/>
        </w:rPr>
        <w:t xml:space="preserve">erbrachte sogar </w:t>
      </w:r>
      <w:r w:rsidR="00447357" w:rsidRPr="00207748">
        <w:rPr>
          <w:rStyle w:val="Ohne"/>
          <w:rFonts w:ascii="Cambria" w:hAnsi="Cambria" w:cs="Arial"/>
          <w:spacing w:val="-2"/>
          <w:sz w:val="20"/>
          <w:szCs w:val="20"/>
        </w:rPr>
        <w:t>einen Nachweis für einen Anstieg der Sterblichkeit</w:t>
      </w:r>
      <w:r w:rsidR="00447357" w:rsidRPr="00207748">
        <w:rPr>
          <w:rStyle w:val="Ohne"/>
          <w:rFonts w:ascii="Cambria" w:eastAsia="Arial" w:hAnsi="Cambria" w:cs="Arial"/>
          <w:spacing w:val="-2"/>
          <w:sz w:val="20"/>
          <w:szCs w:val="20"/>
          <w:vertAlign w:val="superscript"/>
        </w:rPr>
        <w:endnoteReference w:id="483"/>
      </w:r>
      <w:r w:rsidR="00447357" w:rsidRPr="00207748">
        <w:rPr>
          <w:rStyle w:val="Ohne"/>
          <w:rFonts w:ascii="Cambria" w:hAnsi="Cambria" w:cs="Arial"/>
          <w:spacing w:val="-2"/>
          <w:sz w:val="20"/>
          <w:szCs w:val="20"/>
        </w:rPr>
        <w:t xml:space="preserve">. Alle Studien </w:t>
      </w:r>
      <w:r w:rsidR="00170302">
        <w:rPr>
          <w:rStyle w:val="Ohne"/>
          <w:rFonts w:ascii="Cambria" w:hAnsi="Cambria" w:cs="Arial"/>
          <w:spacing w:val="-2"/>
          <w:sz w:val="20"/>
          <w:szCs w:val="20"/>
        </w:rPr>
        <w:t>zeigten</w:t>
      </w:r>
      <w:r w:rsidR="00447357" w:rsidRPr="00207748">
        <w:rPr>
          <w:rStyle w:val="Ohne"/>
          <w:rFonts w:ascii="Cambria" w:hAnsi="Cambria" w:cs="Arial"/>
          <w:spacing w:val="-2"/>
          <w:sz w:val="20"/>
          <w:szCs w:val="20"/>
        </w:rPr>
        <w:t xml:space="preserve"> eine viel höhere Inzidenz einer schweren Hypoglykämie (Glucose ≤ 40 mg/dl) (6 %−29 %) bei </w:t>
      </w:r>
      <w:r w:rsidR="00483B64">
        <w:rPr>
          <w:rStyle w:val="Ohne"/>
          <w:rFonts w:ascii="Cambria" w:hAnsi="Cambria" w:cs="Arial"/>
          <w:spacing w:val="-2"/>
          <w:sz w:val="20"/>
          <w:szCs w:val="20"/>
        </w:rPr>
        <w:t xml:space="preserve">der Durchführung </w:t>
      </w:r>
      <w:r w:rsidR="00447357" w:rsidRPr="00207748">
        <w:rPr>
          <w:rStyle w:val="Ohne"/>
          <w:rFonts w:ascii="Cambria" w:hAnsi="Cambria" w:cs="Arial"/>
          <w:spacing w:val="-2"/>
          <w:sz w:val="20"/>
          <w:szCs w:val="20"/>
        </w:rPr>
        <w:t>einer intensivierten Insulin-Therapie</w:t>
      </w:r>
      <w:r w:rsidR="00170302">
        <w:rPr>
          <w:rStyle w:val="Ohne"/>
          <w:rFonts w:ascii="Cambria" w:hAnsi="Cambria" w:cs="Arial"/>
          <w:spacing w:val="-2"/>
          <w:sz w:val="20"/>
          <w:szCs w:val="20"/>
        </w:rPr>
        <w:t xml:space="preserve"> auf</w:t>
      </w:r>
      <w:r w:rsidR="00447357" w:rsidRPr="00207748">
        <w:rPr>
          <w:rStyle w:val="Ohne"/>
          <w:rFonts w:ascii="Cambria" w:hAnsi="Cambria" w:cs="Arial"/>
          <w:spacing w:val="-2"/>
          <w:sz w:val="20"/>
          <w:szCs w:val="20"/>
        </w:rPr>
        <w:t xml:space="preserve">. Diverse Meta-Analysen bestätigten, dass eine intensivierte Insulin-Therapie bei chirurgischen, medizinischen oder gemischten </w:t>
      </w:r>
      <w:r w:rsidR="00447357" w:rsidRPr="00207748">
        <w:rPr>
          <w:rStyle w:val="Ohne"/>
          <w:rFonts w:ascii="Cambria" w:hAnsi="Cambria" w:cs="Arial"/>
          <w:spacing w:val="-2"/>
          <w:sz w:val="20"/>
          <w:szCs w:val="20"/>
        </w:rPr>
        <w:lastRenderedPageBreak/>
        <w:t xml:space="preserve">ITS-Patientenpopulationen nicht mit einem </w:t>
      </w:r>
      <w:r w:rsidR="00483B64">
        <w:rPr>
          <w:rStyle w:val="Ohne"/>
          <w:rFonts w:ascii="Cambria" w:hAnsi="Cambria" w:cs="Arial"/>
          <w:spacing w:val="-2"/>
          <w:sz w:val="20"/>
          <w:szCs w:val="20"/>
        </w:rPr>
        <w:t>Mortalitäts</w:t>
      </w:r>
      <w:r w:rsidR="00447357" w:rsidRPr="00207748">
        <w:rPr>
          <w:rStyle w:val="Ohne"/>
          <w:rFonts w:ascii="Cambria" w:hAnsi="Cambria" w:cs="Arial"/>
          <w:spacing w:val="-2"/>
          <w:sz w:val="20"/>
          <w:szCs w:val="20"/>
        </w:rPr>
        <w:t xml:space="preserve">vorteil verbunden </w:t>
      </w:r>
      <w:r w:rsidR="00483B64">
        <w:rPr>
          <w:rStyle w:val="Ohne"/>
          <w:rFonts w:ascii="Cambria" w:hAnsi="Cambria" w:cs="Arial"/>
          <w:spacing w:val="-2"/>
          <w:sz w:val="20"/>
          <w:szCs w:val="20"/>
        </w:rPr>
        <w:t>ist</w:t>
      </w:r>
      <w:r w:rsidR="00447357" w:rsidRPr="00207748">
        <w:rPr>
          <w:rStyle w:val="Ohne"/>
          <w:rFonts w:ascii="Cambria" w:hAnsi="Cambria" w:cs="Arial"/>
          <w:spacing w:val="-2"/>
          <w:sz w:val="20"/>
          <w:szCs w:val="20"/>
        </w:rPr>
        <w:t xml:space="preserve">. Die Meta-Analyse von Song et al </w:t>
      </w:r>
      <w:r w:rsidR="00EF1A9E" w:rsidRPr="00EF1A9E">
        <w:rPr>
          <w:rStyle w:val="EndnoteRealZchn"/>
        </w:rPr>
        <w:fldChar w:fldCharType="begin"/>
      </w:r>
      <w:r w:rsidR="00EF1A9E" w:rsidRPr="00EF1A9E">
        <w:rPr>
          <w:rStyle w:val="EndnoteRealZchn"/>
        </w:rPr>
        <w:instrText xml:space="preserve"> NOTEREF _Ref31189094 \h </w:instrText>
      </w:r>
      <w:r w:rsidR="00EF1A9E">
        <w:rPr>
          <w:rStyle w:val="EndnoteRealZchn"/>
        </w:rPr>
        <w:instrText xml:space="preserve"> \* MERGEFORMAT </w:instrText>
      </w:r>
      <w:r w:rsidR="00EF1A9E" w:rsidRPr="00EF1A9E">
        <w:rPr>
          <w:rStyle w:val="EndnoteRealZchn"/>
        </w:rPr>
      </w:r>
      <w:r w:rsidR="00EF1A9E" w:rsidRPr="00EF1A9E">
        <w:rPr>
          <w:rStyle w:val="EndnoteRealZchn"/>
        </w:rPr>
        <w:fldChar w:fldCharType="separate"/>
      </w:r>
      <w:r w:rsidR="00EF1A9E" w:rsidRPr="00EF1A9E">
        <w:rPr>
          <w:rStyle w:val="EndnoteRealZchn"/>
        </w:rPr>
        <w:t>490</w:t>
      </w:r>
      <w:r w:rsidR="00EF1A9E" w:rsidRPr="00EF1A9E">
        <w:rPr>
          <w:rStyle w:val="EndnoteRealZchn"/>
        </w:rPr>
        <w:fldChar w:fldCharType="end"/>
      </w:r>
      <w:r w:rsidR="00447357" w:rsidRPr="00EF1A9E">
        <w:rPr>
          <w:rStyle w:val="EndnoteRealZchn"/>
        </w:rPr>
        <w:t xml:space="preserve"> </w:t>
      </w:r>
      <w:r w:rsidR="00447357" w:rsidRPr="00207748">
        <w:rPr>
          <w:rStyle w:val="Ohne"/>
          <w:rFonts w:ascii="Cambria" w:hAnsi="Cambria" w:cs="Arial"/>
          <w:spacing w:val="-2"/>
          <w:sz w:val="20"/>
          <w:szCs w:val="20"/>
        </w:rPr>
        <w:t xml:space="preserve">evaluierte ausschließlich septische Patienten und ergab, dass eine intensivierte Insulin-Therapie nicht zu einer Veränderung der 28-Tage- oder 90-Tage-Letalität führt und mit einer höheren Inzidenz von Hypoglykämien verbunden </w:t>
      </w:r>
      <w:r w:rsidR="00483B64">
        <w:rPr>
          <w:rStyle w:val="Ohne"/>
          <w:rFonts w:ascii="Cambria" w:hAnsi="Cambria" w:cs="Arial"/>
          <w:spacing w:val="-2"/>
          <w:sz w:val="20"/>
          <w:szCs w:val="20"/>
        </w:rPr>
        <w:t>ist</w:t>
      </w:r>
      <w:r w:rsidR="00447357" w:rsidRPr="00207748">
        <w:rPr>
          <w:rStyle w:val="Ohne"/>
          <w:rFonts w:ascii="Cambria" w:hAnsi="Cambria" w:cs="Arial"/>
          <w:spacing w:val="-2"/>
          <w:sz w:val="20"/>
          <w:szCs w:val="20"/>
        </w:rPr>
        <w:t xml:space="preserve">. </w:t>
      </w:r>
      <w:r w:rsidR="00483B64">
        <w:rPr>
          <w:rStyle w:val="Ohne"/>
          <w:rFonts w:ascii="Cambria" w:hAnsi="Cambria" w:cs="Arial"/>
          <w:spacing w:val="-2"/>
          <w:sz w:val="20"/>
          <w:szCs w:val="20"/>
        </w:rPr>
        <w:t>Schwellenwert</w:t>
      </w:r>
      <w:r w:rsidR="002B1061">
        <w:rPr>
          <w:rStyle w:val="Ohne"/>
          <w:rFonts w:ascii="Cambria" w:hAnsi="Cambria" w:cs="Arial"/>
          <w:spacing w:val="-2"/>
          <w:sz w:val="20"/>
          <w:szCs w:val="20"/>
        </w:rPr>
        <w:t xml:space="preserve"> </w:t>
      </w:r>
      <w:r w:rsidR="00447357" w:rsidRPr="00207748">
        <w:rPr>
          <w:rStyle w:val="Ohne"/>
          <w:rFonts w:ascii="Cambria" w:hAnsi="Cambria" w:cs="Arial"/>
          <w:spacing w:val="-2"/>
          <w:sz w:val="20"/>
          <w:szCs w:val="20"/>
        </w:rPr>
        <w:t>für d</w:t>
      </w:r>
      <w:r w:rsidR="00483B64">
        <w:rPr>
          <w:rStyle w:val="Ohne"/>
          <w:rFonts w:ascii="Cambria" w:hAnsi="Cambria" w:cs="Arial"/>
          <w:spacing w:val="-2"/>
          <w:sz w:val="20"/>
          <w:szCs w:val="20"/>
        </w:rPr>
        <w:t>ie Initiierung</w:t>
      </w:r>
      <w:r w:rsidR="002B1061">
        <w:rPr>
          <w:rStyle w:val="Ohne"/>
          <w:rFonts w:ascii="Cambria" w:hAnsi="Cambria" w:cs="Arial"/>
          <w:spacing w:val="-2"/>
          <w:sz w:val="20"/>
          <w:szCs w:val="20"/>
        </w:rPr>
        <w:t xml:space="preserve"> </w:t>
      </w:r>
      <w:r w:rsidR="00447357" w:rsidRPr="00207748">
        <w:rPr>
          <w:rStyle w:val="Ohne"/>
          <w:rFonts w:ascii="Cambria" w:hAnsi="Cambria" w:cs="Arial"/>
          <w:spacing w:val="-2"/>
          <w:sz w:val="20"/>
          <w:szCs w:val="20"/>
        </w:rPr>
        <w:t xml:space="preserve">eines Insulin-Protokolls </w:t>
      </w:r>
      <w:r w:rsidR="00483B64">
        <w:rPr>
          <w:rStyle w:val="Ohne"/>
          <w:rFonts w:ascii="Cambria" w:hAnsi="Cambria" w:cs="Arial"/>
          <w:spacing w:val="-2"/>
          <w:sz w:val="20"/>
          <w:szCs w:val="20"/>
        </w:rPr>
        <w:t>aren in der NICE-SUGAR Studie</w:t>
      </w:r>
      <w:r w:rsidR="002B1061">
        <w:rPr>
          <w:rStyle w:val="Ohne"/>
          <w:rFonts w:ascii="Cambria" w:hAnsi="Cambria" w:cs="Arial"/>
          <w:spacing w:val="-2"/>
          <w:sz w:val="20"/>
          <w:szCs w:val="20"/>
        </w:rPr>
        <w:t xml:space="preserve"> </w:t>
      </w:r>
      <w:r w:rsidR="00447357" w:rsidRPr="00207748">
        <w:rPr>
          <w:rStyle w:val="Ohne"/>
          <w:rFonts w:ascii="Cambria" w:hAnsi="Cambria" w:cs="Arial"/>
          <w:spacing w:val="-2"/>
          <w:sz w:val="20"/>
          <w:szCs w:val="20"/>
        </w:rPr>
        <w:t xml:space="preserve">Blutzuckerwerte &gt; 180 mg/dl mit einem oberen Blutzucker-Zielwert von &lt; 180 mg/dl. Die NICE-SUGAR-Studie ist die größte und bisher überzeugendste Studie zur Blutzuckerkontrolle bei </w:t>
      </w:r>
      <w:r w:rsidR="001A58EF" w:rsidRPr="00207748">
        <w:rPr>
          <w:rStyle w:val="Ohne"/>
          <w:rFonts w:ascii="Cambria" w:hAnsi="Cambria" w:cs="Arial"/>
          <w:spacing w:val="-2"/>
          <w:sz w:val="20"/>
          <w:szCs w:val="20"/>
        </w:rPr>
        <w:t>Intensivp</w:t>
      </w:r>
      <w:r w:rsidR="00447357" w:rsidRPr="00207748">
        <w:rPr>
          <w:rStyle w:val="Ohne"/>
          <w:rFonts w:ascii="Cambria" w:hAnsi="Cambria" w:cs="Arial"/>
          <w:spacing w:val="-2"/>
          <w:sz w:val="20"/>
          <w:szCs w:val="20"/>
        </w:rPr>
        <w:t xml:space="preserve">atienten, da in diese zahlreiche ITS und Krankenhäuser sowie eine </w:t>
      </w:r>
      <w:r w:rsidR="00483B64">
        <w:rPr>
          <w:rStyle w:val="Ohne"/>
          <w:rFonts w:ascii="Cambria" w:hAnsi="Cambria" w:cs="Arial"/>
          <w:spacing w:val="-2"/>
          <w:sz w:val="20"/>
          <w:szCs w:val="20"/>
        </w:rPr>
        <w:t>sehr heterogene Patientenp</w:t>
      </w:r>
      <w:r w:rsidR="00447357" w:rsidRPr="00207748">
        <w:rPr>
          <w:rStyle w:val="Ohne"/>
          <w:rFonts w:ascii="Cambria" w:hAnsi="Cambria" w:cs="Arial"/>
          <w:spacing w:val="-2"/>
          <w:sz w:val="20"/>
          <w:szCs w:val="20"/>
        </w:rPr>
        <w:t>opulation einbezogen wurden. Diverse medizinische Organisationen, einschließlich der American Association of Clinical Endocrinologists, der American Diabetes Association, der American Heart Association, dem American College of Physicians und der Society of Critical Care Medicine haben Konsenserklärungen zur glykämischen Kontrolle von Krankenhaus</w:t>
      </w:r>
      <w:r w:rsidR="001A58EF" w:rsidRPr="00207748">
        <w:rPr>
          <w:rStyle w:val="Ohne"/>
          <w:rFonts w:ascii="Cambria" w:hAnsi="Cambria" w:cs="Arial"/>
          <w:spacing w:val="-2"/>
          <w:sz w:val="20"/>
          <w:szCs w:val="20"/>
        </w:rPr>
        <w:t>p</w:t>
      </w:r>
      <w:r w:rsidR="00447357" w:rsidRPr="00207748">
        <w:rPr>
          <w:rStyle w:val="Ohne"/>
          <w:rFonts w:ascii="Cambria" w:hAnsi="Cambria" w:cs="Arial"/>
          <w:spacing w:val="-2"/>
          <w:sz w:val="20"/>
          <w:szCs w:val="20"/>
        </w:rPr>
        <w:t xml:space="preserve">atienten veröffentlicht </w:t>
      </w:r>
      <w:bookmarkStart w:id="453" w:name="_Ref30603851"/>
      <w:r w:rsidR="00447357" w:rsidRPr="00207748">
        <w:rPr>
          <w:rStyle w:val="Ohne"/>
          <w:rFonts w:ascii="Cambria" w:eastAsia="Arial" w:hAnsi="Cambria" w:cs="Arial"/>
          <w:spacing w:val="-2"/>
          <w:sz w:val="20"/>
          <w:szCs w:val="20"/>
          <w:vertAlign w:val="superscript"/>
        </w:rPr>
        <w:endnoteReference w:id="484"/>
      </w:r>
      <w:bookmarkEnd w:id="453"/>
      <w:r w:rsidR="00447357" w:rsidRPr="00207748">
        <w:rPr>
          <w:rStyle w:val="Ohne"/>
          <w:rFonts w:ascii="Cambria" w:hAnsi="Cambria" w:cs="Arial"/>
          <w:spacing w:val="-2"/>
          <w:sz w:val="20"/>
          <w:szCs w:val="20"/>
        </w:rPr>
        <w:t xml:space="preserve"> </w:t>
      </w:r>
      <w:r w:rsidR="00447357" w:rsidRPr="00207748">
        <w:rPr>
          <w:rStyle w:val="Ohne"/>
          <w:rFonts w:ascii="Cambria" w:eastAsia="Arial" w:hAnsi="Cambria" w:cs="Arial"/>
          <w:spacing w:val="-2"/>
          <w:sz w:val="20"/>
          <w:szCs w:val="20"/>
          <w:vertAlign w:val="superscript"/>
        </w:rPr>
        <w:endnoteReference w:id="485"/>
      </w:r>
      <w:r w:rsidR="00447357" w:rsidRPr="00207748">
        <w:rPr>
          <w:rStyle w:val="Ohne"/>
          <w:rFonts w:ascii="Cambria" w:hAnsi="Cambria" w:cs="Arial"/>
          <w:spacing w:val="-2"/>
          <w:sz w:val="20"/>
          <w:szCs w:val="20"/>
        </w:rPr>
        <w:t>. Diese Erklärungen beinhalten im Allgemeinen avisierte Blutzucker-Zielwerte zwischen 140 und 180 mg/dl. Da keine Evidenz vorliegt, die belegen würde, dass sich Zielwerte zwischen 140 und 180 mg/dl von Zielwerten zwischen 110 bis 140 mg/dl unterscheiden, wird in den vorliegenden Empfehlungen ein oberer Blutzucker-Zielwert von ≤ 180 mg/dl genutzt, ohne einen unteren Zielwert festzulegen, mit Ausnahme der Hypoglykämie. Engere Wertebereiche, wie z.B. 110–140 mg/dl können bei ausgewählten Patienten angemessen sein, wenn diese Zielwerte ohne signifikante Hypoglykämie erreicht werden können</w:t>
      </w:r>
      <w:r w:rsidR="006B2B71">
        <w:rPr>
          <w:rStyle w:val="Ohne"/>
          <w:rFonts w:ascii="Cambria" w:hAnsi="Cambria" w:cs="Arial"/>
          <w:spacing w:val="-2"/>
          <w:sz w:val="20"/>
          <w:szCs w:val="20"/>
        </w:rPr>
        <w:t xml:space="preserve"> </w:t>
      </w:r>
      <w:r w:rsidR="006B2B71" w:rsidRPr="006B2B71">
        <w:rPr>
          <w:rStyle w:val="EndnoteRealZchn"/>
          <w:sz w:val="20"/>
          <w:szCs w:val="20"/>
        </w:rPr>
        <w:fldChar w:fldCharType="begin"/>
      </w:r>
      <w:r w:rsidR="006B2B71" w:rsidRPr="006B2B71">
        <w:rPr>
          <w:rStyle w:val="EndnoteRealZchn"/>
          <w:sz w:val="20"/>
          <w:szCs w:val="20"/>
        </w:rPr>
        <w:instrText xml:space="preserve"> NOTEREF _Ref30603851 \h  \* MERGEFORMAT </w:instrText>
      </w:r>
      <w:r w:rsidR="006B2B71" w:rsidRPr="006B2B71">
        <w:rPr>
          <w:rStyle w:val="EndnoteRealZchn"/>
          <w:sz w:val="20"/>
          <w:szCs w:val="20"/>
        </w:rPr>
      </w:r>
      <w:r w:rsidR="006B2B71" w:rsidRPr="006B2B71">
        <w:rPr>
          <w:rStyle w:val="EndnoteRealZchn"/>
          <w:sz w:val="20"/>
          <w:szCs w:val="20"/>
        </w:rPr>
        <w:fldChar w:fldCharType="separate"/>
      </w:r>
      <w:r w:rsidR="001A283B">
        <w:rPr>
          <w:rStyle w:val="EndnoteRealZchn"/>
          <w:sz w:val="20"/>
          <w:szCs w:val="20"/>
        </w:rPr>
        <w:t>538</w:t>
      </w:r>
      <w:r w:rsidR="006B2B71" w:rsidRPr="006B2B71">
        <w:rPr>
          <w:rStyle w:val="EndnoteRealZchn"/>
          <w:sz w:val="20"/>
          <w:szCs w:val="20"/>
        </w:rPr>
        <w:fldChar w:fldCharType="end"/>
      </w:r>
      <w:r w:rsidR="006B2B71" w:rsidRPr="006B2B71">
        <w:rPr>
          <w:rStyle w:val="EndnoteRealZchn"/>
          <w:sz w:val="20"/>
          <w:szCs w:val="20"/>
        </w:rPr>
        <w:t xml:space="preserve"> </w:t>
      </w:r>
      <w:r w:rsidR="00447357" w:rsidRPr="00207748">
        <w:rPr>
          <w:rStyle w:val="Ohne"/>
          <w:rFonts w:ascii="Cambria" w:eastAsia="Arial" w:hAnsi="Cambria" w:cs="Arial"/>
          <w:spacing w:val="-2"/>
          <w:sz w:val="20"/>
          <w:szCs w:val="20"/>
          <w:vertAlign w:val="superscript"/>
        </w:rPr>
        <w:endnoteReference w:id="486"/>
      </w:r>
      <w:r w:rsidR="00447357" w:rsidRPr="00207748">
        <w:rPr>
          <w:rStyle w:val="Ohne"/>
          <w:rFonts w:ascii="Cambria" w:hAnsi="Cambria" w:cs="Arial"/>
          <w:spacing w:val="-2"/>
          <w:sz w:val="20"/>
          <w:szCs w:val="20"/>
        </w:rPr>
        <w:t xml:space="preserve">. Bei der Behandlung sollten Hyperglykämien (&gt; 180 mg/dl), Hypoglykämien und große Schwankungen der Blutzuckerwerte vermieden werden, </w:t>
      </w:r>
      <w:r w:rsidR="00483B64">
        <w:rPr>
          <w:rStyle w:val="Ohne"/>
          <w:rFonts w:ascii="Cambria" w:hAnsi="Cambria" w:cs="Arial"/>
          <w:spacing w:val="-2"/>
          <w:sz w:val="20"/>
          <w:szCs w:val="20"/>
        </w:rPr>
        <w:t>da dieses</w:t>
      </w:r>
      <w:r w:rsidR="002B1061">
        <w:rPr>
          <w:rStyle w:val="Ohne"/>
          <w:rFonts w:ascii="Cambria" w:hAnsi="Cambria" w:cs="Arial"/>
          <w:spacing w:val="-2"/>
          <w:sz w:val="20"/>
          <w:szCs w:val="20"/>
        </w:rPr>
        <w:t xml:space="preserve"> </w:t>
      </w:r>
      <w:r w:rsidR="00447357" w:rsidRPr="00207748">
        <w:rPr>
          <w:rStyle w:val="Ohne"/>
          <w:rFonts w:ascii="Cambria" w:hAnsi="Cambria" w:cs="Arial"/>
          <w:spacing w:val="-2"/>
          <w:sz w:val="20"/>
          <w:szCs w:val="20"/>
        </w:rPr>
        <w:t xml:space="preserve">mit einer höheren </w:t>
      </w:r>
      <w:r w:rsidR="00483B64">
        <w:rPr>
          <w:rStyle w:val="Ohne"/>
          <w:rFonts w:ascii="Cambria" w:hAnsi="Cambria" w:cs="Arial"/>
          <w:spacing w:val="-2"/>
          <w:sz w:val="20"/>
          <w:szCs w:val="20"/>
        </w:rPr>
        <w:t>Mortalität</w:t>
      </w:r>
      <w:r w:rsidR="00447357" w:rsidRPr="00207748">
        <w:rPr>
          <w:rStyle w:val="Ohne"/>
          <w:rFonts w:ascii="Cambria" w:hAnsi="Cambria" w:cs="Arial"/>
          <w:spacing w:val="-2"/>
          <w:sz w:val="20"/>
          <w:szCs w:val="20"/>
        </w:rPr>
        <w:t xml:space="preserve"> in Zusammenhang gebracht wurde</w:t>
      </w:r>
      <w:r w:rsidR="00447357" w:rsidRPr="00207748">
        <w:rPr>
          <w:rStyle w:val="Ohne"/>
          <w:rFonts w:ascii="Cambria" w:eastAsia="Arial" w:hAnsi="Cambria" w:cs="Arial"/>
          <w:spacing w:val="-2"/>
          <w:sz w:val="20"/>
          <w:szCs w:val="20"/>
          <w:vertAlign w:val="superscript"/>
        </w:rPr>
        <w:endnoteReference w:id="487"/>
      </w:r>
      <w:r w:rsidR="00447357" w:rsidRPr="00207748">
        <w:rPr>
          <w:rStyle w:val="Ohne"/>
          <w:rFonts w:ascii="Cambria" w:hAnsi="Cambria" w:cs="Arial"/>
          <w:spacing w:val="-2"/>
          <w:sz w:val="20"/>
          <w:szCs w:val="20"/>
        </w:rPr>
        <w:t xml:space="preserve"> </w:t>
      </w:r>
      <w:r w:rsidR="00447357" w:rsidRPr="00207748">
        <w:rPr>
          <w:rStyle w:val="Ohne"/>
          <w:rFonts w:ascii="Cambria" w:eastAsia="Arial" w:hAnsi="Cambria" w:cs="Arial"/>
          <w:spacing w:val="-2"/>
          <w:sz w:val="20"/>
          <w:szCs w:val="20"/>
          <w:vertAlign w:val="superscript"/>
        </w:rPr>
        <w:endnoteReference w:id="488"/>
      </w:r>
      <w:r w:rsidR="00447357" w:rsidRPr="00207748">
        <w:rPr>
          <w:rStyle w:val="Ohne"/>
          <w:rFonts w:ascii="Cambria" w:hAnsi="Cambria" w:cs="Arial"/>
          <w:spacing w:val="-2"/>
          <w:sz w:val="20"/>
          <w:szCs w:val="20"/>
        </w:rPr>
        <w:t xml:space="preserve"> </w:t>
      </w:r>
      <w:r w:rsidR="00447357" w:rsidRPr="00207748">
        <w:rPr>
          <w:rStyle w:val="Ohne"/>
          <w:rFonts w:ascii="Cambria" w:eastAsia="Arial" w:hAnsi="Cambria" w:cs="Arial"/>
          <w:spacing w:val="-2"/>
          <w:sz w:val="20"/>
          <w:szCs w:val="20"/>
          <w:vertAlign w:val="superscript"/>
        </w:rPr>
        <w:endnoteReference w:id="489"/>
      </w:r>
      <w:r w:rsidR="00447357" w:rsidRPr="00207748">
        <w:rPr>
          <w:rStyle w:val="Ohne"/>
          <w:rFonts w:ascii="Cambria" w:hAnsi="Cambria" w:cs="Arial"/>
          <w:spacing w:val="-2"/>
          <w:sz w:val="20"/>
          <w:szCs w:val="20"/>
        </w:rPr>
        <w:t xml:space="preserve"> </w:t>
      </w:r>
      <w:r w:rsidR="00447357" w:rsidRPr="00207748">
        <w:rPr>
          <w:rStyle w:val="Ohne"/>
          <w:rFonts w:ascii="Cambria" w:eastAsia="Arial" w:hAnsi="Cambria" w:cs="Arial"/>
          <w:spacing w:val="-2"/>
          <w:sz w:val="20"/>
          <w:szCs w:val="20"/>
          <w:vertAlign w:val="superscript"/>
        </w:rPr>
        <w:endnoteReference w:id="490"/>
      </w:r>
      <w:r w:rsidR="00447357" w:rsidRPr="00207748">
        <w:rPr>
          <w:rStyle w:val="Ohne"/>
          <w:rFonts w:ascii="Cambria" w:hAnsi="Cambria" w:cs="Arial"/>
          <w:spacing w:val="-2"/>
          <w:sz w:val="20"/>
          <w:szCs w:val="20"/>
        </w:rPr>
        <w:t xml:space="preserve"> </w:t>
      </w:r>
      <w:r w:rsidR="00447357" w:rsidRPr="00207748">
        <w:rPr>
          <w:rStyle w:val="Ohne"/>
          <w:rFonts w:ascii="Cambria" w:eastAsia="Arial" w:hAnsi="Cambria" w:cs="Arial"/>
          <w:spacing w:val="-2"/>
          <w:sz w:val="20"/>
          <w:szCs w:val="20"/>
          <w:vertAlign w:val="superscript"/>
        </w:rPr>
        <w:endnoteReference w:id="491"/>
      </w:r>
      <w:r w:rsidR="00447357" w:rsidRPr="00207748">
        <w:rPr>
          <w:rStyle w:val="Ohne"/>
          <w:rFonts w:ascii="Cambria" w:hAnsi="Cambria" w:cs="Arial"/>
          <w:spacing w:val="-2"/>
          <w:sz w:val="20"/>
          <w:szCs w:val="20"/>
        </w:rPr>
        <w:t xml:space="preserve"> </w:t>
      </w:r>
      <w:r w:rsidR="00447357" w:rsidRPr="00207748">
        <w:rPr>
          <w:rStyle w:val="Ohne"/>
          <w:rFonts w:ascii="Cambria" w:eastAsia="Arial" w:hAnsi="Cambria" w:cs="Arial"/>
          <w:spacing w:val="-2"/>
          <w:sz w:val="20"/>
          <w:szCs w:val="20"/>
          <w:vertAlign w:val="superscript"/>
        </w:rPr>
        <w:endnoteReference w:id="492"/>
      </w:r>
      <w:r w:rsidR="00447357" w:rsidRPr="00207748">
        <w:rPr>
          <w:rStyle w:val="Ohne"/>
          <w:rFonts w:ascii="Cambria" w:hAnsi="Cambria" w:cs="Arial"/>
          <w:spacing w:val="-2"/>
          <w:sz w:val="20"/>
          <w:szCs w:val="20"/>
        </w:rPr>
        <w:t>. Die Fortsetzung von Insulin-Infusionen, insbesondere beim Absetzen der Ernährungsmaßnahmen, wurde als Risikofaktor für eine Hypoglykämie identifiziert</w:t>
      </w:r>
      <w:r w:rsidR="00447357" w:rsidRPr="00207748">
        <w:rPr>
          <w:rStyle w:val="Ohne"/>
          <w:rFonts w:ascii="Cambria" w:eastAsia="Arial" w:hAnsi="Cambria" w:cs="Arial"/>
          <w:spacing w:val="-2"/>
          <w:sz w:val="20"/>
          <w:szCs w:val="20"/>
          <w:vertAlign w:val="superscript"/>
        </w:rPr>
        <w:endnoteReference w:id="493"/>
      </w:r>
      <w:r w:rsidR="00447357" w:rsidRPr="00207748">
        <w:rPr>
          <w:rStyle w:val="Ohne"/>
          <w:rFonts w:ascii="Cambria" w:hAnsi="Cambria" w:cs="Arial"/>
          <w:spacing w:val="-2"/>
          <w:sz w:val="20"/>
          <w:szCs w:val="20"/>
        </w:rPr>
        <w:t>. Eine ausgewogene Ernährung könnte mit einem reduzierten Risiko für eine Hypoglykämie verbunden sein</w:t>
      </w:r>
      <w:r w:rsidR="00447357" w:rsidRPr="00207748">
        <w:rPr>
          <w:rStyle w:val="Ohne"/>
          <w:rFonts w:ascii="Cambria" w:eastAsia="Arial" w:hAnsi="Cambria" w:cs="Arial"/>
          <w:spacing w:val="-2"/>
          <w:sz w:val="20"/>
          <w:szCs w:val="20"/>
          <w:vertAlign w:val="superscript"/>
        </w:rPr>
        <w:endnoteReference w:id="494"/>
      </w:r>
      <w:r w:rsidR="00447357" w:rsidRPr="00207748">
        <w:rPr>
          <w:rStyle w:val="Ohne"/>
          <w:rFonts w:ascii="Cambria" w:hAnsi="Cambria" w:cs="Arial"/>
          <w:spacing w:val="-2"/>
          <w:sz w:val="20"/>
          <w:szCs w:val="20"/>
        </w:rPr>
        <w:t xml:space="preserve">. Eine Hyperglykämie und </w:t>
      </w:r>
      <w:r w:rsidR="00447357" w:rsidRPr="00207748">
        <w:rPr>
          <w:rStyle w:val="Ohne"/>
          <w:rFonts w:ascii="Cambria" w:hAnsi="Cambria" w:cs="Arial"/>
          <w:spacing w:val="-2"/>
          <w:sz w:val="20"/>
          <w:szCs w:val="20"/>
        </w:rPr>
        <w:lastRenderedPageBreak/>
        <w:t>Glu</w:t>
      </w:r>
      <w:r w:rsidR="00483B64">
        <w:rPr>
          <w:rStyle w:val="Ohne"/>
          <w:rFonts w:ascii="Cambria" w:hAnsi="Cambria" w:cs="Arial"/>
          <w:spacing w:val="-2"/>
          <w:sz w:val="20"/>
          <w:szCs w:val="20"/>
        </w:rPr>
        <w:t>k</w:t>
      </w:r>
      <w:r w:rsidR="00447357" w:rsidRPr="00207748">
        <w:rPr>
          <w:rStyle w:val="Ohne"/>
          <w:rFonts w:ascii="Cambria" w:hAnsi="Cambria" w:cs="Arial"/>
          <w:spacing w:val="-2"/>
          <w:sz w:val="20"/>
          <w:szCs w:val="20"/>
        </w:rPr>
        <w:t xml:space="preserve">ose-Variabilität scheint nicht im Zusammenhang mit erhöhten </w:t>
      </w:r>
      <w:r w:rsidR="00483B64">
        <w:rPr>
          <w:rStyle w:val="Ohne"/>
          <w:rFonts w:ascii="Cambria" w:hAnsi="Cambria" w:cs="Arial"/>
          <w:spacing w:val="-2"/>
          <w:sz w:val="20"/>
          <w:szCs w:val="20"/>
        </w:rPr>
        <w:t>Mortalitäts</w:t>
      </w:r>
      <w:r w:rsidR="00447357" w:rsidRPr="00207748">
        <w:rPr>
          <w:rStyle w:val="Ohne"/>
          <w:rFonts w:ascii="Cambria" w:hAnsi="Cambria" w:cs="Arial"/>
          <w:spacing w:val="-2"/>
          <w:sz w:val="20"/>
          <w:szCs w:val="20"/>
        </w:rPr>
        <w:t>raten bei Diabetes-Patienten im Vergleich zu Nicht-Diabetes-Patienten zu stehen</w:t>
      </w:r>
      <w:r w:rsidR="00447357" w:rsidRPr="00207748">
        <w:rPr>
          <w:rStyle w:val="Ohne"/>
          <w:rFonts w:ascii="Cambria" w:eastAsia="Arial" w:hAnsi="Cambria" w:cs="Arial"/>
          <w:spacing w:val="-2"/>
          <w:sz w:val="20"/>
          <w:szCs w:val="20"/>
          <w:vertAlign w:val="superscript"/>
        </w:rPr>
        <w:endnoteReference w:id="495"/>
      </w:r>
      <w:r w:rsidR="00447357" w:rsidRPr="00207748">
        <w:rPr>
          <w:rStyle w:val="Ohne"/>
          <w:rFonts w:ascii="Cambria" w:hAnsi="Cambria" w:cs="Arial"/>
          <w:spacing w:val="-2"/>
          <w:sz w:val="20"/>
          <w:szCs w:val="20"/>
        </w:rPr>
        <w:t xml:space="preserve"> </w:t>
      </w:r>
      <w:r w:rsidR="00447357" w:rsidRPr="00207748">
        <w:rPr>
          <w:rStyle w:val="Ohne"/>
          <w:rFonts w:ascii="Cambria" w:eastAsia="Arial" w:hAnsi="Cambria" w:cs="Arial"/>
          <w:spacing w:val="-2"/>
          <w:sz w:val="20"/>
          <w:szCs w:val="20"/>
          <w:vertAlign w:val="superscript"/>
        </w:rPr>
        <w:endnoteReference w:id="496"/>
      </w:r>
      <w:r w:rsidR="00447357" w:rsidRPr="00207748">
        <w:rPr>
          <w:rStyle w:val="Ohne"/>
          <w:rFonts w:ascii="Cambria" w:hAnsi="Cambria" w:cs="Arial"/>
          <w:spacing w:val="-2"/>
          <w:sz w:val="20"/>
          <w:szCs w:val="20"/>
        </w:rPr>
        <w:t xml:space="preserve"> </w:t>
      </w:r>
      <w:r w:rsidR="00447357" w:rsidRPr="00207748">
        <w:rPr>
          <w:rStyle w:val="Ohne"/>
          <w:rFonts w:ascii="Cambria" w:eastAsia="Arial" w:hAnsi="Cambria" w:cs="Arial"/>
          <w:spacing w:val="-2"/>
          <w:sz w:val="20"/>
          <w:szCs w:val="20"/>
          <w:vertAlign w:val="superscript"/>
        </w:rPr>
        <w:endnoteReference w:id="497"/>
      </w:r>
      <w:r w:rsidR="00447357" w:rsidRPr="00207748">
        <w:rPr>
          <w:rStyle w:val="Ohne"/>
          <w:rFonts w:ascii="Cambria" w:hAnsi="Cambria" w:cs="Arial"/>
          <w:spacing w:val="-2"/>
          <w:sz w:val="20"/>
          <w:szCs w:val="20"/>
        </w:rPr>
        <w:t>. Patienten mit Diabetes und chronischer Hyperglykämie, Niereninsuffizienz im Endstadium könnten höhere Blutzucker-Wertebereiche benötigen</w:t>
      </w:r>
      <w:r w:rsidR="00447357" w:rsidRPr="00207748">
        <w:rPr>
          <w:rStyle w:val="Ohne"/>
          <w:rFonts w:ascii="Cambria" w:eastAsia="Arial" w:hAnsi="Cambria" w:cs="Arial"/>
          <w:spacing w:val="-2"/>
          <w:sz w:val="20"/>
          <w:szCs w:val="20"/>
          <w:vertAlign w:val="superscript"/>
        </w:rPr>
        <w:endnoteReference w:id="498"/>
      </w:r>
      <w:r w:rsidR="00447357" w:rsidRPr="00207748">
        <w:rPr>
          <w:rStyle w:val="Ohne"/>
          <w:rFonts w:ascii="Cambria" w:hAnsi="Cambria" w:cs="Arial"/>
          <w:spacing w:val="-2"/>
          <w:sz w:val="20"/>
          <w:szCs w:val="20"/>
        </w:rPr>
        <w:t xml:space="preserve"> </w:t>
      </w:r>
      <w:r w:rsidR="00447357" w:rsidRPr="00207748">
        <w:rPr>
          <w:rStyle w:val="Ohne"/>
          <w:rFonts w:ascii="Cambria" w:eastAsia="Arial" w:hAnsi="Cambria" w:cs="Arial"/>
          <w:spacing w:val="-2"/>
          <w:sz w:val="20"/>
          <w:szCs w:val="20"/>
          <w:vertAlign w:val="superscript"/>
        </w:rPr>
        <w:endnoteReference w:id="499"/>
      </w:r>
      <w:r w:rsidR="00447357" w:rsidRPr="00207748">
        <w:rPr>
          <w:rStyle w:val="Ohne"/>
          <w:rFonts w:ascii="Cambria" w:hAnsi="Cambria" w:cs="Arial"/>
          <w:spacing w:val="-2"/>
          <w:sz w:val="20"/>
          <w:szCs w:val="20"/>
        </w:rPr>
        <w:t>.</w:t>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02"/>
        <w:gridCol w:w="850"/>
      </w:tblGrid>
      <w:tr w:rsidR="00E11869" w:rsidRPr="00207748" w14:paraId="025B7518"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0AB07C20" w14:textId="77777777" w:rsidR="00E11869" w:rsidRPr="00207748" w:rsidRDefault="00447357" w:rsidP="004454B6">
            <w:pPr>
              <w:rPr>
                <w:rStyle w:val="Ohne"/>
                <w:rFonts w:ascii="Cambria" w:hAnsi="Cambria"/>
                <w:b/>
                <w:bCs/>
                <w:sz w:val="20"/>
                <w:szCs w:val="20"/>
              </w:rPr>
            </w:pPr>
            <w:r w:rsidRPr="00207748">
              <w:rPr>
                <w:rStyle w:val="Ohne"/>
                <w:rFonts w:ascii="Cambria" w:hAnsi="Cambria" w:cs="Arial"/>
                <w:b/>
                <w:bCs/>
                <w:sz w:val="20"/>
                <w:szCs w:val="20"/>
              </w:rPr>
              <w:t>O.3</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2F969584"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3EF2C424"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52E065CE" w14:textId="77777777" w:rsidTr="00334AF5">
        <w:trPr>
          <w:trHeight w:val="3369"/>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7CF4C"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Empfehlungsgrad</w:t>
            </w:r>
          </w:p>
          <w:p w14:paraId="05C84539" w14:textId="77777777" w:rsidR="00E11869" w:rsidRPr="00207748" w:rsidRDefault="00E11869" w:rsidP="004454B6">
            <w:pPr>
              <w:spacing w:after="0"/>
              <w:rPr>
                <w:rStyle w:val="Ohne"/>
                <w:rFonts w:ascii="Cambria" w:eastAsia="Arial" w:hAnsi="Cambria" w:cs="Arial"/>
                <w:sz w:val="20"/>
                <w:szCs w:val="20"/>
              </w:rPr>
            </w:pPr>
          </w:p>
          <w:p w14:paraId="6F143F10" w14:textId="77777777" w:rsidR="00E11869" w:rsidRPr="00207748" w:rsidRDefault="00447357" w:rsidP="004454B6">
            <w:pPr>
              <w:spacing w:after="0"/>
              <w:rPr>
                <w:rStyle w:val="Ohne"/>
                <w:rFonts w:ascii="Cambria" w:eastAsia="Arial" w:hAnsi="Cambria" w:cs="Arial"/>
                <w:b/>
                <w:bCs/>
                <w:sz w:val="20"/>
                <w:szCs w:val="20"/>
              </w:rPr>
            </w:pPr>
            <w:r w:rsidRPr="00207748">
              <w:rPr>
                <w:rStyle w:val="Ohne"/>
                <w:rFonts w:ascii="Cambria" w:hAnsi="Cambria" w:cs="Arial"/>
                <w:b/>
                <w:bCs/>
                <w:sz w:val="20"/>
                <w:szCs w:val="20"/>
              </w:rPr>
              <w:t>schwach</w:t>
            </w:r>
          </w:p>
          <w:p w14:paraId="76C42F90" w14:textId="77777777" w:rsidR="00E11869" w:rsidRPr="00207748" w:rsidRDefault="00E11869" w:rsidP="004454B6">
            <w:pPr>
              <w:spacing w:after="0"/>
              <w:rPr>
                <w:rStyle w:val="Ohne"/>
                <w:rFonts w:ascii="Cambria" w:eastAsia="Arial" w:hAnsi="Cambria" w:cs="Arial"/>
                <w:b/>
                <w:bCs/>
                <w:sz w:val="20"/>
                <w:szCs w:val="20"/>
              </w:rPr>
            </w:pPr>
          </w:p>
          <w:p w14:paraId="5F61B00E"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Evidenzqualität</w:t>
            </w:r>
          </w:p>
          <w:p w14:paraId="41ABF5F5" w14:textId="77777777" w:rsidR="00E11869" w:rsidRPr="00207748" w:rsidRDefault="00E11869" w:rsidP="004454B6">
            <w:pPr>
              <w:spacing w:after="0"/>
              <w:rPr>
                <w:rStyle w:val="Ohne"/>
                <w:rFonts w:ascii="Cambria" w:eastAsia="Arial" w:hAnsi="Cambria" w:cs="Arial"/>
                <w:sz w:val="20"/>
                <w:szCs w:val="20"/>
              </w:rPr>
            </w:pPr>
          </w:p>
          <w:p w14:paraId="7D078EEB"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niedrig</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2C230"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Wir schlagen die bevorzugte Verwendung von arteriellem Blut gegenüber kapillärem Blut für die patientennahen Testverfahren unter Verwendung von Blutzuckermessgeräten vor, falls die Patienten über arterielle Katheter verfügen sollten.</w:t>
            </w:r>
          </w:p>
        </w:tc>
      </w:tr>
      <w:tr w:rsidR="00E11869" w:rsidRPr="00207748" w14:paraId="2100B8D4" w14:textId="77777777" w:rsidTr="00342FB3">
        <w:trPr>
          <w:trHeight w:val="56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05AE7CC9"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5E28B" w14:textId="77777777" w:rsidR="00E11869" w:rsidRPr="00207748" w:rsidRDefault="00B20D2B" w:rsidP="004454B6">
            <w:pPr>
              <w:spacing w:after="0"/>
              <w:rPr>
                <w:rFonts w:ascii="Cambria" w:hAnsi="Cambria" w:cs="Arial"/>
                <w:sz w:val="20"/>
                <w:szCs w:val="20"/>
              </w:rPr>
            </w:pPr>
            <w:r w:rsidRPr="00207748">
              <w:rPr>
                <w:rStyle w:val="Ohne"/>
                <w:rFonts w:ascii="Cambria" w:hAnsi="Cambria" w:cs="Arial"/>
                <w:b/>
                <w:bCs/>
                <w:sz w:val="20"/>
                <w:szCs w:val="20"/>
              </w:rPr>
              <w:t>SSC-</w:t>
            </w:r>
            <w:r w:rsidR="00447357" w:rsidRPr="00207748">
              <w:rPr>
                <w:rStyle w:val="Ohne"/>
                <w:rFonts w:ascii="Cambria" w:hAnsi="Cambria" w:cs="Arial"/>
                <w:b/>
                <w:bCs/>
                <w:sz w:val="20"/>
                <w:szCs w:val="20"/>
              </w:rPr>
              <w:t>Leitlinienadaptation</w:t>
            </w:r>
          </w:p>
        </w:tc>
      </w:tr>
      <w:tr w:rsidR="00E11869" w:rsidRPr="00207748" w14:paraId="13E17B4F"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F57B0"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3B708"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 xml:space="preserve">Konsensstärke: 90 % </w:t>
            </w:r>
          </w:p>
        </w:tc>
      </w:tr>
    </w:tbl>
    <w:p w14:paraId="4C445187" w14:textId="788D1662" w:rsidR="00E11869" w:rsidRPr="00207748" w:rsidRDefault="00447357" w:rsidP="004454B6">
      <w:pPr>
        <w:spacing w:before="240"/>
        <w:rPr>
          <w:rStyle w:val="Ohne"/>
          <w:rFonts w:ascii="Cambria" w:eastAsia="Arial" w:hAnsi="Cambria" w:cs="Arial"/>
          <w:sz w:val="20"/>
          <w:szCs w:val="20"/>
        </w:rPr>
      </w:pPr>
      <w:r w:rsidRPr="00207748">
        <w:rPr>
          <w:rStyle w:val="Ohne"/>
          <w:rFonts w:ascii="Cambria" w:hAnsi="Cambria" w:cs="Arial"/>
          <w:spacing w:val="-2"/>
          <w:sz w:val="20"/>
          <w:szCs w:val="20"/>
        </w:rPr>
        <w:t>Diverse Faktoren können die Genauigkeit und Reproduzierbarkeit der Point-of Care-Testverfahren des kapillären Blutzuckers beeinflussen, zu denen der Typ und das Modell des verwendeten Geräts, die Nutzererfahrung und Patientenfaktoren gehören, einschließlich Hämatokrit (falsche Erhöhung bei Anämie), Pao</w:t>
      </w:r>
      <w:r w:rsidRPr="00207748">
        <w:rPr>
          <w:rStyle w:val="Ohne"/>
          <w:rFonts w:ascii="Cambria" w:hAnsi="Cambria" w:cs="Arial"/>
          <w:spacing w:val="-2"/>
          <w:sz w:val="20"/>
          <w:szCs w:val="20"/>
          <w:vertAlign w:val="subscript"/>
        </w:rPr>
        <w:t>2</w:t>
      </w:r>
      <w:r w:rsidRPr="00207748">
        <w:rPr>
          <w:rStyle w:val="Ohne"/>
          <w:rFonts w:ascii="Cambria" w:hAnsi="Cambria" w:cs="Arial"/>
          <w:spacing w:val="-2"/>
          <w:sz w:val="20"/>
          <w:szCs w:val="20"/>
        </w:rPr>
        <w:t xml:space="preserve"> und Medikamenten</w:t>
      </w:r>
      <w:bookmarkStart w:id="454" w:name="_Ref30603972"/>
      <w:r w:rsidRPr="00207748">
        <w:rPr>
          <w:rStyle w:val="Ohne"/>
          <w:rFonts w:ascii="Cambria" w:eastAsia="Arial" w:hAnsi="Cambria" w:cs="Arial"/>
          <w:spacing w:val="-2"/>
          <w:sz w:val="20"/>
          <w:szCs w:val="20"/>
          <w:vertAlign w:val="superscript"/>
        </w:rPr>
        <w:endnoteReference w:id="500"/>
      </w:r>
      <w:bookmarkEnd w:id="454"/>
      <w:r w:rsidRPr="00207748">
        <w:rPr>
          <w:rStyle w:val="Ohne"/>
          <w:rFonts w:ascii="Cambria" w:hAnsi="Cambria" w:cs="Arial"/>
          <w:spacing w:val="-2"/>
          <w:sz w:val="20"/>
          <w:szCs w:val="20"/>
        </w:rPr>
        <w:t xml:space="preserve">. Die Plasma-Blutzuckerwerte, die durch kapilläre Blutzucker-Testverfahren ermittelt wurden, waren nachweislich potenziell </w:t>
      </w:r>
      <w:r w:rsidRPr="00207748">
        <w:rPr>
          <w:rStyle w:val="Ohne"/>
          <w:rFonts w:ascii="Cambria" w:hAnsi="Cambria" w:cs="Arial"/>
          <w:sz w:val="20"/>
          <w:szCs w:val="20"/>
        </w:rPr>
        <w:t xml:space="preserve">ungenau, mit häufigen </w:t>
      </w:r>
      <w:r w:rsidR="00483B64">
        <w:rPr>
          <w:rStyle w:val="Ohne"/>
          <w:rFonts w:ascii="Cambria" w:hAnsi="Cambria" w:cs="Arial"/>
          <w:sz w:val="20"/>
          <w:szCs w:val="20"/>
        </w:rPr>
        <w:t>fehlerhaft gemessenen</w:t>
      </w:r>
      <w:r w:rsidRPr="00207748">
        <w:rPr>
          <w:rStyle w:val="Ohne"/>
          <w:rFonts w:ascii="Cambria" w:hAnsi="Cambria" w:cs="Arial"/>
          <w:sz w:val="20"/>
          <w:szCs w:val="20"/>
        </w:rPr>
        <w:t xml:space="preserve"> Erhöhungen</w:t>
      </w:r>
      <w:r w:rsidRPr="00207748">
        <w:rPr>
          <w:rStyle w:val="Ohne"/>
          <w:rFonts w:ascii="Cambria" w:eastAsia="Arial" w:hAnsi="Cambria" w:cs="Arial"/>
          <w:sz w:val="20"/>
          <w:szCs w:val="20"/>
          <w:vertAlign w:val="superscript"/>
        </w:rPr>
        <w:endnoteReference w:id="501"/>
      </w:r>
      <w:r w:rsidRPr="00207748">
        <w:rPr>
          <w:rStyle w:val="Ohne"/>
          <w:rFonts w:ascii="Cambria" w:hAnsi="Cambria" w:cs="Arial"/>
          <w:sz w:val="20"/>
          <w:szCs w:val="20"/>
        </w:rPr>
        <w:t xml:space="preserve"> </w:t>
      </w:r>
      <w:bookmarkStart w:id="455" w:name="_Ref31189230"/>
      <w:r w:rsidRPr="00207748">
        <w:rPr>
          <w:rStyle w:val="Ohne"/>
          <w:rFonts w:ascii="Cambria" w:eastAsia="Arial" w:hAnsi="Cambria" w:cs="Arial"/>
          <w:sz w:val="20"/>
          <w:szCs w:val="20"/>
          <w:vertAlign w:val="superscript"/>
        </w:rPr>
        <w:endnoteReference w:id="502"/>
      </w:r>
      <w:bookmarkEnd w:id="455"/>
      <w:r w:rsidRPr="00207748">
        <w:rPr>
          <w:rStyle w:val="Ohne"/>
          <w:rFonts w:ascii="Cambria" w:hAnsi="Cambria" w:cs="Arial"/>
          <w:sz w:val="20"/>
          <w:szCs w:val="20"/>
        </w:rPr>
        <w:t xml:space="preserve"> </w:t>
      </w:r>
      <w:r w:rsidRPr="00207748">
        <w:rPr>
          <w:rStyle w:val="Ohne"/>
          <w:rFonts w:ascii="Cambria" w:eastAsia="Arial" w:hAnsi="Cambria" w:cs="Arial"/>
          <w:sz w:val="20"/>
          <w:szCs w:val="20"/>
          <w:vertAlign w:val="superscript"/>
        </w:rPr>
        <w:endnoteReference w:id="503"/>
      </w:r>
      <w:r w:rsidRPr="00207748">
        <w:rPr>
          <w:rStyle w:val="Ohne"/>
          <w:rFonts w:ascii="Cambria" w:hAnsi="Cambria" w:cs="Arial"/>
          <w:sz w:val="20"/>
          <w:szCs w:val="20"/>
        </w:rPr>
        <w:t xml:space="preserve"> über </w:t>
      </w:r>
      <w:r w:rsidR="00483B64">
        <w:rPr>
          <w:rStyle w:val="Ohne"/>
          <w:rFonts w:ascii="Cambria" w:hAnsi="Cambria" w:cs="Arial"/>
          <w:sz w:val="20"/>
          <w:szCs w:val="20"/>
        </w:rPr>
        <w:t>alle</w:t>
      </w:r>
      <w:r w:rsidR="002B1061">
        <w:rPr>
          <w:rStyle w:val="Ohne"/>
          <w:rFonts w:ascii="Cambria" w:hAnsi="Cambria" w:cs="Arial"/>
          <w:sz w:val="20"/>
          <w:szCs w:val="20"/>
        </w:rPr>
        <w:t xml:space="preserve"> </w:t>
      </w:r>
      <w:r w:rsidRPr="00207748">
        <w:rPr>
          <w:rStyle w:val="Ohne"/>
          <w:rFonts w:ascii="Cambria" w:hAnsi="Cambria" w:cs="Arial"/>
          <w:sz w:val="20"/>
          <w:szCs w:val="20"/>
        </w:rPr>
        <w:t>Blutzuckerwerte</w:t>
      </w:r>
      <w:r w:rsidR="00483B64">
        <w:rPr>
          <w:rStyle w:val="Ohne"/>
          <w:rFonts w:ascii="Cambria" w:hAnsi="Cambria" w:cs="Arial"/>
          <w:sz w:val="20"/>
          <w:szCs w:val="20"/>
        </w:rPr>
        <w:t xml:space="preserve"> hinweg</w:t>
      </w:r>
      <w:r w:rsidRPr="00207748">
        <w:rPr>
          <w:rStyle w:val="Ohne"/>
          <w:rFonts w:ascii="Cambria" w:hAnsi="Cambria" w:cs="Arial"/>
          <w:sz w:val="20"/>
          <w:szCs w:val="20"/>
        </w:rPr>
        <w:t>, insbesondere jedoch in den hypoglykämischen und hyperglykämischen Wertebereichen</w:t>
      </w:r>
      <w:r w:rsidRPr="00207748">
        <w:rPr>
          <w:rStyle w:val="Ohne"/>
          <w:rFonts w:ascii="Cambria" w:eastAsia="Arial" w:hAnsi="Cambria" w:cs="Arial"/>
          <w:sz w:val="20"/>
          <w:szCs w:val="20"/>
          <w:vertAlign w:val="superscript"/>
        </w:rPr>
        <w:endnoteReference w:id="504"/>
      </w:r>
      <w:r w:rsidRPr="00207748">
        <w:rPr>
          <w:rStyle w:val="Ohne"/>
          <w:rFonts w:ascii="Cambria" w:hAnsi="Cambria" w:cs="Arial"/>
          <w:sz w:val="20"/>
          <w:szCs w:val="20"/>
        </w:rPr>
        <w:t xml:space="preserve"> und bei Schockpatienten (die Vasopressoren erhalten)</w:t>
      </w:r>
      <w:r w:rsidR="006B2B71" w:rsidRPr="006B2B71">
        <w:rPr>
          <w:rStyle w:val="EndnoteRealZchn"/>
          <w:sz w:val="20"/>
          <w:szCs w:val="20"/>
        </w:rPr>
        <w:fldChar w:fldCharType="begin"/>
      </w:r>
      <w:r w:rsidR="006B2B71" w:rsidRPr="006B2B71">
        <w:rPr>
          <w:rStyle w:val="EndnoteRealZchn"/>
          <w:sz w:val="20"/>
          <w:szCs w:val="20"/>
        </w:rPr>
        <w:instrText xml:space="preserve"> NOTEREF _Ref30603972 \h  \* MERGEFORMAT </w:instrText>
      </w:r>
      <w:r w:rsidR="006B2B71" w:rsidRPr="006B2B71">
        <w:rPr>
          <w:rStyle w:val="EndnoteRealZchn"/>
          <w:sz w:val="20"/>
          <w:szCs w:val="20"/>
        </w:rPr>
      </w:r>
      <w:r w:rsidR="006B2B71" w:rsidRPr="006B2B71">
        <w:rPr>
          <w:rStyle w:val="EndnoteRealZchn"/>
          <w:sz w:val="20"/>
          <w:szCs w:val="20"/>
        </w:rPr>
        <w:fldChar w:fldCharType="separate"/>
      </w:r>
      <w:r w:rsidR="001A283B">
        <w:rPr>
          <w:rStyle w:val="EndnoteRealZchn"/>
          <w:sz w:val="20"/>
          <w:szCs w:val="20"/>
        </w:rPr>
        <w:t>554</w:t>
      </w:r>
      <w:r w:rsidR="006B2B71" w:rsidRPr="006B2B71">
        <w:rPr>
          <w:rStyle w:val="EndnoteRealZchn"/>
          <w:sz w:val="20"/>
          <w:szCs w:val="20"/>
        </w:rPr>
        <w:fldChar w:fldCharType="end"/>
      </w:r>
      <w:r w:rsidRPr="00207748">
        <w:rPr>
          <w:rStyle w:val="Ohne"/>
          <w:rFonts w:ascii="Cambria" w:hAnsi="Cambria" w:cs="Arial"/>
          <w:sz w:val="20"/>
          <w:szCs w:val="20"/>
        </w:rPr>
        <w:t>. Ein Review von Studien ergab, dass die Genauigkeit von Blutzucker-Messungen mit</w:t>
      </w:r>
      <w:r w:rsidR="00483B64">
        <w:rPr>
          <w:rStyle w:val="Ohne"/>
          <w:rFonts w:ascii="Cambria" w:hAnsi="Cambria" w:cs="Arial"/>
          <w:sz w:val="20"/>
          <w:szCs w:val="20"/>
        </w:rPr>
        <w:t>tels</w:t>
      </w:r>
      <w:r w:rsidRPr="00207748">
        <w:rPr>
          <w:rStyle w:val="Ohne"/>
          <w:rFonts w:ascii="Cambria" w:hAnsi="Cambria" w:cs="Arial"/>
          <w:sz w:val="20"/>
          <w:szCs w:val="20"/>
        </w:rPr>
        <w:t xml:space="preserve"> </w:t>
      </w:r>
      <w:r w:rsidR="00483B64">
        <w:rPr>
          <w:rStyle w:val="Ohne"/>
          <w:rFonts w:ascii="Cambria" w:hAnsi="Cambria" w:cs="Arial"/>
          <w:sz w:val="20"/>
          <w:szCs w:val="20"/>
        </w:rPr>
        <w:t>Blutgasa</w:t>
      </w:r>
      <w:r w:rsidRPr="00207748">
        <w:rPr>
          <w:rStyle w:val="Ohne"/>
          <w:rFonts w:ascii="Cambria" w:hAnsi="Cambria" w:cs="Arial"/>
          <w:sz w:val="20"/>
          <w:szCs w:val="20"/>
        </w:rPr>
        <w:t xml:space="preserve">nalysegeräten und Blutzucker-Messgeräten, die arterielles Blut nutzen, </w:t>
      </w:r>
      <w:r w:rsidRPr="00207748">
        <w:rPr>
          <w:rStyle w:val="Ohne"/>
          <w:rFonts w:ascii="Cambria" w:hAnsi="Cambria" w:cs="Arial"/>
          <w:sz w:val="20"/>
          <w:szCs w:val="20"/>
        </w:rPr>
        <w:lastRenderedPageBreak/>
        <w:t>signifikant höher ist als bei Blutzucker-Messgeräten, die kapilläres Blut nutzen</w:t>
      </w:r>
      <w:r w:rsidR="00EF1A9E">
        <w:rPr>
          <w:rStyle w:val="Ohne"/>
          <w:rFonts w:ascii="Cambria" w:hAnsi="Cambria" w:cs="Arial"/>
          <w:sz w:val="20"/>
          <w:szCs w:val="20"/>
        </w:rPr>
        <w:t xml:space="preserve"> </w:t>
      </w:r>
      <w:r w:rsidR="00EF1A9E" w:rsidRPr="00EF1A9E">
        <w:rPr>
          <w:rStyle w:val="EndnoteRealZchn"/>
        </w:rPr>
        <w:fldChar w:fldCharType="begin"/>
      </w:r>
      <w:r w:rsidR="00EF1A9E" w:rsidRPr="00EF1A9E">
        <w:rPr>
          <w:rStyle w:val="EndnoteRealZchn"/>
        </w:rPr>
        <w:instrText xml:space="preserve"> NOTEREF _Ref31189230 \h </w:instrText>
      </w:r>
      <w:r w:rsidR="00EF1A9E">
        <w:rPr>
          <w:rStyle w:val="EndnoteRealZchn"/>
        </w:rPr>
        <w:instrText xml:space="preserve"> \* MERGEFORMAT </w:instrText>
      </w:r>
      <w:r w:rsidR="00EF1A9E" w:rsidRPr="00EF1A9E">
        <w:rPr>
          <w:rStyle w:val="EndnoteRealZchn"/>
        </w:rPr>
      </w:r>
      <w:r w:rsidR="00EF1A9E" w:rsidRPr="00EF1A9E">
        <w:rPr>
          <w:rStyle w:val="EndnoteRealZchn"/>
        </w:rPr>
        <w:fldChar w:fldCharType="separate"/>
      </w:r>
      <w:r w:rsidR="00EF1A9E" w:rsidRPr="00EF1A9E">
        <w:rPr>
          <w:rStyle w:val="EndnoteRealZchn"/>
        </w:rPr>
        <w:t>510</w:t>
      </w:r>
      <w:r w:rsidR="00EF1A9E" w:rsidRPr="00EF1A9E">
        <w:rPr>
          <w:rStyle w:val="EndnoteRealZchn"/>
        </w:rPr>
        <w:fldChar w:fldCharType="end"/>
      </w:r>
      <w:r w:rsidRPr="00207748">
        <w:rPr>
          <w:rStyle w:val="Ohne"/>
          <w:rFonts w:ascii="Cambria" w:hAnsi="Cambria" w:cs="Arial"/>
          <w:sz w:val="20"/>
          <w:szCs w:val="20"/>
        </w:rPr>
        <w:t>. Die US-amerikanische Food and Drug Administration (FDA) hat erklärt, dass „kritisch erkrankte Patienten nicht mit einem Blutzucker-</w:t>
      </w:r>
      <w:r w:rsidR="00483B64">
        <w:rPr>
          <w:rStyle w:val="Ohne"/>
          <w:rFonts w:ascii="Cambria" w:hAnsi="Cambria" w:cs="Arial"/>
          <w:sz w:val="20"/>
          <w:szCs w:val="20"/>
        </w:rPr>
        <w:t xml:space="preserve">point-of-care </w:t>
      </w:r>
      <w:r w:rsidRPr="00207748">
        <w:rPr>
          <w:rStyle w:val="Ohne"/>
          <w:rFonts w:ascii="Cambria" w:hAnsi="Cambria" w:cs="Arial"/>
          <w:sz w:val="20"/>
          <w:szCs w:val="20"/>
        </w:rPr>
        <w:t xml:space="preserve">Messgerät getestet werden sollten, weil die Ergebnisse ungenau sein könnten“, und die Zentren für Medicare- und Medicaid-Leistungen verfügen über Pläne zur Durchsetzung eines Verbots der Off-Label-Verwendung von </w:t>
      </w:r>
      <w:r w:rsidR="00A6092E">
        <w:rPr>
          <w:rStyle w:val="Ohne"/>
          <w:rFonts w:ascii="Cambria" w:hAnsi="Cambria" w:cs="Arial"/>
          <w:sz w:val="20"/>
          <w:szCs w:val="20"/>
        </w:rPr>
        <w:t xml:space="preserve">point-of-care </w:t>
      </w:r>
      <w:r w:rsidRPr="00207748">
        <w:rPr>
          <w:rStyle w:val="Ohne"/>
          <w:rFonts w:ascii="Cambria" w:hAnsi="Cambria" w:cs="Arial"/>
          <w:sz w:val="20"/>
          <w:szCs w:val="20"/>
        </w:rPr>
        <w:t>Blutzucker-</w:t>
      </w:r>
      <w:r w:rsidR="00A6092E">
        <w:rPr>
          <w:rStyle w:val="Ohne"/>
          <w:rFonts w:ascii="Cambria" w:hAnsi="Cambria" w:cs="Arial"/>
          <w:sz w:val="20"/>
          <w:szCs w:val="20"/>
        </w:rPr>
        <w:t>Testgeräten</w:t>
      </w:r>
      <w:r w:rsidRPr="00207748">
        <w:rPr>
          <w:rStyle w:val="Ohne"/>
          <w:rFonts w:ascii="Cambria" w:hAnsi="Cambria" w:cs="Arial"/>
          <w:sz w:val="20"/>
          <w:szCs w:val="20"/>
        </w:rPr>
        <w:t xml:space="preserve"> bei kritisch </w:t>
      </w:r>
      <w:r w:rsidR="00483B64">
        <w:rPr>
          <w:rStyle w:val="Ohne"/>
          <w:rFonts w:ascii="Cambria" w:hAnsi="Cambria" w:cs="Arial"/>
          <w:sz w:val="20"/>
          <w:szCs w:val="20"/>
        </w:rPr>
        <w:t>kranken</w:t>
      </w:r>
      <w:r w:rsidRPr="00207748">
        <w:rPr>
          <w:rStyle w:val="Ohne"/>
          <w:rFonts w:ascii="Cambria" w:hAnsi="Cambria" w:cs="Arial"/>
          <w:sz w:val="20"/>
          <w:szCs w:val="20"/>
        </w:rPr>
        <w:t xml:space="preserve"> Patienten</w:t>
      </w:r>
      <w:r w:rsidR="00EF1A9E">
        <w:rPr>
          <w:rStyle w:val="Ohne"/>
          <w:rFonts w:ascii="Cambria" w:hAnsi="Cambria" w:cs="Arial"/>
          <w:sz w:val="20"/>
          <w:szCs w:val="20"/>
        </w:rPr>
        <w:t>.</w:t>
      </w:r>
      <w:r w:rsidRPr="00207748">
        <w:rPr>
          <w:rStyle w:val="Ohne"/>
          <w:rFonts w:ascii="Cambria" w:eastAsia="Arial" w:hAnsi="Cambria" w:cs="Arial"/>
          <w:sz w:val="20"/>
          <w:szCs w:val="20"/>
          <w:vertAlign w:val="superscript"/>
        </w:rPr>
        <w:endnoteReference w:id="505"/>
      </w:r>
      <w:r w:rsidR="00EF1A9E">
        <w:rPr>
          <w:rStyle w:val="Ohne"/>
          <w:rFonts w:ascii="Cambria" w:hAnsi="Cambria" w:cs="Arial"/>
          <w:sz w:val="20"/>
          <w:szCs w:val="20"/>
        </w:rPr>
        <w:t xml:space="preserve"> </w:t>
      </w:r>
      <w:r w:rsidRPr="00207748">
        <w:rPr>
          <w:rStyle w:val="Ohne"/>
          <w:rFonts w:ascii="Cambria" w:hAnsi="Cambria" w:cs="Arial"/>
          <w:sz w:val="20"/>
          <w:szCs w:val="20"/>
        </w:rPr>
        <w:t xml:space="preserve">Diverse medizinische Experten haben den Bedarf für ein Moratorium zu diesem Plan </w:t>
      </w:r>
      <w:r w:rsidR="00A6092E">
        <w:rPr>
          <w:rStyle w:val="Ohne"/>
          <w:rFonts w:ascii="Cambria" w:hAnsi="Cambria" w:cs="Arial"/>
          <w:sz w:val="20"/>
          <w:szCs w:val="20"/>
        </w:rPr>
        <w:t>gefordert</w:t>
      </w:r>
      <w:r w:rsidRPr="00207748">
        <w:rPr>
          <w:rStyle w:val="Ohne"/>
          <w:rFonts w:ascii="Cambria" w:hAnsi="Cambria" w:cs="Arial"/>
          <w:sz w:val="20"/>
          <w:szCs w:val="20"/>
        </w:rPr>
        <w:t xml:space="preserve">. </w:t>
      </w:r>
    </w:p>
    <w:p w14:paraId="24499332" w14:textId="69B5C076" w:rsidR="00FB33A2" w:rsidRPr="00207748" w:rsidRDefault="00447357" w:rsidP="00FB33A2">
      <w:pPr>
        <w:spacing w:before="240"/>
        <w:rPr>
          <w:rStyle w:val="Ohne"/>
          <w:rFonts w:ascii="Cambria" w:eastAsia="Arial" w:hAnsi="Cambria" w:cs="Arial"/>
          <w:sz w:val="20"/>
          <w:szCs w:val="20"/>
        </w:rPr>
      </w:pPr>
      <w:r w:rsidRPr="00207748">
        <w:rPr>
          <w:rStyle w:val="Ohne"/>
          <w:rFonts w:ascii="Cambria" w:hAnsi="Cambria" w:cs="Arial"/>
          <w:sz w:val="20"/>
          <w:szCs w:val="20"/>
        </w:rPr>
        <w:t xml:space="preserve">Ein Review von 12 veröffentlichten Insulin-Infusionsprotokollen für kritisch erkrankte Patienten demonstrierte eine große Variabilität in Bezug auf die Dosis-Empfehlungen und eine </w:t>
      </w:r>
      <w:r w:rsidR="00A6092E">
        <w:rPr>
          <w:rStyle w:val="Ohne"/>
          <w:rFonts w:ascii="Cambria" w:hAnsi="Cambria" w:cs="Arial"/>
          <w:sz w:val="20"/>
          <w:szCs w:val="20"/>
        </w:rPr>
        <w:t>hohe V</w:t>
      </w:r>
      <w:r w:rsidRPr="00207748">
        <w:rPr>
          <w:rStyle w:val="Ohne"/>
          <w:rFonts w:ascii="Cambria" w:hAnsi="Cambria" w:cs="Arial"/>
          <w:sz w:val="20"/>
          <w:szCs w:val="20"/>
        </w:rPr>
        <w:t>ariab</w:t>
      </w:r>
      <w:r w:rsidR="00A6092E">
        <w:rPr>
          <w:rStyle w:val="Ohne"/>
          <w:rFonts w:ascii="Cambria" w:hAnsi="Cambria" w:cs="Arial"/>
          <w:sz w:val="20"/>
          <w:szCs w:val="20"/>
        </w:rPr>
        <w:t>ilität der</w:t>
      </w:r>
      <w:r w:rsidRPr="00207748">
        <w:rPr>
          <w:rStyle w:val="Ohne"/>
          <w:rFonts w:ascii="Cambria" w:hAnsi="Cambria" w:cs="Arial"/>
          <w:sz w:val="20"/>
          <w:szCs w:val="20"/>
        </w:rPr>
        <w:t xml:space="preserve"> Blutzuckerkontrolle</w:t>
      </w:r>
      <w:r w:rsidRPr="00207748">
        <w:rPr>
          <w:rStyle w:val="Ohne"/>
          <w:rFonts w:ascii="Cambria" w:eastAsia="Arial" w:hAnsi="Cambria" w:cs="Arial"/>
          <w:sz w:val="20"/>
          <w:szCs w:val="20"/>
          <w:vertAlign w:val="superscript"/>
        </w:rPr>
        <w:endnoteReference w:id="506"/>
      </w:r>
      <w:r w:rsidRPr="00207748">
        <w:rPr>
          <w:rStyle w:val="Ohne"/>
          <w:rFonts w:ascii="Cambria" w:hAnsi="Cambria" w:cs="Arial"/>
          <w:sz w:val="20"/>
          <w:szCs w:val="20"/>
        </w:rPr>
        <w:t xml:space="preserve">. Dieser Mangel an Konsens in Bezug auf die optimale Dosierung von intravenösem Insulin könnte die Variabilität bei Patientenfaktoren reflektieren (Schweregrad der Erkrankung, chirurgische vs. </w:t>
      </w:r>
      <w:r w:rsidR="00A6092E">
        <w:rPr>
          <w:rStyle w:val="Ohne"/>
          <w:rFonts w:ascii="Cambria" w:hAnsi="Cambria" w:cs="Arial"/>
          <w:sz w:val="20"/>
          <w:szCs w:val="20"/>
        </w:rPr>
        <w:t>internistische</w:t>
      </w:r>
      <w:r w:rsidRPr="00207748">
        <w:rPr>
          <w:rStyle w:val="Ohne"/>
          <w:rFonts w:ascii="Cambria" w:hAnsi="Cambria" w:cs="Arial"/>
          <w:sz w:val="20"/>
          <w:szCs w:val="20"/>
        </w:rPr>
        <w:t xml:space="preserve"> </w:t>
      </w:r>
      <w:r w:rsidR="00A6092E">
        <w:rPr>
          <w:rStyle w:val="Ohne"/>
          <w:rFonts w:ascii="Cambria" w:hAnsi="Cambria" w:cs="Arial"/>
          <w:sz w:val="20"/>
          <w:szCs w:val="20"/>
        </w:rPr>
        <w:t>Patienten</w:t>
      </w:r>
      <w:r w:rsidRPr="00207748">
        <w:rPr>
          <w:rStyle w:val="Ohne"/>
          <w:rFonts w:ascii="Cambria" w:hAnsi="Cambria" w:cs="Arial"/>
          <w:sz w:val="20"/>
          <w:szCs w:val="20"/>
        </w:rPr>
        <w:t>), oder die Praxismuster (z.B. Ansätze in Bezug auf die Ernährung, intravenöse Dextrose) in de</w:t>
      </w:r>
      <w:r w:rsidR="00A6092E">
        <w:rPr>
          <w:rStyle w:val="Ohne"/>
          <w:rFonts w:ascii="Cambria" w:hAnsi="Cambria" w:cs="Arial"/>
          <w:sz w:val="20"/>
          <w:szCs w:val="20"/>
        </w:rPr>
        <w:t>m</w:t>
      </w:r>
      <w:r w:rsidRPr="00207748">
        <w:rPr>
          <w:rStyle w:val="Ohne"/>
          <w:rFonts w:ascii="Cambria" w:hAnsi="Cambria" w:cs="Arial"/>
          <w:sz w:val="20"/>
          <w:szCs w:val="20"/>
        </w:rPr>
        <w:t xml:space="preserve"> jeweiligen </w:t>
      </w:r>
      <w:r w:rsidR="00A6092E">
        <w:rPr>
          <w:rStyle w:val="Ohne"/>
          <w:rFonts w:ascii="Cambria" w:hAnsi="Cambria" w:cs="Arial"/>
          <w:sz w:val="20"/>
          <w:szCs w:val="20"/>
        </w:rPr>
        <w:t>setting</w:t>
      </w:r>
      <w:r w:rsidRPr="00207748">
        <w:rPr>
          <w:rStyle w:val="Ohne"/>
          <w:rFonts w:ascii="Cambria" w:hAnsi="Cambria" w:cs="Arial"/>
          <w:sz w:val="20"/>
          <w:szCs w:val="20"/>
        </w:rPr>
        <w:t>, in de</w:t>
      </w:r>
      <w:r w:rsidR="00A6092E">
        <w:rPr>
          <w:rStyle w:val="Ohne"/>
          <w:rFonts w:ascii="Cambria" w:hAnsi="Cambria" w:cs="Arial"/>
          <w:sz w:val="20"/>
          <w:szCs w:val="20"/>
        </w:rPr>
        <w:t>m</w:t>
      </w:r>
      <w:r w:rsidRPr="00207748">
        <w:rPr>
          <w:rStyle w:val="Ohne"/>
          <w:rFonts w:ascii="Cambria" w:hAnsi="Cambria" w:cs="Arial"/>
          <w:sz w:val="20"/>
          <w:szCs w:val="20"/>
        </w:rPr>
        <w:t xml:space="preserve"> diese Protokolle entwickelt und getestet wurden. Diverse Studien haben darauf hingewiesen, dass computerbasierte Algorithmen zu einer engmaschigeren glykämischen Kontrolle bei gleichzeitiger Reduzierung des Risikos einer Hypoglykämie führen</w:t>
      </w:r>
      <w:r w:rsidRPr="00207748">
        <w:rPr>
          <w:rStyle w:val="Ohne"/>
          <w:rFonts w:ascii="Cambria" w:eastAsia="Arial" w:hAnsi="Cambria" w:cs="Arial"/>
          <w:sz w:val="20"/>
          <w:szCs w:val="20"/>
          <w:vertAlign w:val="superscript"/>
        </w:rPr>
        <w:endnoteReference w:id="507"/>
      </w:r>
      <w:r w:rsidRPr="00207748">
        <w:rPr>
          <w:rStyle w:val="Ohne"/>
          <w:rFonts w:ascii="Cambria" w:hAnsi="Cambria" w:cs="Arial"/>
          <w:sz w:val="20"/>
          <w:szCs w:val="20"/>
        </w:rPr>
        <w:t xml:space="preserve"> </w:t>
      </w:r>
      <w:r w:rsidRPr="00207748">
        <w:rPr>
          <w:rStyle w:val="Ohne"/>
          <w:rFonts w:ascii="Cambria" w:eastAsia="Arial" w:hAnsi="Cambria" w:cs="Arial"/>
          <w:sz w:val="20"/>
          <w:szCs w:val="20"/>
          <w:vertAlign w:val="superscript"/>
        </w:rPr>
        <w:endnoteReference w:id="508"/>
      </w:r>
      <w:r w:rsidRPr="00207748">
        <w:rPr>
          <w:rStyle w:val="Ohne"/>
          <w:rFonts w:ascii="Cambria" w:hAnsi="Cambria" w:cs="Arial"/>
          <w:sz w:val="20"/>
          <w:szCs w:val="20"/>
        </w:rPr>
        <w:t xml:space="preserve">. Computergestützte Systeme zur Unterstützung der Entscheidungsfindung und vollautomatische </w:t>
      </w:r>
      <w:r w:rsidR="00185864" w:rsidRPr="00185864">
        <w:rPr>
          <w:rStyle w:val="Ohne"/>
          <w:rFonts w:ascii="Cambria" w:hAnsi="Cambria" w:cs="Arial"/>
          <w:sz w:val="20"/>
          <w:szCs w:val="20"/>
        </w:rPr>
        <w:t>Closed-Loop-</w:t>
      </w:r>
      <w:r w:rsidRPr="00207748">
        <w:rPr>
          <w:rStyle w:val="Ohne"/>
          <w:rFonts w:ascii="Cambria" w:hAnsi="Cambria" w:cs="Arial"/>
          <w:sz w:val="20"/>
          <w:szCs w:val="20"/>
        </w:rPr>
        <w:t xml:space="preserve">Systeme zur Blutzuckerkontrolle sind realisierbar, aber noch nicht Bestandteil der Standardbehandlung. Es besteht ein Bedarf an Studien zu validierten, sicheren und wirksamen Protokollen und </w:t>
      </w:r>
      <w:r w:rsidR="00185864" w:rsidRPr="00185864">
        <w:rPr>
          <w:rStyle w:val="Ohne"/>
          <w:rFonts w:ascii="Cambria" w:hAnsi="Cambria" w:cs="Arial"/>
          <w:sz w:val="20"/>
          <w:szCs w:val="20"/>
        </w:rPr>
        <w:t>Closed-Loop-</w:t>
      </w:r>
      <w:r w:rsidRPr="00207748">
        <w:rPr>
          <w:rStyle w:val="Ohne"/>
          <w:rFonts w:ascii="Cambria" w:hAnsi="Cambria" w:cs="Arial"/>
          <w:sz w:val="20"/>
          <w:szCs w:val="20"/>
        </w:rPr>
        <w:t>Systemen zur Kontrolle des Blutzuckerspiegels unter Berücksichtigung der Variabilität innerhalb der Sepsis-Population.</w:t>
      </w:r>
      <w:bookmarkStart w:id="456" w:name="_Toc25845124"/>
    </w:p>
    <w:p w14:paraId="1E9318AC" w14:textId="77777777" w:rsidR="00E11869" w:rsidRPr="00182D07" w:rsidRDefault="00447357" w:rsidP="004454B6">
      <w:pPr>
        <w:pStyle w:val="berschrift2"/>
        <w:rPr>
          <w:b w:val="0"/>
        </w:rPr>
      </w:pPr>
      <w:bookmarkStart w:id="457" w:name="_Toc437861471"/>
      <w:bookmarkStart w:id="458" w:name="_Toc31278509"/>
      <w:r w:rsidRPr="00182D07">
        <w:rPr>
          <w:rStyle w:val="Ohne"/>
        </w:rPr>
        <w:t>P. Nierenersatztherapie</w:t>
      </w:r>
      <w:bookmarkEnd w:id="456"/>
      <w:bookmarkEnd w:id="457"/>
      <w:bookmarkEnd w:id="458"/>
    </w:p>
    <w:p w14:paraId="0C265388" w14:textId="77777777" w:rsidR="00E11869" w:rsidRPr="00207748" w:rsidRDefault="00E11869" w:rsidP="00FB33A2">
      <w:pPr>
        <w:pStyle w:val="KeinLeerraum"/>
        <w:rPr>
          <w:rStyle w:val="Ohne"/>
        </w:rPr>
      </w:pP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02"/>
        <w:gridCol w:w="850"/>
      </w:tblGrid>
      <w:tr w:rsidR="00E11869" w:rsidRPr="00207748" w14:paraId="4CD5F7D8"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355F421A" w14:textId="77777777" w:rsidR="00E11869" w:rsidRPr="00207748" w:rsidRDefault="00447357" w:rsidP="004454B6">
            <w:pPr>
              <w:rPr>
                <w:rStyle w:val="Ohne"/>
                <w:rFonts w:ascii="Cambria" w:hAnsi="Cambria"/>
                <w:b/>
                <w:bCs/>
                <w:sz w:val="20"/>
                <w:szCs w:val="20"/>
              </w:rPr>
            </w:pPr>
            <w:r w:rsidRPr="00207748">
              <w:rPr>
                <w:rStyle w:val="Ohne"/>
                <w:rFonts w:ascii="Cambria" w:hAnsi="Cambria" w:cs="Arial"/>
                <w:b/>
                <w:bCs/>
                <w:sz w:val="20"/>
                <w:szCs w:val="20"/>
              </w:rPr>
              <w:t>P.1</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2277B40B"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542C03E"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56672395" w14:textId="77777777" w:rsidTr="00334AF5">
        <w:trPr>
          <w:trHeight w:val="1811"/>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1F3D5"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lastRenderedPageBreak/>
              <w:t>Empfehlungsgrad</w:t>
            </w:r>
          </w:p>
          <w:p w14:paraId="45440E77" w14:textId="77777777" w:rsidR="00E11869" w:rsidRPr="00207748" w:rsidRDefault="00E11869" w:rsidP="004454B6">
            <w:pPr>
              <w:spacing w:after="0"/>
              <w:rPr>
                <w:rStyle w:val="Ohne"/>
                <w:rFonts w:ascii="Cambria" w:eastAsia="Arial" w:hAnsi="Cambria" w:cs="Arial"/>
                <w:sz w:val="20"/>
                <w:szCs w:val="20"/>
              </w:rPr>
            </w:pPr>
          </w:p>
          <w:p w14:paraId="5EEBCE22" w14:textId="77777777" w:rsidR="00E11869" w:rsidRPr="00207748" w:rsidRDefault="00447357" w:rsidP="004454B6">
            <w:pPr>
              <w:spacing w:after="0"/>
              <w:rPr>
                <w:rStyle w:val="Ohne"/>
                <w:rFonts w:ascii="Cambria" w:eastAsia="Arial" w:hAnsi="Cambria" w:cs="Arial"/>
                <w:b/>
                <w:bCs/>
                <w:sz w:val="20"/>
                <w:szCs w:val="20"/>
              </w:rPr>
            </w:pPr>
            <w:r w:rsidRPr="00207748">
              <w:rPr>
                <w:rStyle w:val="Ohne"/>
                <w:rFonts w:ascii="Cambria" w:hAnsi="Cambria" w:cs="Arial"/>
                <w:b/>
                <w:bCs/>
                <w:sz w:val="20"/>
                <w:szCs w:val="20"/>
              </w:rPr>
              <w:t>schwach</w:t>
            </w:r>
          </w:p>
          <w:p w14:paraId="174FE591" w14:textId="77777777" w:rsidR="00E11869" w:rsidRPr="00207748" w:rsidRDefault="00E11869" w:rsidP="004454B6">
            <w:pPr>
              <w:spacing w:after="0"/>
              <w:rPr>
                <w:rStyle w:val="Ohne"/>
                <w:rFonts w:ascii="Cambria" w:eastAsia="Arial" w:hAnsi="Cambria" w:cs="Arial"/>
                <w:sz w:val="20"/>
                <w:szCs w:val="20"/>
              </w:rPr>
            </w:pPr>
          </w:p>
          <w:p w14:paraId="6F269EC6"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Evidenzgrad</w:t>
            </w:r>
          </w:p>
          <w:p w14:paraId="37A60D7D" w14:textId="77777777" w:rsidR="00E11869" w:rsidRPr="00207748" w:rsidRDefault="00E11869" w:rsidP="004454B6">
            <w:pPr>
              <w:spacing w:after="0"/>
              <w:rPr>
                <w:rStyle w:val="Ohne"/>
                <w:rFonts w:ascii="Cambria" w:eastAsia="Arial" w:hAnsi="Cambria" w:cs="Arial"/>
                <w:sz w:val="20"/>
                <w:szCs w:val="20"/>
              </w:rPr>
            </w:pPr>
          </w:p>
          <w:p w14:paraId="78603C1D"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moderat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F1E39"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 xml:space="preserve">Wir schlagen vor, dass bei Patienten mit Sepsis und akutem Nierenversagen entweder kontinuierliche oder intermittierende Nierenersatztherapien angewendet werden. </w:t>
            </w:r>
          </w:p>
        </w:tc>
      </w:tr>
      <w:tr w:rsidR="00E11869" w:rsidRPr="00207748" w14:paraId="06D026E6" w14:textId="77777777" w:rsidTr="00342FB3">
        <w:trPr>
          <w:trHeight w:val="28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4DCCF1C8"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459A7"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SSC</w:t>
            </w:r>
            <w:r w:rsidR="00420A45" w:rsidRPr="00207748">
              <w:rPr>
                <w:rStyle w:val="Ohne"/>
                <w:rFonts w:ascii="Cambria" w:hAnsi="Cambria" w:cs="Arial"/>
                <w:b/>
                <w:bCs/>
                <w:sz w:val="20"/>
                <w:szCs w:val="20"/>
              </w:rPr>
              <w:t>-</w:t>
            </w:r>
            <w:r w:rsidRPr="00207748">
              <w:rPr>
                <w:rStyle w:val="Ohne"/>
                <w:rFonts w:ascii="Cambria" w:hAnsi="Cambria" w:cs="Arial"/>
                <w:b/>
                <w:bCs/>
                <w:sz w:val="20"/>
                <w:szCs w:val="20"/>
              </w:rPr>
              <w:t>Leitlinien</w:t>
            </w:r>
            <w:r w:rsidR="00E873A9" w:rsidRPr="00207748">
              <w:rPr>
                <w:rStyle w:val="Ohne"/>
                <w:rFonts w:ascii="Cambria" w:hAnsi="Cambria" w:cs="Arial"/>
                <w:b/>
                <w:bCs/>
                <w:sz w:val="20"/>
                <w:szCs w:val="20"/>
              </w:rPr>
              <w:t>adaptation</w:t>
            </w:r>
          </w:p>
        </w:tc>
      </w:tr>
      <w:tr w:rsidR="00E11869" w:rsidRPr="00207748" w14:paraId="5110BFC0"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1071D"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AE143"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 xml:space="preserve">Konsensstärke: 100 % </w:t>
            </w:r>
          </w:p>
        </w:tc>
      </w:tr>
    </w:tbl>
    <w:p w14:paraId="0A98FE9F" w14:textId="7DC91319" w:rsidR="00E11869" w:rsidRPr="00207748" w:rsidRDefault="00420A45" w:rsidP="004454B6">
      <w:pPr>
        <w:spacing w:before="240"/>
        <w:rPr>
          <w:rStyle w:val="Ohne"/>
          <w:rFonts w:ascii="Cambria" w:eastAsia="Arial" w:hAnsi="Cambria" w:cs="Arial"/>
          <w:iCs/>
          <w:sz w:val="20"/>
          <w:szCs w:val="20"/>
        </w:rPr>
      </w:pPr>
      <w:r w:rsidRPr="00207748">
        <w:rPr>
          <w:rStyle w:val="Ohne"/>
          <w:rFonts w:ascii="Cambria" w:hAnsi="Cambria" w:cs="Arial"/>
          <w:b/>
          <w:bCs/>
          <w:spacing w:val="-4"/>
          <w:sz w:val="20"/>
          <w:szCs w:val="20"/>
        </w:rPr>
        <w:t>Begründung</w:t>
      </w:r>
      <w:r w:rsidR="00447357" w:rsidRPr="00207748">
        <w:rPr>
          <w:rStyle w:val="Ohne"/>
          <w:rFonts w:ascii="Cambria" w:hAnsi="Cambria" w:cs="Arial"/>
          <w:b/>
          <w:bCs/>
          <w:spacing w:val="-4"/>
          <w:sz w:val="20"/>
          <w:szCs w:val="20"/>
        </w:rPr>
        <w:t xml:space="preserve">: </w:t>
      </w:r>
      <w:r w:rsidR="00447357" w:rsidRPr="00207748">
        <w:rPr>
          <w:rStyle w:val="Ohne"/>
          <w:rFonts w:ascii="Cambria" w:hAnsi="Cambria" w:cs="Arial"/>
          <w:bCs/>
          <w:spacing w:val="-4"/>
          <w:sz w:val="20"/>
          <w:szCs w:val="20"/>
        </w:rPr>
        <w:t>Z</w:t>
      </w:r>
      <w:r w:rsidR="00447357" w:rsidRPr="00207748">
        <w:rPr>
          <w:rStyle w:val="Ohne"/>
          <w:rFonts w:ascii="Cambria" w:hAnsi="Cambria" w:cs="Arial"/>
          <w:spacing w:val="-4"/>
          <w:sz w:val="20"/>
          <w:szCs w:val="20"/>
        </w:rPr>
        <w:t xml:space="preserve">ahlreiche nicht-randomisierte Studien </w:t>
      </w:r>
      <w:r w:rsidR="00185864">
        <w:rPr>
          <w:rStyle w:val="Ohne"/>
          <w:rFonts w:ascii="Cambria" w:hAnsi="Cambria" w:cs="Arial"/>
          <w:spacing w:val="-4"/>
          <w:sz w:val="20"/>
          <w:szCs w:val="20"/>
        </w:rPr>
        <w:t>zeigen</w:t>
      </w:r>
      <w:r w:rsidR="00447357" w:rsidRPr="00207748">
        <w:rPr>
          <w:rStyle w:val="Ohne"/>
          <w:rFonts w:ascii="Cambria" w:hAnsi="Cambria" w:cs="Arial"/>
          <w:spacing w:val="-4"/>
          <w:sz w:val="20"/>
          <w:szCs w:val="20"/>
        </w:rPr>
        <w:t xml:space="preserve"> eine nicht-signifikante Tendenz in Richtung einer Verbesserung der Überlebensrate unter Nutzung kontinuierlicher Methoden</w:t>
      </w:r>
      <w:r w:rsidR="00185864">
        <w:rPr>
          <w:rStyle w:val="Ohne"/>
          <w:rFonts w:ascii="Cambria" w:hAnsi="Cambria" w:cs="Arial"/>
          <w:spacing w:val="-4"/>
          <w:sz w:val="20"/>
          <w:szCs w:val="20"/>
        </w:rPr>
        <w:t xml:space="preserve"> auf</w:t>
      </w:r>
      <w:r w:rsidR="00AA180D" w:rsidRPr="00207748">
        <w:rPr>
          <w:rStyle w:val="Ohne"/>
          <w:rFonts w:ascii="Cambria" w:hAnsi="Cambria" w:cs="Arial"/>
          <w:spacing w:val="-4"/>
          <w:sz w:val="20"/>
          <w:szCs w:val="20"/>
        </w:rPr>
        <w:t>.</w:t>
      </w:r>
      <w:r w:rsidR="00447357" w:rsidRPr="00207748">
        <w:rPr>
          <w:rStyle w:val="Ohne"/>
          <w:rFonts w:ascii="Cambria" w:hAnsi="Cambria" w:cs="Arial"/>
          <w:spacing w:val="-4"/>
          <w:sz w:val="20"/>
          <w:szCs w:val="20"/>
        </w:rPr>
        <w:t xml:space="preserve"> </w:t>
      </w:r>
      <w:r w:rsidR="00447357" w:rsidRPr="00207748">
        <w:rPr>
          <w:rStyle w:val="Ohne"/>
          <w:rFonts w:ascii="Cambria" w:eastAsia="Arial" w:hAnsi="Cambria" w:cs="Arial"/>
          <w:spacing w:val="-4"/>
          <w:sz w:val="20"/>
          <w:szCs w:val="20"/>
          <w:vertAlign w:val="superscript"/>
        </w:rPr>
        <w:endnoteReference w:id="509"/>
      </w:r>
      <w:r w:rsidR="00447357" w:rsidRPr="00207748">
        <w:rPr>
          <w:rStyle w:val="Ohne"/>
          <w:rFonts w:ascii="Cambria" w:hAnsi="Cambria" w:cs="Arial"/>
          <w:spacing w:val="-4"/>
          <w:sz w:val="20"/>
          <w:szCs w:val="20"/>
        </w:rPr>
        <w:t xml:space="preserve"> </w:t>
      </w:r>
      <w:r w:rsidR="00447357" w:rsidRPr="00207748">
        <w:rPr>
          <w:rStyle w:val="Ohne"/>
          <w:rFonts w:ascii="Cambria" w:eastAsia="Arial" w:hAnsi="Cambria" w:cs="Arial"/>
          <w:spacing w:val="-4"/>
          <w:sz w:val="20"/>
          <w:szCs w:val="20"/>
          <w:vertAlign w:val="superscript"/>
        </w:rPr>
        <w:endnoteReference w:id="510"/>
      </w:r>
      <w:r w:rsidR="00447357" w:rsidRPr="00207748">
        <w:rPr>
          <w:rStyle w:val="Ohne"/>
          <w:rFonts w:ascii="Cambria" w:hAnsi="Cambria" w:cs="Arial"/>
          <w:spacing w:val="-4"/>
          <w:sz w:val="20"/>
          <w:szCs w:val="20"/>
        </w:rPr>
        <w:t xml:space="preserve"> </w:t>
      </w:r>
      <w:r w:rsidR="00447357" w:rsidRPr="00207748">
        <w:rPr>
          <w:rStyle w:val="Ohne"/>
          <w:rFonts w:ascii="Cambria" w:eastAsia="Arial" w:hAnsi="Cambria" w:cs="Arial"/>
          <w:spacing w:val="-4"/>
          <w:sz w:val="20"/>
          <w:szCs w:val="20"/>
          <w:vertAlign w:val="superscript"/>
        </w:rPr>
        <w:endnoteReference w:id="511"/>
      </w:r>
      <w:r w:rsidR="00447357" w:rsidRPr="00207748">
        <w:rPr>
          <w:rStyle w:val="Ohne"/>
          <w:rFonts w:ascii="Cambria" w:hAnsi="Cambria" w:cs="Arial"/>
          <w:spacing w:val="-4"/>
          <w:sz w:val="20"/>
          <w:szCs w:val="20"/>
        </w:rPr>
        <w:t xml:space="preserve"> </w:t>
      </w:r>
      <w:r w:rsidR="00447357" w:rsidRPr="00207748">
        <w:rPr>
          <w:rStyle w:val="Ohne"/>
          <w:rFonts w:ascii="Cambria" w:eastAsia="Arial" w:hAnsi="Cambria" w:cs="Arial"/>
          <w:spacing w:val="-4"/>
          <w:sz w:val="20"/>
          <w:szCs w:val="20"/>
          <w:vertAlign w:val="superscript"/>
        </w:rPr>
        <w:endnoteReference w:id="512"/>
      </w:r>
      <w:r w:rsidR="00447357" w:rsidRPr="00207748">
        <w:rPr>
          <w:rStyle w:val="Ohne"/>
          <w:rFonts w:ascii="Cambria" w:hAnsi="Cambria" w:cs="Arial"/>
          <w:spacing w:val="-4"/>
          <w:sz w:val="20"/>
          <w:szCs w:val="20"/>
        </w:rPr>
        <w:t xml:space="preserve"> </w:t>
      </w:r>
      <w:r w:rsidR="00447357" w:rsidRPr="00207748">
        <w:rPr>
          <w:rStyle w:val="Ohne"/>
          <w:rFonts w:ascii="Cambria" w:eastAsia="Arial" w:hAnsi="Cambria" w:cs="Arial"/>
          <w:spacing w:val="-4"/>
          <w:sz w:val="20"/>
          <w:szCs w:val="20"/>
          <w:vertAlign w:val="superscript"/>
        </w:rPr>
        <w:endnoteReference w:id="513"/>
      </w:r>
      <w:r w:rsidR="00447357" w:rsidRPr="00207748">
        <w:rPr>
          <w:rStyle w:val="Ohne"/>
          <w:rFonts w:ascii="Cambria" w:hAnsi="Cambria" w:cs="Arial"/>
          <w:spacing w:val="-4"/>
          <w:sz w:val="20"/>
          <w:szCs w:val="20"/>
        </w:rPr>
        <w:t xml:space="preserve"> </w:t>
      </w:r>
      <w:r w:rsidR="00447357" w:rsidRPr="00207748">
        <w:rPr>
          <w:rStyle w:val="Ohne"/>
          <w:rFonts w:ascii="Cambria" w:eastAsia="Arial" w:hAnsi="Cambria" w:cs="Arial"/>
          <w:spacing w:val="-4"/>
          <w:sz w:val="20"/>
          <w:szCs w:val="20"/>
          <w:vertAlign w:val="superscript"/>
        </w:rPr>
        <w:endnoteReference w:id="514"/>
      </w:r>
      <w:r w:rsidR="00447357" w:rsidRPr="00207748">
        <w:rPr>
          <w:rStyle w:val="Ohne"/>
          <w:rFonts w:ascii="Cambria" w:hAnsi="Cambria" w:cs="Arial"/>
          <w:spacing w:val="-4"/>
          <w:sz w:val="20"/>
          <w:szCs w:val="20"/>
        </w:rPr>
        <w:t xml:space="preserve"> </w:t>
      </w:r>
      <w:r w:rsidR="00447357" w:rsidRPr="00207748">
        <w:rPr>
          <w:rStyle w:val="Ohne"/>
          <w:rFonts w:ascii="Cambria" w:eastAsia="Arial" w:hAnsi="Cambria" w:cs="Arial"/>
          <w:spacing w:val="-4"/>
          <w:sz w:val="20"/>
          <w:szCs w:val="20"/>
          <w:vertAlign w:val="superscript"/>
        </w:rPr>
        <w:endnoteReference w:id="515"/>
      </w:r>
      <w:r w:rsidR="00447357" w:rsidRPr="00207748">
        <w:rPr>
          <w:rStyle w:val="Ohne"/>
          <w:rFonts w:ascii="Cambria" w:hAnsi="Cambria" w:cs="Arial"/>
          <w:spacing w:val="-4"/>
          <w:sz w:val="20"/>
          <w:szCs w:val="20"/>
        </w:rPr>
        <w:t xml:space="preserve"> Hingegen konnten zwei Meta-</w:t>
      </w:r>
      <w:r w:rsidR="00447357" w:rsidRPr="00207748">
        <w:rPr>
          <w:rStyle w:val="Ohne"/>
          <w:rFonts w:ascii="Cambria" w:hAnsi="Cambria" w:cs="Arial"/>
          <w:sz w:val="20"/>
          <w:szCs w:val="20"/>
        </w:rPr>
        <w:t xml:space="preserve"> </w:t>
      </w:r>
      <w:r w:rsidR="00447357" w:rsidRPr="00207748">
        <w:rPr>
          <w:rStyle w:val="Ohne"/>
          <w:rFonts w:ascii="Cambria" w:hAnsi="Cambria" w:cs="Arial"/>
          <w:spacing w:val="-4"/>
          <w:sz w:val="20"/>
          <w:szCs w:val="20"/>
        </w:rPr>
        <w:t>Analysen</w:t>
      </w:r>
      <w:r w:rsidR="00447357" w:rsidRPr="00207748">
        <w:rPr>
          <w:rStyle w:val="Ohne"/>
          <w:rFonts w:ascii="Cambria" w:hAnsi="Cambria" w:cs="Arial"/>
          <w:spacing w:val="-4"/>
          <w:sz w:val="20"/>
          <w:szCs w:val="20"/>
          <w:vertAlign w:val="superscript"/>
        </w:rPr>
        <w:t xml:space="preserve"> </w:t>
      </w:r>
      <w:r w:rsidR="00447357" w:rsidRPr="00207748">
        <w:rPr>
          <w:rStyle w:val="Ohne"/>
          <w:rFonts w:ascii="Cambria" w:eastAsia="Arial" w:hAnsi="Cambria" w:cs="Arial"/>
          <w:spacing w:val="-4"/>
          <w:sz w:val="20"/>
          <w:szCs w:val="20"/>
          <w:vertAlign w:val="superscript"/>
        </w:rPr>
        <w:endnoteReference w:id="516"/>
      </w:r>
      <w:r w:rsidR="00447357" w:rsidRPr="00207748">
        <w:rPr>
          <w:rStyle w:val="Ohne"/>
          <w:rFonts w:ascii="Cambria" w:hAnsi="Cambria" w:cs="Arial"/>
          <w:spacing w:val="-4"/>
          <w:sz w:val="20"/>
          <w:szCs w:val="20"/>
        </w:rPr>
        <w:t xml:space="preserve"> </w:t>
      </w:r>
      <w:bookmarkStart w:id="459" w:name="_Ref30604204"/>
      <w:r w:rsidR="00447357" w:rsidRPr="00207748">
        <w:rPr>
          <w:rStyle w:val="Ohne"/>
          <w:rFonts w:ascii="Cambria" w:eastAsia="Arial" w:hAnsi="Cambria" w:cs="Arial"/>
          <w:spacing w:val="-4"/>
          <w:sz w:val="20"/>
          <w:szCs w:val="20"/>
          <w:vertAlign w:val="superscript"/>
        </w:rPr>
        <w:endnoteReference w:id="517"/>
      </w:r>
      <w:bookmarkEnd w:id="459"/>
      <w:r w:rsidR="00447357" w:rsidRPr="00207748">
        <w:rPr>
          <w:rStyle w:val="Ohne"/>
          <w:rFonts w:ascii="Cambria" w:hAnsi="Cambria" w:cs="Arial"/>
          <w:spacing w:val="-4"/>
          <w:sz w:val="20"/>
          <w:szCs w:val="20"/>
        </w:rPr>
        <w:t xml:space="preserve"> in Bezug auf die Krankenhaus-Mortalität keine signifikante Differenz zwischen dem Outcome unter kontinuierlicher Nierenersatztherapie und intermittierender Nierenersatztherapie zeigen. Diese Abwesenheit eines offensichtlichen Vorteils einer Methode gegenüber der anderen ist auch festzustellen, wenn die Analyse auf RCTs begrenzt wird</w:t>
      </w:r>
      <w:r w:rsidR="00E15D93">
        <w:rPr>
          <w:rStyle w:val="Ohne"/>
          <w:rFonts w:ascii="Cambria" w:hAnsi="Cambria" w:cs="Arial"/>
          <w:spacing w:val="-4"/>
          <w:sz w:val="20"/>
          <w:szCs w:val="20"/>
        </w:rPr>
        <w:t>.</w:t>
      </w:r>
      <w:r w:rsidR="006B2B71">
        <w:rPr>
          <w:rStyle w:val="Ohne"/>
          <w:rFonts w:ascii="Cambria" w:hAnsi="Cambria" w:cs="Arial"/>
          <w:spacing w:val="-4"/>
          <w:sz w:val="20"/>
          <w:szCs w:val="20"/>
        </w:rPr>
        <w:t xml:space="preserve"> </w:t>
      </w:r>
      <w:r w:rsidR="006B2B71" w:rsidRPr="006B2B71">
        <w:rPr>
          <w:rStyle w:val="EndnoteRealZchn"/>
        </w:rPr>
        <w:fldChar w:fldCharType="begin"/>
      </w:r>
      <w:r w:rsidR="006B2B71" w:rsidRPr="006B2B71">
        <w:rPr>
          <w:rStyle w:val="EndnoteRealZchn"/>
        </w:rPr>
        <w:instrText xml:space="preserve"> NOTEREF _Ref30604204 \h </w:instrText>
      </w:r>
      <w:r w:rsidR="006B2B71">
        <w:rPr>
          <w:rStyle w:val="EndnoteRealZchn"/>
        </w:rPr>
        <w:instrText xml:space="preserve"> \* MERGEFORMAT </w:instrText>
      </w:r>
      <w:r w:rsidR="006B2B71" w:rsidRPr="006B2B71">
        <w:rPr>
          <w:rStyle w:val="EndnoteRealZchn"/>
        </w:rPr>
      </w:r>
      <w:r w:rsidR="006B2B71" w:rsidRPr="006B2B71">
        <w:rPr>
          <w:rStyle w:val="EndnoteRealZchn"/>
        </w:rPr>
        <w:fldChar w:fldCharType="separate"/>
      </w:r>
      <w:r w:rsidR="001A283B">
        <w:rPr>
          <w:rStyle w:val="EndnoteRealZchn"/>
        </w:rPr>
        <w:t>573</w:t>
      </w:r>
      <w:r w:rsidR="006B2B71" w:rsidRPr="006B2B71">
        <w:rPr>
          <w:rStyle w:val="EndnoteRealZchn"/>
        </w:rPr>
        <w:fldChar w:fldCharType="end"/>
      </w:r>
      <w:r w:rsidR="00447357" w:rsidRPr="00207748">
        <w:rPr>
          <w:rStyle w:val="Ohne"/>
          <w:rFonts w:ascii="Cambria" w:hAnsi="Cambria" w:cs="Arial"/>
          <w:spacing w:val="-4"/>
          <w:sz w:val="20"/>
          <w:szCs w:val="20"/>
        </w:rPr>
        <w:t xml:space="preserve"> Vier von fünf prospektiven RCTs </w:t>
      </w:r>
      <w:bookmarkStart w:id="460" w:name="_Ref30604362"/>
      <w:r w:rsidR="00447357" w:rsidRPr="00207748">
        <w:rPr>
          <w:rStyle w:val="Ohne"/>
          <w:rFonts w:ascii="Cambria" w:eastAsia="Arial" w:hAnsi="Cambria" w:cs="Arial"/>
          <w:spacing w:val="-4"/>
          <w:sz w:val="20"/>
          <w:szCs w:val="20"/>
          <w:vertAlign w:val="superscript"/>
        </w:rPr>
        <w:endnoteReference w:id="518"/>
      </w:r>
      <w:bookmarkEnd w:id="460"/>
      <w:r w:rsidR="00447357" w:rsidRPr="00207748">
        <w:rPr>
          <w:rStyle w:val="Ohne"/>
          <w:rFonts w:ascii="Cambria" w:hAnsi="Cambria" w:cs="Arial"/>
          <w:spacing w:val="-4"/>
          <w:sz w:val="20"/>
          <w:szCs w:val="20"/>
        </w:rPr>
        <w:t xml:space="preserve"> </w:t>
      </w:r>
      <w:bookmarkStart w:id="461" w:name="_Ref30604500"/>
      <w:r w:rsidR="00447357" w:rsidRPr="00207748">
        <w:rPr>
          <w:rStyle w:val="Ohne"/>
          <w:rFonts w:ascii="Cambria" w:eastAsia="Arial" w:hAnsi="Cambria" w:cs="Arial"/>
          <w:spacing w:val="-4"/>
          <w:sz w:val="20"/>
          <w:szCs w:val="20"/>
          <w:vertAlign w:val="superscript"/>
        </w:rPr>
        <w:endnoteReference w:id="519"/>
      </w:r>
      <w:bookmarkEnd w:id="461"/>
      <w:r w:rsidR="00447357" w:rsidRPr="00207748">
        <w:rPr>
          <w:rStyle w:val="Ohne"/>
          <w:rFonts w:ascii="Cambria" w:hAnsi="Cambria" w:cs="Arial"/>
          <w:spacing w:val="-4"/>
          <w:sz w:val="20"/>
          <w:szCs w:val="20"/>
        </w:rPr>
        <w:t xml:space="preserve"> </w:t>
      </w:r>
      <w:bookmarkStart w:id="462" w:name="_Ref30604920"/>
      <w:r w:rsidR="00447357" w:rsidRPr="00207748">
        <w:rPr>
          <w:rStyle w:val="Ohne"/>
          <w:rFonts w:ascii="Cambria" w:eastAsia="Arial" w:hAnsi="Cambria" w:cs="Arial"/>
          <w:spacing w:val="-4"/>
          <w:sz w:val="20"/>
          <w:szCs w:val="20"/>
          <w:vertAlign w:val="superscript"/>
        </w:rPr>
        <w:endnoteReference w:id="520"/>
      </w:r>
      <w:bookmarkEnd w:id="462"/>
      <w:r w:rsidR="00447357" w:rsidRPr="00207748">
        <w:rPr>
          <w:rStyle w:val="Ohne"/>
          <w:rFonts w:ascii="Cambria" w:hAnsi="Cambria" w:cs="Arial"/>
          <w:spacing w:val="-4"/>
          <w:sz w:val="20"/>
          <w:szCs w:val="20"/>
        </w:rPr>
        <w:t xml:space="preserve"> </w:t>
      </w:r>
      <w:bookmarkStart w:id="463" w:name="_Ref30604685"/>
      <w:r w:rsidR="00447357" w:rsidRPr="00207748">
        <w:rPr>
          <w:rStyle w:val="Ohne"/>
          <w:rFonts w:ascii="Cambria" w:eastAsia="Arial" w:hAnsi="Cambria" w:cs="Arial"/>
          <w:spacing w:val="-4"/>
          <w:sz w:val="20"/>
          <w:szCs w:val="20"/>
          <w:vertAlign w:val="superscript"/>
        </w:rPr>
        <w:endnoteReference w:id="521"/>
      </w:r>
      <w:bookmarkEnd w:id="463"/>
      <w:r w:rsidR="00447357" w:rsidRPr="00207748">
        <w:rPr>
          <w:rStyle w:val="Ohne"/>
          <w:rFonts w:ascii="Cambria" w:hAnsi="Cambria" w:cs="Arial"/>
          <w:spacing w:val="-4"/>
          <w:sz w:val="20"/>
          <w:szCs w:val="20"/>
        </w:rPr>
        <w:t xml:space="preserve"> </w:t>
      </w:r>
      <w:bookmarkStart w:id="464" w:name="_Ref30604581"/>
      <w:r w:rsidR="00447357" w:rsidRPr="00207748">
        <w:rPr>
          <w:rStyle w:val="Ohne"/>
          <w:rFonts w:ascii="Cambria" w:eastAsia="Arial" w:hAnsi="Cambria" w:cs="Arial"/>
          <w:spacing w:val="-4"/>
          <w:sz w:val="20"/>
          <w:szCs w:val="20"/>
          <w:vertAlign w:val="superscript"/>
        </w:rPr>
        <w:endnoteReference w:id="522"/>
      </w:r>
      <w:bookmarkEnd w:id="464"/>
      <w:r w:rsidR="00447357" w:rsidRPr="00207748">
        <w:rPr>
          <w:rStyle w:val="Ohne"/>
          <w:rFonts w:ascii="Cambria" w:hAnsi="Cambria" w:cs="Arial"/>
          <w:spacing w:val="-4"/>
          <w:sz w:val="20"/>
          <w:szCs w:val="20"/>
        </w:rPr>
        <w:t xml:space="preserve"> stellten keinen signifikanten Unterschied in Bezug auf die Mortalität fest</w:t>
      </w:r>
      <w:r w:rsidR="00E15D93">
        <w:rPr>
          <w:rStyle w:val="Ohne"/>
          <w:rFonts w:ascii="Cambria" w:hAnsi="Cambria" w:cs="Arial"/>
          <w:spacing w:val="-4"/>
          <w:sz w:val="20"/>
          <w:szCs w:val="20"/>
        </w:rPr>
        <w:t>.</w:t>
      </w:r>
      <w:r w:rsidR="006B2B71">
        <w:rPr>
          <w:rStyle w:val="Ohne"/>
          <w:rFonts w:ascii="Cambria" w:eastAsia="Arial" w:hAnsi="Cambria" w:cs="Arial"/>
          <w:spacing w:val="-4"/>
          <w:sz w:val="20"/>
          <w:szCs w:val="20"/>
          <w:vertAlign w:val="superscript"/>
        </w:rPr>
        <w:fldChar w:fldCharType="begin"/>
      </w:r>
      <w:r w:rsidR="006B2B71">
        <w:rPr>
          <w:rStyle w:val="Ohne"/>
          <w:rFonts w:ascii="Cambria" w:eastAsia="Arial" w:hAnsi="Cambria" w:cs="Arial"/>
          <w:spacing w:val="-4"/>
          <w:sz w:val="20"/>
          <w:szCs w:val="20"/>
          <w:vertAlign w:val="superscript"/>
        </w:rPr>
        <w:instrText xml:space="preserve"> NOTEREF _Ref30604362 \h </w:instrText>
      </w:r>
      <w:r w:rsidR="006B2B71">
        <w:rPr>
          <w:rStyle w:val="Ohne"/>
          <w:rFonts w:ascii="Cambria" w:eastAsia="Arial" w:hAnsi="Cambria" w:cs="Arial"/>
          <w:spacing w:val="-4"/>
          <w:sz w:val="20"/>
          <w:szCs w:val="20"/>
          <w:vertAlign w:val="superscript"/>
        </w:rPr>
      </w:r>
      <w:r w:rsidR="006B2B71">
        <w:rPr>
          <w:rStyle w:val="Ohne"/>
          <w:rFonts w:ascii="Cambria" w:eastAsia="Arial" w:hAnsi="Cambria" w:cs="Arial"/>
          <w:spacing w:val="-4"/>
          <w:sz w:val="20"/>
          <w:szCs w:val="20"/>
          <w:vertAlign w:val="superscript"/>
        </w:rPr>
        <w:fldChar w:fldCharType="separate"/>
      </w:r>
      <w:r w:rsidR="001A283B">
        <w:rPr>
          <w:rStyle w:val="Ohne"/>
          <w:rFonts w:ascii="Cambria" w:eastAsia="Arial" w:hAnsi="Cambria" w:cs="Arial"/>
          <w:spacing w:val="-4"/>
          <w:sz w:val="20"/>
          <w:szCs w:val="20"/>
          <w:vertAlign w:val="superscript"/>
        </w:rPr>
        <w:t>574</w:t>
      </w:r>
      <w:r w:rsidR="006B2B71">
        <w:rPr>
          <w:rStyle w:val="Ohne"/>
          <w:rFonts w:ascii="Cambria" w:eastAsia="Arial" w:hAnsi="Cambria" w:cs="Arial"/>
          <w:spacing w:val="-4"/>
          <w:sz w:val="20"/>
          <w:szCs w:val="20"/>
          <w:vertAlign w:val="superscript"/>
        </w:rPr>
        <w:fldChar w:fldCharType="end"/>
      </w:r>
      <w:r w:rsidR="006B2B71">
        <w:rPr>
          <w:rStyle w:val="Ohne"/>
          <w:rFonts w:ascii="Cambria" w:eastAsia="Arial" w:hAnsi="Cambria" w:cs="Arial"/>
          <w:spacing w:val="-4"/>
          <w:sz w:val="20"/>
          <w:szCs w:val="20"/>
          <w:vertAlign w:val="superscript"/>
        </w:rPr>
        <w:t xml:space="preserve"> </w:t>
      </w:r>
      <w:r w:rsidR="006B2B71">
        <w:rPr>
          <w:rStyle w:val="Ohne"/>
          <w:rFonts w:ascii="Cambria" w:eastAsia="Arial" w:hAnsi="Cambria" w:cs="Arial"/>
          <w:spacing w:val="-4"/>
          <w:sz w:val="20"/>
          <w:szCs w:val="20"/>
          <w:vertAlign w:val="superscript"/>
        </w:rPr>
        <w:fldChar w:fldCharType="begin"/>
      </w:r>
      <w:r w:rsidR="006B2B71">
        <w:rPr>
          <w:rStyle w:val="Ohne"/>
          <w:rFonts w:ascii="Cambria" w:eastAsia="Arial" w:hAnsi="Cambria" w:cs="Arial"/>
          <w:spacing w:val="-4"/>
          <w:sz w:val="20"/>
          <w:szCs w:val="20"/>
          <w:vertAlign w:val="superscript"/>
        </w:rPr>
        <w:instrText xml:space="preserve"> NOTEREF _Ref30604500 \h </w:instrText>
      </w:r>
      <w:r w:rsidR="006B2B71">
        <w:rPr>
          <w:rStyle w:val="Ohne"/>
          <w:rFonts w:ascii="Cambria" w:eastAsia="Arial" w:hAnsi="Cambria" w:cs="Arial"/>
          <w:spacing w:val="-4"/>
          <w:sz w:val="20"/>
          <w:szCs w:val="20"/>
          <w:vertAlign w:val="superscript"/>
        </w:rPr>
      </w:r>
      <w:r w:rsidR="006B2B71">
        <w:rPr>
          <w:rStyle w:val="Ohne"/>
          <w:rFonts w:ascii="Cambria" w:eastAsia="Arial" w:hAnsi="Cambria" w:cs="Arial"/>
          <w:spacing w:val="-4"/>
          <w:sz w:val="20"/>
          <w:szCs w:val="20"/>
          <w:vertAlign w:val="superscript"/>
        </w:rPr>
        <w:fldChar w:fldCharType="separate"/>
      </w:r>
      <w:r w:rsidR="001A283B">
        <w:rPr>
          <w:rStyle w:val="Ohne"/>
          <w:rFonts w:ascii="Cambria" w:eastAsia="Arial" w:hAnsi="Cambria" w:cs="Arial"/>
          <w:spacing w:val="-4"/>
          <w:sz w:val="20"/>
          <w:szCs w:val="20"/>
          <w:vertAlign w:val="superscript"/>
        </w:rPr>
        <w:t>575</w:t>
      </w:r>
      <w:r w:rsidR="006B2B71">
        <w:rPr>
          <w:rStyle w:val="Ohne"/>
          <w:rFonts w:ascii="Cambria" w:eastAsia="Arial" w:hAnsi="Cambria" w:cs="Arial"/>
          <w:spacing w:val="-4"/>
          <w:sz w:val="20"/>
          <w:szCs w:val="20"/>
          <w:vertAlign w:val="superscript"/>
        </w:rPr>
        <w:fldChar w:fldCharType="end"/>
      </w:r>
      <w:r w:rsidR="006B2B71">
        <w:rPr>
          <w:rStyle w:val="Ohne"/>
          <w:rFonts w:ascii="Cambria" w:eastAsia="Arial" w:hAnsi="Cambria" w:cs="Arial"/>
          <w:spacing w:val="-4"/>
          <w:sz w:val="20"/>
          <w:szCs w:val="20"/>
          <w:vertAlign w:val="superscript"/>
        </w:rPr>
        <w:t xml:space="preserve"> </w:t>
      </w:r>
      <w:r w:rsidR="006B2B71">
        <w:rPr>
          <w:rStyle w:val="Ohne"/>
          <w:rFonts w:ascii="Cambria" w:eastAsia="Arial" w:hAnsi="Cambria" w:cs="Arial"/>
          <w:spacing w:val="-4"/>
          <w:sz w:val="20"/>
          <w:szCs w:val="20"/>
          <w:vertAlign w:val="superscript"/>
        </w:rPr>
        <w:fldChar w:fldCharType="begin"/>
      </w:r>
      <w:r w:rsidR="006B2B71">
        <w:rPr>
          <w:rStyle w:val="Ohne"/>
          <w:rFonts w:ascii="Cambria" w:eastAsia="Arial" w:hAnsi="Cambria" w:cs="Arial"/>
          <w:spacing w:val="-4"/>
          <w:sz w:val="20"/>
          <w:szCs w:val="20"/>
          <w:vertAlign w:val="superscript"/>
        </w:rPr>
        <w:instrText xml:space="preserve"> NOTEREF _Ref30604685 \h </w:instrText>
      </w:r>
      <w:r w:rsidR="006B2B71">
        <w:rPr>
          <w:rStyle w:val="Ohne"/>
          <w:rFonts w:ascii="Cambria" w:eastAsia="Arial" w:hAnsi="Cambria" w:cs="Arial"/>
          <w:spacing w:val="-4"/>
          <w:sz w:val="20"/>
          <w:szCs w:val="20"/>
          <w:vertAlign w:val="superscript"/>
        </w:rPr>
      </w:r>
      <w:r w:rsidR="006B2B71">
        <w:rPr>
          <w:rStyle w:val="Ohne"/>
          <w:rFonts w:ascii="Cambria" w:eastAsia="Arial" w:hAnsi="Cambria" w:cs="Arial"/>
          <w:spacing w:val="-4"/>
          <w:sz w:val="20"/>
          <w:szCs w:val="20"/>
          <w:vertAlign w:val="superscript"/>
        </w:rPr>
        <w:fldChar w:fldCharType="separate"/>
      </w:r>
      <w:r w:rsidR="001A283B">
        <w:rPr>
          <w:rStyle w:val="Ohne"/>
          <w:rFonts w:ascii="Cambria" w:eastAsia="Arial" w:hAnsi="Cambria" w:cs="Arial"/>
          <w:spacing w:val="-4"/>
          <w:sz w:val="20"/>
          <w:szCs w:val="20"/>
          <w:vertAlign w:val="superscript"/>
        </w:rPr>
        <w:t>577</w:t>
      </w:r>
      <w:r w:rsidR="006B2B71">
        <w:rPr>
          <w:rStyle w:val="Ohne"/>
          <w:rFonts w:ascii="Cambria" w:eastAsia="Arial" w:hAnsi="Cambria" w:cs="Arial"/>
          <w:spacing w:val="-4"/>
          <w:sz w:val="20"/>
          <w:szCs w:val="20"/>
          <w:vertAlign w:val="superscript"/>
        </w:rPr>
        <w:fldChar w:fldCharType="end"/>
      </w:r>
      <w:r w:rsidR="006B2B71">
        <w:rPr>
          <w:rStyle w:val="Ohne"/>
          <w:rFonts w:ascii="Cambria" w:eastAsia="Arial" w:hAnsi="Cambria" w:cs="Arial"/>
          <w:spacing w:val="-4"/>
          <w:sz w:val="20"/>
          <w:szCs w:val="20"/>
          <w:vertAlign w:val="superscript"/>
        </w:rPr>
        <w:t xml:space="preserve"> </w:t>
      </w:r>
      <w:r w:rsidR="006B2B71">
        <w:rPr>
          <w:rStyle w:val="Ohne"/>
          <w:rFonts w:ascii="Cambria" w:eastAsia="Arial" w:hAnsi="Cambria" w:cs="Arial"/>
          <w:spacing w:val="-4"/>
          <w:sz w:val="20"/>
          <w:szCs w:val="20"/>
          <w:vertAlign w:val="superscript"/>
        </w:rPr>
        <w:fldChar w:fldCharType="begin"/>
      </w:r>
      <w:r w:rsidR="006B2B71">
        <w:rPr>
          <w:rStyle w:val="Ohne"/>
          <w:rFonts w:ascii="Cambria" w:eastAsia="Arial" w:hAnsi="Cambria" w:cs="Arial"/>
          <w:spacing w:val="-4"/>
          <w:sz w:val="20"/>
          <w:szCs w:val="20"/>
          <w:vertAlign w:val="superscript"/>
        </w:rPr>
        <w:instrText xml:space="preserve"> NOTEREF _Ref30604581 \h </w:instrText>
      </w:r>
      <w:r w:rsidR="006B2B71">
        <w:rPr>
          <w:rStyle w:val="Ohne"/>
          <w:rFonts w:ascii="Cambria" w:eastAsia="Arial" w:hAnsi="Cambria" w:cs="Arial"/>
          <w:spacing w:val="-4"/>
          <w:sz w:val="20"/>
          <w:szCs w:val="20"/>
          <w:vertAlign w:val="superscript"/>
        </w:rPr>
      </w:r>
      <w:r w:rsidR="006B2B71">
        <w:rPr>
          <w:rStyle w:val="Ohne"/>
          <w:rFonts w:ascii="Cambria" w:eastAsia="Arial" w:hAnsi="Cambria" w:cs="Arial"/>
          <w:spacing w:val="-4"/>
          <w:sz w:val="20"/>
          <w:szCs w:val="20"/>
          <w:vertAlign w:val="superscript"/>
        </w:rPr>
        <w:fldChar w:fldCharType="separate"/>
      </w:r>
      <w:r w:rsidR="001A283B">
        <w:rPr>
          <w:rStyle w:val="Ohne"/>
          <w:rFonts w:ascii="Cambria" w:eastAsia="Arial" w:hAnsi="Cambria" w:cs="Arial"/>
          <w:spacing w:val="-4"/>
          <w:sz w:val="20"/>
          <w:szCs w:val="20"/>
          <w:vertAlign w:val="superscript"/>
        </w:rPr>
        <w:t>578</w:t>
      </w:r>
      <w:r w:rsidR="006B2B71">
        <w:rPr>
          <w:rStyle w:val="Ohne"/>
          <w:rFonts w:ascii="Cambria" w:eastAsia="Arial" w:hAnsi="Cambria" w:cs="Arial"/>
          <w:spacing w:val="-4"/>
          <w:sz w:val="20"/>
          <w:szCs w:val="20"/>
          <w:vertAlign w:val="superscript"/>
        </w:rPr>
        <w:fldChar w:fldCharType="end"/>
      </w:r>
      <w:r w:rsidR="00447357" w:rsidRPr="00207748">
        <w:rPr>
          <w:rStyle w:val="Ohne"/>
          <w:rFonts w:ascii="Cambria" w:hAnsi="Cambria" w:cs="Arial"/>
          <w:spacing w:val="-4"/>
          <w:sz w:val="20"/>
          <w:szCs w:val="20"/>
        </w:rPr>
        <w:t xml:space="preserve"> Eine RCT zeigte eine signifikant höhere Mortalität in der Patientengruppe mit der kontinuierlichen Behandlung </w:t>
      </w:r>
      <w:r w:rsidR="006B2B71" w:rsidRPr="00E15D93">
        <w:rPr>
          <w:rStyle w:val="EndnoteRealZchn"/>
        </w:rPr>
        <w:fldChar w:fldCharType="begin"/>
      </w:r>
      <w:r w:rsidR="006B2B71" w:rsidRPr="00E15D93">
        <w:rPr>
          <w:rStyle w:val="EndnoteRealZchn"/>
        </w:rPr>
        <w:instrText xml:space="preserve"> NOTEREF _Ref30604920 \h </w:instrText>
      </w:r>
      <w:r w:rsidR="00E15D93">
        <w:rPr>
          <w:rStyle w:val="EndnoteRealZchn"/>
        </w:rPr>
        <w:instrText xml:space="preserve"> \* MERGEFORMAT </w:instrText>
      </w:r>
      <w:r w:rsidR="006B2B71" w:rsidRPr="00E15D93">
        <w:rPr>
          <w:rStyle w:val="EndnoteRealZchn"/>
        </w:rPr>
      </w:r>
      <w:r w:rsidR="006B2B71" w:rsidRPr="00E15D93">
        <w:rPr>
          <w:rStyle w:val="EndnoteRealZchn"/>
        </w:rPr>
        <w:fldChar w:fldCharType="separate"/>
      </w:r>
      <w:r w:rsidR="001A283B" w:rsidRPr="00E15D93">
        <w:rPr>
          <w:rStyle w:val="EndnoteRealZchn"/>
        </w:rPr>
        <w:t>576</w:t>
      </w:r>
      <w:r w:rsidR="006B2B71" w:rsidRPr="00E15D93">
        <w:rPr>
          <w:rStyle w:val="EndnoteRealZchn"/>
        </w:rPr>
        <w:fldChar w:fldCharType="end"/>
      </w:r>
      <w:r w:rsidR="00447357" w:rsidRPr="00E15D93">
        <w:rPr>
          <w:rStyle w:val="EndnoteRealZchn"/>
        </w:rPr>
        <w:t>.</w:t>
      </w:r>
      <w:r w:rsidR="00447357" w:rsidRPr="00207748">
        <w:rPr>
          <w:rStyle w:val="Ohne"/>
          <w:rFonts w:ascii="Cambria" w:hAnsi="Cambria" w:cs="Arial"/>
          <w:spacing w:val="-4"/>
          <w:sz w:val="20"/>
          <w:szCs w:val="20"/>
        </w:rPr>
        <w:t xml:space="preserve"> In dieser Gruppe hatte allerdings eine unausgeglichene Randomisierung zur Folge, dass ein höherer Schweregrad der Erkrankung zur Baseline vorlag. Bei Anwendung eines multivariablen Modells zur Anpassung in Bezug auf den Schweregrad der Erkrankung, konnte keine offensichtliche Differenz im Hinblick auf die Mortalität zwischen den Gruppen festgestellt werden. Die meisten Studien, in denen die Nierenersatztherapie-Modi bei kritisch erkrankten Patienten verglichen wurden, umfassten eine kleine </w:t>
      </w:r>
      <w:r w:rsidR="00185864">
        <w:rPr>
          <w:rStyle w:val="Ohne"/>
          <w:rFonts w:ascii="Cambria" w:hAnsi="Cambria" w:cs="Arial"/>
          <w:spacing w:val="-4"/>
          <w:sz w:val="20"/>
          <w:szCs w:val="20"/>
        </w:rPr>
        <w:t>Patientenzahl</w:t>
      </w:r>
      <w:r w:rsidR="00447357" w:rsidRPr="00207748">
        <w:rPr>
          <w:rStyle w:val="Ohne"/>
          <w:rFonts w:ascii="Cambria" w:hAnsi="Cambria" w:cs="Arial"/>
          <w:spacing w:val="-4"/>
          <w:sz w:val="20"/>
          <w:szCs w:val="20"/>
        </w:rPr>
        <w:t xml:space="preserve"> und verfügten über ein hohes Verzerrungspotenzial (z.B. Randomisierungsversagen, Modifikationen des therapeutischen Protokolls während des Studienzeitraums, Kombination von verschiedenen kontinuierlichen Nierenersatztherapie-Typen, heterogene</w:t>
      </w:r>
      <w:r w:rsidR="00185864">
        <w:rPr>
          <w:rStyle w:val="Ohne"/>
          <w:rFonts w:ascii="Cambria" w:hAnsi="Cambria" w:cs="Arial"/>
          <w:spacing w:val="-4"/>
          <w:sz w:val="20"/>
          <w:szCs w:val="20"/>
        </w:rPr>
        <w:t xml:space="preserve"> Patienten</w:t>
      </w:r>
      <w:r w:rsidR="00447357" w:rsidRPr="00207748">
        <w:rPr>
          <w:rStyle w:val="Ohne"/>
          <w:rFonts w:ascii="Cambria" w:hAnsi="Cambria" w:cs="Arial"/>
          <w:spacing w:val="-4"/>
          <w:sz w:val="20"/>
          <w:szCs w:val="20"/>
        </w:rPr>
        <w:t>gruppen). D</w:t>
      </w:r>
      <w:r w:rsidR="00537477">
        <w:rPr>
          <w:rStyle w:val="Ohne"/>
          <w:rFonts w:ascii="Cambria" w:hAnsi="Cambria" w:cs="Arial"/>
          <w:spacing w:val="-4"/>
          <w:sz w:val="20"/>
          <w:szCs w:val="20"/>
        </w:rPr>
        <w:t>ie</w:t>
      </w:r>
      <w:r w:rsidR="00447357" w:rsidRPr="00207748">
        <w:rPr>
          <w:rStyle w:val="Ohne"/>
          <w:rFonts w:ascii="Cambria" w:hAnsi="Cambria" w:cs="Arial"/>
          <w:spacing w:val="-4"/>
          <w:sz w:val="20"/>
          <w:szCs w:val="20"/>
        </w:rPr>
        <w:t xml:space="preserve"> aktuellste und größte RCT</w:t>
      </w:r>
      <w:r w:rsidR="006B2B71">
        <w:rPr>
          <w:rStyle w:val="Ohne"/>
          <w:rFonts w:ascii="Cambria" w:hAnsi="Cambria" w:cs="Arial"/>
          <w:spacing w:val="-4"/>
          <w:sz w:val="20"/>
          <w:szCs w:val="20"/>
        </w:rPr>
        <w:t xml:space="preserve"> </w:t>
      </w:r>
      <w:r w:rsidR="006B2B71" w:rsidRPr="00E15D93">
        <w:rPr>
          <w:rStyle w:val="EndnoteRealZchn"/>
        </w:rPr>
        <w:lastRenderedPageBreak/>
        <w:fldChar w:fldCharType="begin"/>
      </w:r>
      <w:r w:rsidR="006B2B71" w:rsidRPr="00E15D93">
        <w:rPr>
          <w:rStyle w:val="EndnoteRealZchn"/>
        </w:rPr>
        <w:instrText xml:space="preserve"> NOTEREF _Ref30604581 \h </w:instrText>
      </w:r>
      <w:r w:rsidR="00E15D93">
        <w:rPr>
          <w:rStyle w:val="EndnoteRealZchn"/>
        </w:rPr>
        <w:instrText xml:space="preserve"> \* MERGEFORMAT </w:instrText>
      </w:r>
      <w:r w:rsidR="006B2B71" w:rsidRPr="00E15D93">
        <w:rPr>
          <w:rStyle w:val="EndnoteRealZchn"/>
        </w:rPr>
      </w:r>
      <w:r w:rsidR="006B2B71" w:rsidRPr="00E15D93">
        <w:rPr>
          <w:rStyle w:val="EndnoteRealZchn"/>
        </w:rPr>
        <w:fldChar w:fldCharType="separate"/>
      </w:r>
      <w:r w:rsidR="001A283B" w:rsidRPr="00E15D93">
        <w:rPr>
          <w:rStyle w:val="EndnoteRealZchn"/>
        </w:rPr>
        <w:t>578</w:t>
      </w:r>
      <w:r w:rsidR="006B2B71" w:rsidRPr="00E15D93">
        <w:rPr>
          <w:rStyle w:val="EndnoteRealZchn"/>
        </w:rPr>
        <w:fldChar w:fldCharType="end"/>
      </w:r>
      <w:r w:rsidR="00447357" w:rsidRPr="00207748">
        <w:rPr>
          <w:rStyle w:val="Ohne"/>
          <w:rFonts w:ascii="Cambria" w:hAnsi="Cambria" w:cs="Arial"/>
          <w:spacing w:val="-4"/>
          <w:sz w:val="20"/>
          <w:szCs w:val="20"/>
        </w:rPr>
        <w:t xml:space="preserve"> umfasste 360 Patienten und wies keinen signifikanten Unterschied in Bezug auf die Überlebensrate zwischen der kontinuierlichen und intermittierenden Gruppe nach..</w:t>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18"/>
        <w:gridCol w:w="834"/>
      </w:tblGrid>
      <w:tr w:rsidR="00E11869" w:rsidRPr="00207748" w14:paraId="3E5D966B"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2A6CD362" w14:textId="77777777" w:rsidR="00E11869" w:rsidRPr="00207748" w:rsidRDefault="00447357" w:rsidP="004454B6">
            <w:pPr>
              <w:rPr>
                <w:rStyle w:val="Ohne"/>
                <w:rFonts w:ascii="Cambria" w:hAnsi="Cambria"/>
                <w:b/>
                <w:bCs/>
                <w:sz w:val="20"/>
                <w:szCs w:val="20"/>
              </w:rPr>
            </w:pPr>
            <w:r w:rsidRPr="00207748">
              <w:rPr>
                <w:rStyle w:val="Ohne"/>
                <w:rFonts w:ascii="Cambria" w:hAnsi="Cambria" w:cs="Arial"/>
                <w:b/>
                <w:bCs/>
                <w:sz w:val="20"/>
                <w:szCs w:val="20"/>
              </w:rPr>
              <w:t>P.2</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2BF6243B"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1CD8A5CE"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501F9FF8" w14:textId="77777777" w:rsidTr="00334AF5">
        <w:trPr>
          <w:trHeight w:val="235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064C2"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Empfehlungsgrad</w:t>
            </w:r>
          </w:p>
          <w:p w14:paraId="380630CE" w14:textId="77777777" w:rsidR="00E11869" w:rsidRPr="00207748" w:rsidRDefault="00E11869" w:rsidP="004454B6">
            <w:pPr>
              <w:spacing w:after="0"/>
              <w:rPr>
                <w:rStyle w:val="Ohne"/>
                <w:rFonts w:ascii="Cambria" w:eastAsia="Arial" w:hAnsi="Cambria" w:cs="Arial"/>
                <w:sz w:val="20"/>
                <w:szCs w:val="20"/>
              </w:rPr>
            </w:pPr>
          </w:p>
          <w:p w14:paraId="608B2FDE" w14:textId="77777777" w:rsidR="00E11869" w:rsidRPr="00207748" w:rsidRDefault="00447357" w:rsidP="004454B6">
            <w:pPr>
              <w:spacing w:after="0"/>
              <w:rPr>
                <w:rStyle w:val="Ohne"/>
                <w:rFonts w:ascii="Cambria" w:eastAsia="Arial" w:hAnsi="Cambria" w:cs="Arial"/>
                <w:b/>
                <w:bCs/>
                <w:sz w:val="20"/>
                <w:szCs w:val="20"/>
              </w:rPr>
            </w:pPr>
            <w:r w:rsidRPr="00207748">
              <w:rPr>
                <w:rStyle w:val="Ohne"/>
                <w:rFonts w:ascii="Cambria" w:hAnsi="Cambria" w:cs="Arial"/>
                <w:b/>
                <w:bCs/>
                <w:sz w:val="20"/>
                <w:szCs w:val="20"/>
              </w:rPr>
              <w:t>schwach</w:t>
            </w:r>
          </w:p>
          <w:p w14:paraId="56B83A1A" w14:textId="77777777" w:rsidR="00E11869" w:rsidRPr="00207748" w:rsidRDefault="00E11869" w:rsidP="004454B6">
            <w:pPr>
              <w:spacing w:after="0"/>
              <w:rPr>
                <w:rStyle w:val="Ohne"/>
                <w:rFonts w:ascii="Cambria" w:eastAsia="Arial" w:hAnsi="Cambria" w:cs="Arial"/>
                <w:sz w:val="20"/>
                <w:szCs w:val="20"/>
              </w:rPr>
            </w:pPr>
          </w:p>
          <w:p w14:paraId="7499EB35"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Evidenzgrad</w:t>
            </w:r>
          </w:p>
          <w:p w14:paraId="4FE14272" w14:textId="77777777" w:rsidR="00E11869" w:rsidRPr="00207748" w:rsidRDefault="00E11869" w:rsidP="004454B6">
            <w:pPr>
              <w:spacing w:after="0"/>
              <w:rPr>
                <w:rStyle w:val="Ohne"/>
                <w:rFonts w:ascii="Cambria" w:eastAsia="Arial" w:hAnsi="Cambria" w:cs="Arial"/>
                <w:sz w:val="20"/>
                <w:szCs w:val="20"/>
              </w:rPr>
            </w:pPr>
          </w:p>
          <w:p w14:paraId="0FBEE25D"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sehr niedrig</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EC02F" w14:textId="4A6199D0"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Wir schlagen vor, dass kontinuierliche Therapien zum besseren Management des Flüssigkeits</w:t>
            </w:r>
            <w:r w:rsidR="00B26F79">
              <w:rPr>
                <w:rStyle w:val="Ohne"/>
                <w:rFonts w:ascii="Cambria" w:hAnsi="Cambria" w:cs="Arial"/>
                <w:b/>
                <w:bCs/>
                <w:sz w:val="20"/>
                <w:szCs w:val="20"/>
              </w:rPr>
              <w:t>-</w:t>
            </w:r>
            <w:r w:rsidRPr="00207748">
              <w:rPr>
                <w:rStyle w:val="Ohne"/>
                <w:rFonts w:ascii="Cambria" w:hAnsi="Cambria" w:cs="Arial"/>
                <w:b/>
                <w:bCs/>
                <w:sz w:val="20"/>
                <w:szCs w:val="20"/>
              </w:rPr>
              <w:t xml:space="preserve">haushalts bei hämodynamisch instabilen septischen Patienten verwendet werden. </w:t>
            </w:r>
          </w:p>
        </w:tc>
      </w:tr>
      <w:tr w:rsidR="00E11869" w:rsidRPr="00207748" w14:paraId="2AD396CA" w14:textId="77777777" w:rsidTr="00342FB3">
        <w:trPr>
          <w:trHeight w:val="56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6848BF37"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C7DD1" w14:textId="77777777" w:rsidR="00E11869" w:rsidRPr="00207748" w:rsidRDefault="00342FB3" w:rsidP="004454B6">
            <w:pPr>
              <w:spacing w:after="0"/>
              <w:rPr>
                <w:rFonts w:ascii="Cambria" w:hAnsi="Cambria" w:cs="Arial"/>
                <w:sz w:val="20"/>
                <w:szCs w:val="20"/>
              </w:rPr>
            </w:pPr>
            <w:r w:rsidRPr="00207748">
              <w:rPr>
                <w:rStyle w:val="Ohne"/>
                <w:rFonts w:ascii="Cambria" w:hAnsi="Cambria" w:cs="Arial"/>
                <w:b/>
                <w:bCs/>
                <w:sz w:val="20"/>
                <w:szCs w:val="20"/>
              </w:rPr>
              <w:t>SSC-</w:t>
            </w:r>
            <w:r w:rsidR="00447357" w:rsidRPr="00207748">
              <w:rPr>
                <w:rStyle w:val="Ohne"/>
                <w:rFonts w:ascii="Cambria" w:hAnsi="Cambria" w:cs="Arial"/>
                <w:b/>
                <w:bCs/>
                <w:sz w:val="20"/>
                <w:szCs w:val="20"/>
              </w:rPr>
              <w:t>Leitlinien</w:t>
            </w:r>
            <w:r w:rsidR="00E873A9" w:rsidRPr="00207748">
              <w:rPr>
                <w:rStyle w:val="Ohne"/>
                <w:rFonts w:ascii="Cambria" w:hAnsi="Cambria" w:cs="Arial"/>
                <w:b/>
                <w:bCs/>
                <w:sz w:val="20"/>
                <w:szCs w:val="20"/>
              </w:rPr>
              <w:t>adaptation</w:t>
            </w:r>
          </w:p>
        </w:tc>
      </w:tr>
      <w:tr w:rsidR="00E11869" w:rsidRPr="00207748" w14:paraId="1F20B8E8"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C9163"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239D1"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 xml:space="preserve">Konsensstärke: 100 % </w:t>
            </w:r>
          </w:p>
        </w:tc>
      </w:tr>
    </w:tbl>
    <w:p w14:paraId="687DACEE" w14:textId="4AF254F9" w:rsidR="00E11869" w:rsidRPr="00207748" w:rsidRDefault="00DA3A66" w:rsidP="004454B6">
      <w:pPr>
        <w:spacing w:before="240"/>
        <w:rPr>
          <w:rStyle w:val="Ohne"/>
          <w:rFonts w:ascii="Cambria" w:eastAsia="Arial" w:hAnsi="Cambria" w:cs="Arial"/>
          <w:spacing w:val="-1"/>
          <w:sz w:val="20"/>
          <w:szCs w:val="20"/>
        </w:rPr>
      </w:pPr>
      <w:r w:rsidRPr="00207748">
        <w:rPr>
          <w:rStyle w:val="Ohne"/>
          <w:rFonts w:ascii="Cambria" w:hAnsi="Cambria" w:cs="Arial"/>
          <w:b/>
          <w:bCs/>
          <w:spacing w:val="-1"/>
          <w:sz w:val="20"/>
          <w:szCs w:val="20"/>
        </w:rPr>
        <w:t>Begründung:</w:t>
      </w:r>
      <w:r w:rsidR="00447357" w:rsidRPr="00207748">
        <w:rPr>
          <w:rStyle w:val="Ohne"/>
          <w:rFonts w:ascii="Cambria" w:hAnsi="Cambria" w:cs="Arial"/>
          <w:spacing w:val="-1"/>
          <w:sz w:val="20"/>
          <w:szCs w:val="20"/>
        </w:rPr>
        <w:t xml:space="preserve"> D</w:t>
      </w:r>
      <w:r w:rsidR="00450FED">
        <w:rPr>
          <w:rStyle w:val="Ohne"/>
          <w:rFonts w:ascii="Cambria" w:hAnsi="Cambria" w:cs="Arial"/>
          <w:spacing w:val="-1"/>
          <w:sz w:val="20"/>
          <w:szCs w:val="20"/>
        </w:rPr>
        <w:t xml:space="preserve">ie Evidenz </w:t>
      </w:r>
      <w:r w:rsidR="00447357" w:rsidRPr="00207748">
        <w:rPr>
          <w:rStyle w:val="Ohne"/>
          <w:rFonts w:ascii="Cambria" w:hAnsi="Cambria" w:cs="Arial"/>
          <w:spacing w:val="-1"/>
          <w:sz w:val="20"/>
          <w:szCs w:val="20"/>
        </w:rPr>
        <w:t xml:space="preserve">Für diese </w:t>
      </w:r>
      <w:r w:rsidR="00450FED">
        <w:rPr>
          <w:rStyle w:val="Ohne"/>
          <w:rFonts w:ascii="Cambria" w:hAnsi="Cambria" w:cs="Arial"/>
          <w:spacing w:val="-1"/>
          <w:sz w:val="20"/>
          <w:szCs w:val="20"/>
        </w:rPr>
        <w:t>Empfehlung</w:t>
      </w:r>
      <w:r w:rsidR="00447357" w:rsidRPr="00207748">
        <w:rPr>
          <w:rStyle w:val="Ohne"/>
          <w:rFonts w:ascii="Cambria" w:hAnsi="Cambria" w:cs="Arial"/>
          <w:spacing w:val="-1"/>
          <w:sz w:val="20"/>
          <w:szCs w:val="20"/>
        </w:rPr>
        <w:t xml:space="preserve"> ist weiterhin </w:t>
      </w:r>
      <w:r w:rsidR="00450FED">
        <w:rPr>
          <w:rStyle w:val="Ohne"/>
          <w:rFonts w:ascii="Cambria" w:hAnsi="Cambria" w:cs="Arial"/>
          <w:spacing w:val="-1"/>
          <w:sz w:val="20"/>
          <w:szCs w:val="20"/>
        </w:rPr>
        <w:t>niedrig</w:t>
      </w:r>
      <w:r w:rsidR="00447357" w:rsidRPr="00207748">
        <w:rPr>
          <w:rStyle w:val="Ohne"/>
          <w:rFonts w:ascii="Cambria" w:hAnsi="Cambria" w:cs="Arial"/>
          <w:spacing w:val="-1"/>
          <w:sz w:val="20"/>
          <w:szCs w:val="20"/>
        </w:rPr>
        <w:t xml:space="preserve">. Zwei prospektive Studien </w:t>
      </w:r>
      <w:r w:rsidR="006B2B71" w:rsidRPr="00E15D93">
        <w:rPr>
          <w:rStyle w:val="EndnoteRealZchn"/>
        </w:rPr>
        <w:fldChar w:fldCharType="begin"/>
      </w:r>
      <w:r w:rsidR="006B2B71" w:rsidRPr="00E15D93">
        <w:rPr>
          <w:rStyle w:val="EndnoteRealZchn"/>
        </w:rPr>
        <w:instrText xml:space="preserve"> NOTEREF _Ref30604362 \h </w:instrText>
      </w:r>
      <w:r w:rsidR="00E15D93">
        <w:rPr>
          <w:rStyle w:val="EndnoteRealZchn"/>
        </w:rPr>
        <w:instrText xml:space="preserve"> \* MERGEFORMAT </w:instrText>
      </w:r>
      <w:r w:rsidR="006B2B71" w:rsidRPr="00E15D93">
        <w:rPr>
          <w:rStyle w:val="EndnoteRealZchn"/>
        </w:rPr>
      </w:r>
      <w:r w:rsidR="006B2B71" w:rsidRPr="00E15D93">
        <w:rPr>
          <w:rStyle w:val="EndnoteRealZchn"/>
        </w:rPr>
        <w:fldChar w:fldCharType="separate"/>
      </w:r>
      <w:r w:rsidR="001A283B" w:rsidRPr="00E15D93">
        <w:rPr>
          <w:rStyle w:val="EndnoteRealZchn"/>
        </w:rPr>
        <w:t>574</w:t>
      </w:r>
      <w:r w:rsidR="006B2B71" w:rsidRPr="00E15D93">
        <w:rPr>
          <w:rStyle w:val="EndnoteRealZchn"/>
        </w:rPr>
        <w:fldChar w:fldCharType="end"/>
      </w:r>
      <w:r w:rsidR="00E15D93">
        <w:rPr>
          <w:rStyle w:val="EndnoteRealZchn"/>
        </w:rPr>
        <w:t xml:space="preserve"> </w:t>
      </w:r>
      <w:r w:rsidR="00447357" w:rsidRPr="00207748">
        <w:rPr>
          <w:rStyle w:val="Ohne"/>
          <w:rFonts w:ascii="Cambria" w:hAnsi="Cambria" w:cs="Arial"/>
          <w:spacing w:val="-1"/>
          <w:sz w:val="20"/>
          <w:szCs w:val="20"/>
        </w:rPr>
        <w:t xml:space="preserve">haben </w:t>
      </w:r>
      <w:r w:rsidR="00450FED">
        <w:rPr>
          <w:rStyle w:val="Ohne"/>
          <w:rFonts w:ascii="Cambria" w:hAnsi="Cambria" w:cs="Arial"/>
          <w:spacing w:val="-1"/>
          <w:sz w:val="20"/>
          <w:szCs w:val="20"/>
        </w:rPr>
        <w:t>über</w:t>
      </w:r>
      <w:r w:rsidR="00447357" w:rsidRPr="00207748">
        <w:rPr>
          <w:rStyle w:val="Ohne"/>
          <w:rFonts w:ascii="Cambria" w:hAnsi="Cambria" w:cs="Arial"/>
          <w:spacing w:val="-1"/>
          <w:sz w:val="20"/>
          <w:szCs w:val="20"/>
        </w:rPr>
        <w:t xml:space="preserve"> eine bessere hämodynamische Toleranz bei einer kontinuierlichen Behandlung berichtet, ohne </w:t>
      </w:r>
      <w:r w:rsidR="00450FED">
        <w:rPr>
          <w:rStyle w:val="Ohne"/>
          <w:rFonts w:ascii="Cambria" w:hAnsi="Cambria" w:cs="Arial"/>
          <w:spacing w:val="-1"/>
          <w:sz w:val="20"/>
          <w:szCs w:val="20"/>
        </w:rPr>
        <w:t xml:space="preserve">eine </w:t>
      </w:r>
      <w:r w:rsidR="00447357" w:rsidRPr="00207748">
        <w:rPr>
          <w:rStyle w:val="Ohne"/>
          <w:rFonts w:ascii="Cambria" w:hAnsi="Cambria" w:cs="Arial"/>
          <w:spacing w:val="-1"/>
          <w:sz w:val="20"/>
          <w:szCs w:val="20"/>
        </w:rPr>
        <w:t xml:space="preserve">Verbesserung der regionalen Perfusion </w:t>
      </w:r>
      <w:r w:rsidR="00447357" w:rsidRPr="00207748">
        <w:rPr>
          <w:rStyle w:val="Ohne"/>
          <w:rFonts w:ascii="Cambria" w:eastAsia="Arial" w:hAnsi="Cambria" w:cs="Arial"/>
          <w:spacing w:val="-1"/>
          <w:sz w:val="20"/>
          <w:szCs w:val="20"/>
          <w:vertAlign w:val="superscript"/>
        </w:rPr>
        <w:endnoteReference w:id="523"/>
      </w:r>
      <w:r w:rsidR="00447357" w:rsidRPr="00207748">
        <w:rPr>
          <w:rStyle w:val="Ohne"/>
          <w:rFonts w:ascii="Cambria" w:hAnsi="Cambria" w:cs="Arial"/>
          <w:spacing w:val="-1"/>
          <w:sz w:val="20"/>
          <w:szCs w:val="20"/>
        </w:rPr>
        <w:t xml:space="preserve"> und ohne einen Überlebensvorteil</w:t>
      </w:r>
      <w:r w:rsidR="006B2B71">
        <w:rPr>
          <w:rStyle w:val="Ohne"/>
          <w:rFonts w:ascii="Cambria" w:hAnsi="Cambria" w:cs="Arial"/>
          <w:spacing w:val="-1"/>
          <w:sz w:val="20"/>
          <w:szCs w:val="20"/>
        </w:rPr>
        <w:t xml:space="preserve"> </w:t>
      </w:r>
      <w:r w:rsidR="006B2B71" w:rsidRPr="006B2B71">
        <w:rPr>
          <w:rStyle w:val="EndnoteRealZchn"/>
        </w:rPr>
        <w:fldChar w:fldCharType="begin"/>
      </w:r>
      <w:r w:rsidR="006B2B71" w:rsidRPr="006B2B71">
        <w:rPr>
          <w:rStyle w:val="EndnoteRealZchn"/>
        </w:rPr>
        <w:instrText xml:space="preserve"> NOTEREF _Ref30604362 \h </w:instrText>
      </w:r>
      <w:r w:rsidR="006B2B71">
        <w:rPr>
          <w:rStyle w:val="EndnoteRealZchn"/>
        </w:rPr>
        <w:instrText xml:space="preserve"> \* MERGEFORMAT </w:instrText>
      </w:r>
      <w:r w:rsidR="006B2B71" w:rsidRPr="006B2B71">
        <w:rPr>
          <w:rStyle w:val="EndnoteRealZchn"/>
        </w:rPr>
      </w:r>
      <w:r w:rsidR="006B2B71" w:rsidRPr="006B2B71">
        <w:rPr>
          <w:rStyle w:val="EndnoteRealZchn"/>
        </w:rPr>
        <w:fldChar w:fldCharType="separate"/>
      </w:r>
      <w:r w:rsidR="001A283B">
        <w:rPr>
          <w:rStyle w:val="EndnoteRealZchn"/>
        </w:rPr>
        <w:t>574</w:t>
      </w:r>
      <w:r w:rsidR="006B2B71" w:rsidRPr="006B2B71">
        <w:rPr>
          <w:rStyle w:val="EndnoteRealZchn"/>
        </w:rPr>
        <w:fldChar w:fldCharType="end"/>
      </w:r>
      <w:r w:rsidR="00447357" w:rsidRPr="00207748">
        <w:rPr>
          <w:rStyle w:val="Ohne"/>
          <w:rFonts w:ascii="Cambria" w:hAnsi="Cambria" w:cs="Arial"/>
          <w:spacing w:val="-1"/>
          <w:sz w:val="20"/>
          <w:szCs w:val="20"/>
        </w:rPr>
        <w:t xml:space="preserve"> Vier andere Studien wiesen keinen signifikanten Unterschied in Bezug auf den MAP oder einen Abfall des systolischen Drucks zwischen den beiden Methoden nach</w:t>
      </w:r>
      <w:r w:rsidR="00E15D93">
        <w:rPr>
          <w:rStyle w:val="Ohne"/>
          <w:rFonts w:ascii="Cambria" w:hAnsi="Cambria" w:cs="Arial"/>
          <w:spacing w:val="-1"/>
          <w:sz w:val="20"/>
          <w:szCs w:val="20"/>
        </w:rPr>
        <w:t xml:space="preserve"> </w:t>
      </w:r>
      <w:r w:rsidR="006B2B71">
        <w:rPr>
          <w:rStyle w:val="Ohne"/>
          <w:rFonts w:ascii="Cambria" w:eastAsia="Arial" w:hAnsi="Cambria" w:cs="Arial"/>
          <w:spacing w:val="-1"/>
          <w:sz w:val="20"/>
          <w:szCs w:val="20"/>
          <w:vertAlign w:val="superscript"/>
        </w:rPr>
        <w:fldChar w:fldCharType="begin"/>
      </w:r>
      <w:r w:rsidR="006B2B71">
        <w:rPr>
          <w:rStyle w:val="Ohne"/>
          <w:rFonts w:ascii="Cambria" w:eastAsia="Arial" w:hAnsi="Cambria" w:cs="Arial"/>
          <w:spacing w:val="-1"/>
          <w:sz w:val="20"/>
          <w:szCs w:val="20"/>
          <w:vertAlign w:val="superscript"/>
        </w:rPr>
        <w:instrText xml:space="preserve"> NOTEREF _Ref30604500 \h </w:instrText>
      </w:r>
      <w:r w:rsidR="006B2B71">
        <w:rPr>
          <w:rStyle w:val="Ohne"/>
          <w:rFonts w:ascii="Cambria" w:eastAsia="Arial" w:hAnsi="Cambria" w:cs="Arial"/>
          <w:spacing w:val="-1"/>
          <w:sz w:val="20"/>
          <w:szCs w:val="20"/>
          <w:vertAlign w:val="superscript"/>
        </w:rPr>
      </w:r>
      <w:r w:rsidR="006B2B71">
        <w:rPr>
          <w:rStyle w:val="Ohne"/>
          <w:rFonts w:ascii="Cambria" w:eastAsia="Arial" w:hAnsi="Cambria" w:cs="Arial"/>
          <w:spacing w:val="-1"/>
          <w:sz w:val="20"/>
          <w:szCs w:val="20"/>
          <w:vertAlign w:val="superscript"/>
        </w:rPr>
        <w:fldChar w:fldCharType="separate"/>
      </w:r>
      <w:r w:rsidR="001A283B">
        <w:rPr>
          <w:rStyle w:val="Ohne"/>
          <w:rFonts w:ascii="Cambria" w:eastAsia="Arial" w:hAnsi="Cambria" w:cs="Arial"/>
          <w:spacing w:val="-1"/>
          <w:sz w:val="20"/>
          <w:szCs w:val="20"/>
          <w:vertAlign w:val="superscript"/>
        </w:rPr>
        <w:t>575</w:t>
      </w:r>
      <w:r w:rsidR="006B2B71">
        <w:rPr>
          <w:rStyle w:val="Ohne"/>
          <w:rFonts w:ascii="Cambria" w:eastAsia="Arial" w:hAnsi="Cambria" w:cs="Arial"/>
          <w:spacing w:val="-1"/>
          <w:sz w:val="20"/>
          <w:szCs w:val="20"/>
          <w:vertAlign w:val="superscript"/>
        </w:rPr>
        <w:fldChar w:fldCharType="end"/>
      </w:r>
      <w:r w:rsidR="006B2B71">
        <w:rPr>
          <w:rStyle w:val="Ohne"/>
          <w:rFonts w:ascii="Cambria" w:eastAsia="Arial" w:hAnsi="Cambria" w:cs="Arial"/>
          <w:spacing w:val="-1"/>
          <w:sz w:val="20"/>
          <w:szCs w:val="20"/>
          <w:vertAlign w:val="superscript"/>
        </w:rPr>
        <w:t xml:space="preserve"> </w:t>
      </w:r>
      <w:r w:rsidR="006B2B71">
        <w:rPr>
          <w:rStyle w:val="Ohne"/>
          <w:rFonts w:ascii="Cambria" w:eastAsia="Arial" w:hAnsi="Cambria" w:cs="Arial"/>
          <w:spacing w:val="-1"/>
          <w:sz w:val="20"/>
          <w:szCs w:val="20"/>
          <w:vertAlign w:val="superscript"/>
        </w:rPr>
        <w:fldChar w:fldCharType="begin"/>
      </w:r>
      <w:r w:rsidR="006B2B71">
        <w:rPr>
          <w:rStyle w:val="Ohne"/>
          <w:rFonts w:ascii="Cambria" w:eastAsia="Arial" w:hAnsi="Cambria" w:cs="Arial"/>
          <w:spacing w:val="-1"/>
          <w:sz w:val="20"/>
          <w:szCs w:val="20"/>
          <w:vertAlign w:val="superscript"/>
        </w:rPr>
        <w:instrText xml:space="preserve"> NOTEREF _Ref30604685 \h </w:instrText>
      </w:r>
      <w:r w:rsidR="006B2B71">
        <w:rPr>
          <w:rStyle w:val="Ohne"/>
          <w:rFonts w:ascii="Cambria" w:eastAsia="Arial" w:hAnsi="Cambria" w:cs="Arial"/>
          <w:spacing w:val="-1"/>
          <w:sz w:val="20"/>
          <w:szCs w:val="20"/>
          <w:vertAlign w:val="superscript"/>
        </w:rPr>
      </w:r>
      <w:r w:rsidR="006B2B71">
        <w:rPr>
          <w:rStyle w:val="Ohne"/>
          <w:rFonts w:ascii="Cambria" w:eastAsia="Arial" w:hAnsi="Cambria" w:cs="Arial"/>
          <w:spacing w:val="-1"/>
          <w:sz w:val="20"/>
          <w:szCs w:val="20"/>
          <w:vertAlign w:val="superscript"/>
        </w:rPr>
        <w:fldChar w:fldCharType="separate"/>
      </w:r>
      <w:r w:rsidR="001A283B">
        <w:rPr>
          <w:rStyle w:val="Ohne"/>
          <w:rFonts w:ascii="Cambria" w:eastAsia="Arial" w:hAnsi="Cambria" w:cs="Arial"/>
          <w:spacing w:val="-1"/>
          <w:sz w:val="20"/>
          <w:szCs w:val="20"/>
          <w:vertAlign w:val="superscript"/>
        </w:rPr>
        <w:t>577</w:t>
      </w:r>
      <w:r w:rsidR="006B2B71">
        <w:rPr>
          <w:rStyle w:val="Ohne"/>
          <w:rFonts w:ascii="Cambria" w:eastAsia="Arial" w:hAnsi="Cambria" w:cs="Arial"/>
          <w:spacing w:val="-1"/>
          <w:sz w:val="20"/>
          <w:szCs w:val="20"/>
          <w:vertAlign w:val="superscript"/>
        </w:rPr>
        <w:fldChar w:fldCharType="end"/>
      </w:r>
      <w:r w:rsidR="006B2B71">
        <w:rPr>
          <w:rStyle w:val="Ohne"/>
          <w:rFonts w:ascii="Cambria" w:eastAsia="Arial" w:hAnsi="Cambria" w:cs="Arial"/>
          <w:spacing w:val="-1"/>
          <w:sz w:val="20"/>
          <w:szCs w:val="20"/>
          <w:vertAlign w:val="superscript"/>
        </w:rPr>
        <w:t xml:space="preserve"> </w:t>
      </w:r>
      <w:r w:rsidR="006B2B71">
        <w:rPr>
          <w:rStyle w:val="Ohne"/>
          <w:rFonts w:ascii="Cambria" w:eastAsia="Arial" w:hAnsi="Cambria" w:cs="Arial"/>
          <w:spacing w:val="-1"/>
          <w:sz w:val="20"/>
          <w:szCs w:val="20"/>
          <w:vertAlign w:val="superscript"/>
        </w:rPr>
        <w:fldChar w:fldCharType="begin"/>
      </w:r>
      <w:r w:rsidR="006B2B71">
        <w:rPr>
          <w:rStyle w:val="Ohne"/>
          <w:rFonts w:ascii="Cambria" w:eastAsia="Arial" w:hAnsi="Cambria" w:cs="Arial"/>
          <w:spacing w:val="-1"/>
          <w:sz w:val="20"/>
          <w:szCs w:val="20"/>
          <w:vertAlign w:val="superscript"/>
        </w:rPr>
        <w:instrText xml:space="preserve"> NOTEREF _Ref30604581 \h </w:instrText>
      </w:r>
      <w:r w:rsidR="006B2B71">
        <w:rPr>
          <w:rStyle w:val="Ohne"/>
          <w:rFonts w:ascii="Cambria" w:eastAsia="Arial" w:hAnsi="Cambria" w:cs="Arial"/>
          <w:spacing w:val="-1"/>
          <w:sz w:val="20"/>
          <w:szCs w:val="20"/>
          <w:vertAlign w:val="superscript"/>
        </w:rPr>
      </w:r>
      <w:r w:rsidR="006B2B71">
        <w:rPr>
          <w:rStyle w:val="Ohne"/>
          <w:rFonts w:ascii="Cambria" w:eastAsia="Arial" w:hAnsi="Cambria" w:cs="Arial"/>
          <w:spacing w:val="-1"/>
          <w:sz w:val="20"/>
          <w:szCs w:val="20"/>
          <w:vertAlign w:val="superscript"/>
        </w:rPr>
        <w:fldChar w:fldCharType="separate"/>
      </w:r>
      <w:r w:rsidR="001A283B">
        <w:rPr>
          <w:rStyle w:val="Ohne"/>
          <w:rFonts w:ascii="Cambria" w:eastAsia="Arial" w:hAnsi="Cambria" w:cs="Arial"/>
          <w:spacing w:val="-1"/>
          <w:sz w:val="20"/>
          <w:szCs w:val="20"/>
          <w:vertAlign w:val="superscript"/>
        </w:rPr>
        <w:t>578</w:t>
      </w:r>
      <w:r w:rsidR="006B2B71">
        <w:rPr>
          <w:rStyle w:val="Ohne"/>
          <w:rFonts w:ascii="Cambria" w:eastAsia="Arial" w:hAnsi="Cambria" w:cs="Arial"/>
          <w:spacing w:val="-1"/>
          <w:sz w:val="20"/>
          <w:szCs w:val="20"/>
          <w:vertAlign w:val="superscript"/>
        </w:rPr>
        <w:fldChar w:fldCharType="end"/>
      </w:r>
      <w:r w:rsidR="00447357" w:rsidRPr="00207748">
        <w:rPr>
          <w:rStyle w:val="Ohne"/>
          <w:rFonts w:ascii="Cambria" w:hAnsi="Cambria" w:cs="Arial"/>
          <w:spacing w:val="-1"/>
          <w:sz w:val="20"/>
          <w:szCs w:val="20"/>
        </w:rPr>
        <w:t xml:space="preserve"> </w:t>
      </w:r>
      <w:r w:rsidR="00447357" w:rsidRPr="00207748">
        <w:rPr>
          <w:rStyle w:val="Ohne"/>
          <w:rFonts w:ascii="Cambria" w:eastAsia="Arial" w:hAnsi="Cambria" w:cs="Arial"/>
          <w:spacing w:val="-1"/>
          <w:sz w:val="20"/>
          <w:szCs w:val="20"/>
          <w:vertAlign w:val="superscript"/>
        </w:rPr>
        <w:endnoteReference w:id="524"/>
      </w:r>
      <w:r w:rsidR="00447357" w:rsidRPr="00207748">
        <w:rPr>
          <w:rStyle w:val="Ohne"/>
          <w:rFonts w:ascii="Cambria" w:hAnsi="Cambria" w:cs="Arial"/>
          <w:spacing w:val="-1"/>
          <w:sz w:val="20"/>
          <w:szCs w:val="20"/>
        </w:rPr>
        <w:t xml:space="preserve">. Zwei Studien fanden eine signifikante Verbesserung in Bezug auf das Erreichen der Zielwerte mit kontinuierlichen Methoden </w:t>
      </w:r>
      <w:r w:rsidR="006B2B71" w:rsidRPr="006B2B71">
        <w:rPr>
          <w:rStyle w:val="EndnoteRealZchn"/>
        </w:rPr>
        <w:fldChar w:fldCharType="begin"/>
      </w:r>
      <w:r w:rsidR="006B2B71" w:rsidRPr="006B2B71">
        <w:rPr>
          <w:rStyle w:val="EndnoteRealZchn"/>
        </w:rPr>
        <w:instrText xml:space="preserve"> NOTEREF _Ref30604362 \h </w:instrText>
      </w:r>
      <w:r w:rsidR="006B2B71">
        <w:rPr>
          <w:rStyle w:val="EndnoteRealZchn"/>
        </w:rPr>
        <w:instrText xml:space="preserve"> \* MERGEFORMAT </w:instrText>
      </w:r>
      <w:r w:rsidR="006B2B71" w:rsidRPr="006B2B71">
        <w:rPr>
          <w:rStyle w:val="EndnoteRealZchn"/>
        </w:rPr>
      </w:r>
      <w:r w:rsidR="006B2B71" w:rsidRPr="006B2B71">
        <w:rPr>
          <w:rStyle w:val="EndnoteRealZchn"/>
        </w:rPr>
        <w:fldChar w:fldCharType="separate"/>
      </w:r>
      <w:r w:rsidR="001A283B">
        <w:rPr>
          <w:rStyle w:val="EndnoteRealZchn"/>
        </w:rPr>
        <w:t>574</w:t>
      </w:r>
      <w:r w:rsidR="006B2B71" w:rsidRPr="006B2B71">
        <w:rPr>
          <w:rStyle w:val="EndnoteRealZchn"/>
        </w:rPr>
        <w:fldChar w:fldCharType="end"/>
      </w:r>
      <w:r w:rsidR="006B2B71">
        <w:rPr>
          <w:rStyle w:val="Ohne"/>
          <w:rFonts w:ascii="Cambria" w:eastAsia="Arial" w:hAnsi="Cambria" w:cs="Arial"/>
          <w:spacing w:val="-1"/>
          <w:sz w:val="20"/>
          <w:szCs w:val="20"/>
          <w:vertAlign w:val="superscript"/>
        </w:rPr>
        <w:t>,</w:t>
      </w:r>
      <w:r w:rsidR="006B2B71">
        <w:rPr>
          <w:rStyle w:val="Ohne"/>
          <w:rFonts w:ascii="Cambria" w:eastAsia="Arial" w:hAnsi="Cambria" w:cs="Arial"/>
          <w:spacing w:val="-1"/>
          <w:sz w:val="20"/>
          <w:szCs w:val="20"/>
          <w:vertAlign w:val="superscript"/>
        </w:rPr>
        <w:fldChar w:fldCharType="begin"/>
      </w:r>
      <w:r w:rsidR="006B2B71">
        <w:rPr>
          <w:rStyle w:val="Ohne"/>
          <w:rFonts w:ascii="Cambria" w:eastAsia="Arial" w:hAnsi="Cambria" w:cs="Arial"/>
          <w:spacing w:val="-1"/>
          <w:sz w:val="20"/>
          <w:szCs w:val="20"/>
          <w:vertAlign w:val="superscript"/>
        </w:rPr>
        <w:instrText xml:space="preserve"> NOTEREF _Ref30604500 \h </w:instrText>
      </w:r>
      <w:r w:rsidR="006B2B71">
        <w:rPr>
          <w:rStyle w:val="Ohne"/>
          <w:rFonts w:ascii="Cambria" w:eastAsia="Arial" w:hAnsi="Cambria" w:cs="Arial"/>
          <w:spacing w:val="-1"/>
          <w:sz w:val="20"/>
          <w:szCs w:val="20"/>
          <w:vertAlign w:val="superscript"/>
        </w:rPr>
      </w:r>
      <w:r w:rsidR="006B2B71">
        <w:rPr>
          <w:rStyle w:val="Ohne"/>
          <w:rFonts w:ascii="Cambria" w:eastAsia="Arial" w:hAnsi="Cambria" w:cs="Arial"/>
          <w:spacing w:val="-1"/>
          <w:sz w:val="20"/>
          <w:szCs w:val="20"/>
          <w:vertAlign w:val="superscript"/>
        </w:rPr>
        <w:fldChar w:fldCharType="separate"/>
      </w:r>
      <w:r w:rsidR="001A283B">
        <w:rPr>
          <w:rStyle w:val="Ohne"/>
          <w:rFonts w:ascii="Cambria" w:eastAsia="Arial" w:hAnsi="Cambria" w:cs="Arial"/>
          <w:spacing w:val="-1"/>
          <w:sz w:val="20"/>
          <w:szCs w:val="20"/>
          <w:vertAlign w:val="superscript"/>
        </w:rPr>
        <w:t>575</w:t>
      </w:r>
      <w:r w:rsidR="006B2B71">
        <w:rPr>
          <w:rStyle w:val="Ohne"/>
          <w:rFonts w:ascii="Cambria" w:eastAsia="Arial" w:hAnsi="Cambria" w:cs="Arial"/>
          <w:spacing w:val="-1"/>
          <w:sz w:val="20"/>
          <w:szCs w:val="20"/>
          <w:vertAlign w:val="superscript"/>
        </w:rPr>
        <w:fldChar w:fldCharType="end"/>
      </w:r>
      <w:r w:rsidR="00447357" w:rsidRPr="00207748">
        <w:rPr>
          <w:rStyle w:val="Ohne"/>
          <w:rFonts w:ascii="Cambria" w:hAnsi="Cambria" w:cs="Arial"/>
          <w:spacing w:val="-1"/>
          <w:sz w:val="20"/>
          <w:szCs w:val="20"/>
        </w:rPr>
        <w:t xml:space="preserve"> </w:t>
      </w:r>
      <w:r w:rsidR="006B2B71">
        <w:rPr>
          <w:rStyle w:val="Ohne"/>
          <w:rFonts w:ascii="Cambria" w:eastAsia="Arial" w:hAnsi="Cambria" w:cs="Arial"/>
          <w:spacing w:val="-1"/>
          <w:sz w:val="20"/>
          <w:szCs w:val="20"/>
          <w:vertAlign w:val="superscript"/>
        </w:rPr>
        <w:fldChar w:fldCharType="begin"/>
      </w:r>
      <w:r w:rsidR="006B2B71">
        <w:rPr>
          <w:rStyle w:val="Ohne"/>
          <w:rFonts w:ascii="Cambria" w:eastAsia="Arial" w:hAnsi="Cambria" w:cs="Arial"/>
          <w:spacing w:val="-1"/>
          <w:sz w:val="20"/>
          <w:szCs w:val="20"/>
          <w:vertAlign w:val="superscript"/>
        </w:rPr>
        <w:instrText xml:space="preserve"> NOTEREF _Ref30604920 \h </w:instrText>
      </w:r>
      <w:r w:rsidR="006B2B71">
        <w:rPr>
          <w:rStyle w:val="Ohne"/>
          <w:rFonts w:ascii="Cambria" w:eastAsia="Arial" w:hAnsi="Cambria" w:cs="Arial"/>
          <w:spacing w:val="-1"/>
          <w:sz w:val="20"/>
          <w:szCs w:val="20"/>
          <w:vertAlign w:val="superscript"/>
        </w:rPr>
      </w:r>
      <w:r w:rsidR="006B2B71">
        <w:rPr>
          <w:rStyle w:val="Ohne"/>
          <w:rFonts w:ascii="Cambria" w:eastAsia="Arial" w:hAnsi="Cambria" w:cs="Arial"/>
          <w:spacing w:val="-1"/>
          <w:sz w:val="20"/>
          <w:szCs w:val="20"/>
          <w:vertAlign w:val="superscript"/>
        </w:rPr>
        <w:fldChar w:fldCharType="separate"/>
      </w:r>
      <w:r w:rsidR="001A283B">
        <w:rPr>
          <w:rStyle w:val="Ohne"/>
          <w:rFonts w:ascii="Cambria" w:eastAsia="Arial" w:hAnsi="Cambria" w:cs="Arial"/>
          <w:spacing w:val="-1"/>
          <w:sz w:val="20"/>
          <w:szCs w:val="20"/>
          <w:vertAlign w:val="superscript"/>
        </w:rPr>
        <w:t>576</w:t>
      </w:r>
      <w:r w:rsidR="006B2B71">
        <w:rPr>
          <w:rStyle w:val="Ohne"/>
          <w:rFonts w:ascii="Cambria" w:eastAsia="Arial" w:hAnsi="Cambria" w:cs="Arial"/>
          <w:spacing w:val="-1"/>
          <w:sz w:val="20"/>
          <w:szCs w:val="20"/>
          <w:vertAlign w:val="superscript"/>
        </w:rPr>
        <w:fldChar w:fldCharType="end"/>
      </w:r>
      <w:r w:rsidR="00447357" w:rsidRPr="00207748">
        <w:rPr>
          <w:rStyle w:val="Ohne"/>
          <w:rFonts w:ascii="Cambria" w:hAnsi="Cambria" w:cs="Arial"/>
          <w:spacing w:val="-1"/>
          <w:sz w:val="20"/>
          <w:szCs w:val="20"/>
        </w:rPr>
        <w:t>hinsichtlich des Flüssigkeits</w:t>
      </w:r>
      <w:r w:rsidR="00450FED">
        <w:rPr>
          <w:rStyle w:val="Ohne"/>
          <w:rFonts w:ascii="Cambria" w:hAnsi="Cambria" w:cs="Arial"/>
          <w:spacing w:val="-1"/>
          <w:sz w:val="20"/>
          <w:szCs w:val="20"/>
        </w:rPr>
        <w:t>m</w:t>
      </w:r>
      <w:r w:rsidR="00447357" w:rsidRPr="00207748">
        <w:rPr>
          <w:rStyle w:val="Ohne"/>
          <w:rFonts w:ascii="Cambria" w:hAnsi="Cambria" w:cs="Arial"/>
          <w:spacing w:val="-1"/>
          <w:sz w:val="20"/>
          <w:szCs w:val="20"/>
        </w:rPr>
        <w:t xml:space="preserve">anagements. </w:t>
      </w:r>
    </w:p>
    <w:p w14:paraId="3860138F" w14:textId="4BD496B2" w:rsidR="00E11869" w:rsidRPr="00207748" w:rsidRDefault="00447357" w:rsidP="004454B6">
      <w:pPr>
        <w:spacing w:before="240"/>
        <w:rPr>
          <w:rStyle w:val="Ohne"/>
          <w:rFonts w:ascii="Cambria" w:eastAsia="Arial" w:hAnsi="Cambria" w:cs="Arial"/>
          <w:spacing w:val="-1"/>
          <w:sz w:val="20"/>
          <w:szCs w:val="20"/>
        </w:rPr>
      </w:pPr>
      <w:r w:rsidRPr="00207748">
        <w:rPr>
          <w:rStyle w:val="Ohne"/>
          <w:rFonts w:ascii="Cambria" w:hAnsi="Cambria" w:cs="Arial"/>
          <w:spacing w:val="-1"/>
          <w:sz w:val="20"/>
          <w:szCs w:val="20"/>
        </w:rPr>
        <w:t xml:space="preserve">Zwei </w:t>
      </w:r>
      <w:r w:rsidR="00D84DD3" w:rsidRPr="00DC4B69">
        <w:rPr>
          <w:rStyle w:val="Ohne"/>
          <w:rFonts w:ascii="Cambria" w:hAnsi="Cambria" w:cs="Arial"/>
          <w:spacing w:val="-1"/>
          <w:sz w:val="20"/>
          <w:szCs w:val="20"/>
        </w:rPr>
        <w:t>weitere</w:t>
      </w:r>
      <w:r w:rsidRPr="00207748">
        <w:rPr>
          <w:rStyle w:val="Ohne"/>
          <w:rFonts w:ascii="Cambria" w:hAnsi="Cambria" w:cs="Arial"/>
          <w:spacing w:val="-1"/>
          <w:sz w:val="20"/>
          <w:szCs w:val="20"/>
        </w:rPr>
        <w:t xml:space="preserve"> RCTs zur </w:t>
      </w:r>
      <w:r w:rsidR="00D84DD3" w:rsidRPr="00DC4B69">
        <w:rPr>
          <w:rStyle w:val="Ohne"/>
          <w:rFonts w:ascii="Cambria" w:hAnsi="Cambria" w:cs="Arial"/>
          <w:spacing w:val="-1"/>
          <w:sz w:val="20"/>
          <w:szCs w:val="20"/>
        </w:rPr>
        <w:t>Wirksamkeit</w:t>
      </w:r>
      <w:r w:rsidRPr="00D84DD3">
        <w:rPr>
          <w:rStyle w:val="Ohne"/>
          <w:rFonts w:ascii="Cambria" w:hAnsi="Cambria" w:cs="Arial"/>
          <w:spacing w:val="-1"/>
          <w:sz w:val="20"/>
          <w:szCs w:val="20"/>
        </w:rPr>
        <w:t xml:space="preserve"> </w:t>
      </w:r>
      <w:r w:rsidR="00450FED" w:rsidRPr="00D84DD3">
        <w:rPr>
          <w:rStyle w:val="Ohne"/>
          <w:rFonts w:ascii="Cambria" w:hAnsi="Cambria" w:cs="Arial"/>
          <w:spacing w:val="-1"/>
          <w:sz w:val="20"/>
          <w:szCs w:val="20"/>
        </w:rPr>
        <w:t xml:space="preserve">einer </w:t>
      </w:r>
      <w:r w:rsidRPr="00207748">
        <w:rPr>
          <w:rStyle w:val="Ohne"/>
          <w:rFonts w:ascii="Cambria" w:hAnsi="Cambria" w:cs="Arial"/>
          <w:spacing w:val="-1"/>
          <w:sz w:val="20"/>
          <w:szCs w:val="20"/>
        </w:rPr>
        <w:t xml:space="preserve">kontinuierlichen Nierenersatztherapiewurden </w:t>
      </w:r>
      <w:r w:rsidR="00D84DD3" w:rsidRPr="00DC4B69">
        <w:rPr>
          <w:rStyle w:val="Ohne"/>
          <w:rFonts w:ascii="Cambria" w:hAnsi="Cambria" w:cs="Arial"/>
          <w:spacing w:val="-1"/>
          <w:sz w:val="20"/>
          <w:szCs w:val="20"/>
        </w:rPr>
        <w:t>kürzlich publiziert</w:t>
      </w:r>
      <w:r w:rsidR="00EF1A9E">
        <w:rPr>
          <w:rStyle w:val="Ohne"/>
          <w:rFonts w:ascii="Cambria" w:hAnsi="Cambria" w:cs="Arial"/>
          <w:spacing w:val="-1"/>
          <w:sz w:val="20"/>
          <w:szCs w:val="20"/>
        </w:rPr>
        <w:t>.</w:t>
      </w:r>
      <w:r w:rsidR="00EF1A9E">
        <w:rPr>
          <w:rStyle w:val="Ohne"/>
          <w:rFonts w:ascii="Cambria" w:eastAsia="Arial" w:hAnsi="Cambria" w:cs="Arial"/>
          <w:spacing w:val="-1"/>
          <w:sz w:val="20"/>
          <w:szCs w:val="20"/>
          <w:vertAlign w:val="superscript"/>
        </w:rPr>
        <w:t>.</w:t>
      </w:r>
      <w:r w:rsidRPr="00207748">
        <w:rPr>
          <w:rStyle w:val="Ohne"/>
          <w:rFonts w:ascii="Cambria" w:hAnsi="Cambria" w:cs="Arial"/>
          <w:spacing w:val="-1"/>
          <w:sz w:val="20"/>
          <w:szCs w:val="20"/>
        </w:rPr>
        <w:t xml:space="preserve">Beide Studien beinhalteten Patienten mit Sepsis und </w:t>
      </w:r>
      <w:r w:rsidRPr="00D84DD3">
        <w:rPr>
          <w:rStyle w:val="Ohne"/>
          <w:rFonts w:ascii="Cambria" w:hAnsi="Cambria" w:cs="Arial"/>
          <w:spacing w:val="-1"/>
          <w:sz w:val="20"/>
          <w:szCs w:val="20"/>
        </w:rPr>
        <w:t>akute</w:t>
      </w:r>
      <w:r w:rsidR="00D84DD3" w:rsidRPr="00DC4B69">
        <w:rPr>
          <w:rStyle w:val="Ohne"/>
          <w:rFonts w:ascii="Cambria" w:hAnsi="Cambria" w:cs="Arial"/>
          <w:spacing w:val="-1"/>
          <w:sz w:val="20"/>
          <w:szCs w:val="20"/>
        </w:rPr>
        <w:t xml:space="preserve">m </w:t>
      </w:r>
      <w:r w:rsidRPr="00D84DD3">
        <w:rPr>
          <w:rStyle w:val="Ohne"/>
          <w:rFonts w:ascii="Cambria" w:hAnsi="Cambria" w:cs="Arial"/>
          <w:spacing w:val="-1"/>
          <w:sz w:val="20"/>
          <w:szCs w:val="20"/>
        </w:rPr>
        <w:t>Nieren</w:t>
      </w:r>
      <w:r w:rsidR="00D84DD3" w:rsidRPr="00DC4B69">
        <w:rPr>
          <w:rStyle w:val="Ohne"/>
          <w:rFonts w:ascii="Cambria" w:hAnsi="Cambria" w:cs="Arial"/>
          <w:spacing w:val="-1"/>
          <w:sz w:val="20"/>
          <w:szCs w:val="20"/>
        </w:rPr>
        <w:t>versagen</w:t>
      </w:r>
      <w:r w:rsidRPr="00D84DD3">
        <w:rPr>
          <w:rStyle w:val="Ohne"/>
          <w:rFonts w:ascii="Cambria" w:hAnsi="Cambria" w:cs="Arial"/>
          <w:spacing w:val="-1"/>
          <w:sz w:val="20"/>
          <w:szCs w:val="20"/>
        </w:rPr>
        <w:t xml:space="preserve"> </w:t>
      </w:r>
      <w:r w:rsidRPr="00207748">
        <w:rPr>
          <w:rStyle w:val="Ohne"/>
          <w:rFonts w:ascii="Cambria" w:hAnsi="Cambria" w:cs="Arial"/>
          <w:spacing w:val="-1"/>
          <w:sz w:val="20"/>
          <w:szCs w:val="20"/>
        </w:rPr>
        <w:t>und zeigten keinen Unterschied in Bezug auf die Mortalität im Zusammenhang mit einer höheren Nierenersatztherapie-Dosis</w:t>
      </w:r>
      <w:r w:rsidR="00D84DD3" w:rsidRPr="00DC4B69">
        <w:rPr>
          <w:rStyle w:val="Ohne"/>
          <w:rFonts w:ascii="Cambria" w:hAnsi="Cambria" w:cs="Arial"/>
          <w:spacing w:val="-1"/>
          <w:sz w:val="20"/>
          <w:szCs w:val="20"/>
        </w:rPr>
        <w:t xml:space="preserve"> auf</w:t>
      </w:r>
      <w:r w:rsidRPr="00207748">
        <w:rPr>
          <w:rStyle w:val="Ohne"/>
          <w:rFonts w:ascii="Cambria" w:hAnsi="Cambria" w:cs="Arial"/>
          <w:spacing w:val="-1"/>
          <w:sz w:val="20"/>
          <w:szCs w:val="20"/>
        </w:rPr>
        <w:t xml:space="preserve">. Zwei große, multizentrische, randomisierte Studien zum Vergleich der Dosis einer Nierenersatztherapie (Acute Renal Failure Trial Network in den USA und die RENAL-Studie in Australien und Neuseeland) konnten ebenfalls keinen Vorteil </w:t>
      </w:r>
      <w:r w:rsidRPr="00207748">
        <w:rPr>
          <w:rStyle w:val="Ohne"/>
          <w:rFonts w:ascii="Cambria" w:hAnsi="Cambria" w:cs="Arial"/>
          <w:spacing w:val="-1"/>
          <w:sz w:val="20"/>
          <w:szCs w:val="20"/>
        </w:rPr>
        <w:lastRenderedPageBreak/>
        <w:t>einer aggressiveren Dosierung der Nierenersatztherapie nachweisen</w:t>
      </w:r>
      <w:r w:rsidRPr="00207748">
        <w:rPr>
          <w:rStyle w:val="Ohne"/>
          <w:rFonts w:ascii="Cambria" w:eastAsia="Arial" w:hAnsi="Cambria" w:cs="Arial"/>
          <w:spacing w:val="-1"/>
          <w:sz w:val="20"/>
          <w:szCs w:val="20"/>
          <w:vertAlign w:val="superscript"/>
        </w:rPr>
        <w:endnoteReference w:id="525"/>
      </w:r>
      <w:r w:rsidRPr="00207748">
        <w:rPr>
          <w:rStyle w:val="Ohne"/>
          <w:rFonts w:ascii="Cambria" w:hAnsi="Cambria" w:cs="Arial"/>
          <w:spacing w:val="-1"/>
          <w:sz w:val="20"/>
          <w:szCs w:val="20"/>
        </w:rPr>
        <w:t xml:space="preserve"> </w:t>
      </w:r>
      <w:r w:rsidRPr="00207748">
        <w:rPr>
          <w:rStyle w:val="Ohne"/>
          <w:rFonts w:ascii="Cambria" w:eastAsia="Arial" w:hAnsi="Cambria" w:cs="Arial"/>
          <w:spacing w:val="-1"/>
          <w:sz w:val="20"/>
          <w:szCs w:val="20"/>
          <w:vertAlign w:val="superscript"/>
        </w:rPr>
        <w:endnoteReference w:id="526"/>
      </w:r>
      <w:r w:rsidRPr="00207748">
        <w:rPr>
          <w:rStyle w:val="Ohne"/>
          <w:rFonts w:ascii="Cambria" w:hAnsi="Cambria" w:cs="Arial"/>
          <w:spacing w:val="-1"/>
          <w:sz w:val="20"/>
          <w:szCs w:val="20"/>
        </w:rPr>
        <w:t>. Eine Meta-Analyse der Sepsis-Patienten, die in alle relevanten RCTs einbezogen wurden (n = 1.505), demonstrierte keinen signifikanten Zusammenhang zwischen der Dosis und der Mortalität; wobei jedoch die Punktschätzung vorteilhafter für kontinuierlichen Nierenersatztherapie-Dosen &gt;30ml/kg/Stunde ausfiel. Wegen des Verzerrungspotenzials, der Inkonsistenz und der Ungenauigkeit ist das Vertrauen in die Schätzung sehr gering; daher sollten weitere Studien zu diesem Aspekt durchgeführt werden. Eine typische Dosis für eine kontinuierliche Nierenersatztherapie wäre 20-25 ml/kg/Stunde</w:t>
      </w:r>
      <w:r w:rsidR="00D84DD3">
        <w:rPr>
          <w:rStyle w:val="Ohne"/>
          <w:rFonts w:ascii="Cambria" w:hAnsi="Cambria" w:cs="Arial"/>
          <w:spacing w:val="-1"/>
          <w:sz w:val="20"/>
          <w:szCs w:val="20"/>
        </w:rPr>
        <w:t>.</w:t>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02"/>
        <w:gridCol w:w="850"/>
      </w:tblGrid>
      <w:tr w:rsidR="00E11869" w:rsidRPr="00207748" w14:paraId="566BBE64"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8DB1A68" w14:textId="77777777" w:rsidR="00E11869" w:rsidRPr="00207748" w:rsidRDefault="00447357" w:rsidP="004454B6">
            <w:pPr>
              <w:rPr>
                <w:rStyle w:val="Ohne"/>
                <w:rFonts w:ascii="Cambria" w:hAnsi="Cambria"/>
                <w:b/>
                <w:bCs/>
                <w:sz w:val="20"/>
                <w:szCs w:val="20"/>
              </w:rPr>
            </w:pPr>
            <w:r w:rsidRPr="00207748">
              <w:rPr>
                <w:rStyle w:val="Ohne"/>
                <w:rFonts w:ascii="Cambria" w:hAnsi="Cambria" w:cs="Arial"/>
                <w:b/>
                <w:bCs/>
                <w:sz w:val="20"/>
                <w:szCs w:val="20"/>
              </w:rPr>
              <w:t>P.3</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890F03B"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1B5CE938"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265C0007" w14:textId="77777777" w:rsidTr="00334AF5">
        <w:trPr>
          <w:trHeight w:val="493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3F33E"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Empfehlungsgrad</w:t>
            </w:r>
          </w:p>
          <w:p w14:paraId="41478776" w14:textId="77777777" w:rsidR="00E11869" w:rsidRPr="00207748" w:rsidRDefault="00E11869" w:rsidP="004454B6">
            <w:pPr>
              <w:spacing w:after="0"/>
              <w:rPr>
                <w:rStyle w:val="Ohne"/>
                <w:rFonts w:ascii="Cambria" w:eastAsia="Arial" w:hAnsi="Cambria" w:cs="Arial"/>
                <w:sz w:val="20"/>
                <w:szCs w:val="20"/>
              </w:rPr>
            </w:pPr>
          </w:p>
          <w:p w14:paraId="7024901B" w14:textId="77777777" w:rsidR="00E11869" w:rsidRPr="00207748" w:rsidRDefault="00447357" w:rsidP="004454B6">
            <w:pPr>
              <w:spacing w:after="0"/>
              <w:rPr>
                <w:rStyle w:val="Ohne"/>
                <w:rFonts w:ascii="Cambria" w:eastAsia="Arial" w:hAnsi="Cambria" w:cs="Arial"/>
                <w:b/>
                <w:bCs/>
                <w:sz w:val="20"/>
                <w:szCs w:val="20"/>
              </w:rPr>
            </w:pPr>
            <w:r w:rsidRPr="00207748">
              <w:rPr>
                <w:rStyle w:val="Ohne"/>
                <w:rFonts w:ascii="Cambria" w:hAnsi="Cambria" w:cs="Arial"/>
                <w:b/>
                <w:bCs/>
                <w:sz w:val="20"/>
                <w:szCs w:val="20"/>
              </w:rPr>
              <w:t>schwach</w:t>
            </w:r>
          </w:p>
          <w:p w14:paraId="45B95EA2" w14:textId="77777777" w:rsidR="00E11869" w:rsidRPr="00207748" w:rsidRDefault="00E11869" w:rsidP="004454B6">
            <w:pPr>
              <w:spacing w:after="0"/>
              <w:rPr>
                <w:rStyle w:val="Ohne"/>
                <w:rFonts w:ascii="Cambria" w:eastAsia="Arial" w:hAnsi="Cambria" w:cs="Arial"/>
                <w:sz w:val="20"/>
                <w:szCs w:val="20"/>
              </w:rPr>
            </w:pPr>
          </w:p>
          <w:p w14:paraId="73704C62"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Evidenzgrad</w:t>
            </w:r>
          </w:p>
          <w:p w14:paraId="362F3C25" w14:textId="77777777" w:rsidR="00E11869" w:rsidRPr="00207748" w:rsidRDefault="00E11869" w:rsidP="004454B6">
            <w:pPr>
              <w:spacing w:after="0"/>
              <w:rPr>
                <w:rStyle w:val="Ohne"/>
                <w:rFonts w:ascii="Cambria" w:eastAsia="Arial" w:hAnsi="Cambria" w:cs="Arial"/>
                <w:sz w:val="20"/>
                <w:szCs w:val="20"/>
              </w:rPr>
            </w:pPr>
          </w:p>
          <w:p w14:paraId="4D232AB0"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niedrig</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97435" w14:textId="424485BB"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Wir schlagen vor, dass von einer Verwendung von Nierenersatz</w:t>
            </w:r>
            <w:r w:rsidR="00B26F79">
              <w:rPr>
                <w:rStyle w:val="Ohne"/>
                <w:rFonts w:ascii="Cambria" w:hAnsi="Cambria" w:cs="Arial"/>
                <w:b/>
                <w:bCs/>
                <w:sz w:val="20"/>
                <w:szCs w:val="20"/>
              </w:rPr>
              <w:t>-</w:t>
            </w:r>
            <w:r w:rsidRPr="00207748">
              <w:rPr>
                <w:rStyle w:val="Ohne"/>
                <w:rFonts w:ascii="Cambria" w:hAnsi="Cambria" w:cs="Arial"/>
                <w:b/>
                <w:bCs/>
                <w:sz w:val="20"/>
                <w:szCs w:val="20"/>
              </w:rPr>
              <w:t>verfahren bei Patienten mit Sepsis und akutem Nierenversagen wegen einer Erhöhung des Kreatinins oder einer Oligurie abgesehen wird, ohne dass Indikationen für ein Nierenersatzverfahren vorliegen (z. B. therapierefraktäre Überwässerung, Azidose, Hyperkaliämie oder Urämie</w:t>
            </w:r>
            <w:r w:rsidR="00B26F79">
              <w:rPr>
                <w:rStyle w:val="Ohne"/>
                <w:rFonts w:ascii="Cambria" w:hAnsi="Cambria" w:cs="Arial"/>
                <w:b/>
                <w:bCs/>
                <w:sz w:val="20"/>
                <w:szCs w:val="20"/>
              </w:rPr>
              <w:t>-</w:t>
            </w:r>
            <w:r w:rsidRPr="00207748">
              <w:rPr>
                <w:rStyle w:val="Ohne"/>
                <w:rFonts w:ascii="Cambria" w:hAnsi="Cambria" w:cs="Arial"/>
                <w:b/>
                <w:bCs/>
                <w:sz w:val="20"/>
                <w:szCs w:val="20"/>
              </w:rPr>
              <w:t>symptome).</w:t>
            </w:r>
          </w:p>
        </w:tc>
      </w:tr>
      <w:tr w:rsidR="00E11869" w:rsidRPr="00207748" w14:paraId="02EA74E6" w14:textId="77777777" w:rsidTr="00342FB3">
        <w:trPr>
          <w:trHeight w:val="56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3279E02A"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97A03" w14:textId="77777777" w:rsidR="00E11869" w:rsidRPr="00207748" w:rsidRDefault="00342FB3" w:rsidP="004454B6">
            <w:pPr>
              <w:spacing w:after="0"/>
              <w:rPr>
                <w:rFonts w:ascii="Cambria" w:hAnsi="Cambria" w:cs="Arial"/>
                <w:sz w:val="20"/>
                <w:szCs w:val="20"/>
              </w:rPr>
            </w:pPr>
            <w:r w:rsidRPr="00207748">
              <w:rPr>
                <w:rStyle w:val="Ohne"/>
                <w:rFonts w:ascii="Cambria" w:hAnsi="Cambria" w:cs="Arial"/>
                <w:b/>
                <w:bCs/>
                <w:sz w:val="20"/>
                <w:szCs w:val="20"/>
              </w:rPr>
              <w:t>SSC-</w:t>
            </w:r>
            <w:r w:rsidR="00447357" w:rsidRPr="00207748">
              <w:rPr>
                <w:rStyle w:val="Ohne"/>
                <w:rFonts w:ascii="Cambria" w:hAnsi="Cambria" w:cs="Arial"/>
                <w:b/>
                <w:bCs/>
                <w:sz w:val="20"/>
                <w:szCs w:val="20"/>
              </w:rPr>
              <w:t>Leitlinien</w:t>
            </w:r>
            <w:r w:rsidR="00E873A9" w:rsidRPr="00207748">
              <w:rPr>
                <w:rStyle w:val="Ohne"/>
                <w:rFonts w:ascii="Cambria" w:hAnsi="Cambria" w:cs="Arial"/>
                <w:b/>
                <w:bCs/>
                <w:sz w:val="20"/>
                <w:szCs w:val="20"/>
              </w:rPr>
              <w:t>adaptation</w:t>
            </w:r>
          </w:p>
        </w:tc>
      </w:tr>
      <w:tr w:rsidR="00E11869" w:rsidRPr="00207748" w14:paraId="1CDA9B94"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34AAE"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4FF14"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 xml:space="preserve">Konsensstärke: 100 % </w:t>
            </w:r>
          </w:p>
        </w:tc>
      </w:tr>
    </w:tbl>
    <w:p w14:paraId="098F332B" w14:textId="0315859D" w:rsidR="00E11869" w:rsidRPr="00207748" w:rsidRDefault="00447357" w:rsidP="004454B6">
      <w:pPr>
        <w:spacing w:before="240"/>
        <w:rPr>
          <w:rStyle w:val="Ohne"/>
          <w:rFonts w:ascii="Cambria" w:eastAsia="Arial" w:hAnsi="Cambria" w:cs="Arial"/>
          <w:spacing w:val="-2"/>
          <w:sz w:val="20"/>
          <w:szCs w:val="20"/>
        </w:rPr>
      </w:pPr>
      <w:r w:rsidRPr="00207748">
        <w:rPr>
          <w:rStyle w:val="Ohne"/>
          <w:rFonts w:ascii="Cambria" w:hAnsi="Cambria" w:cs="Arial"/>
          <w:spacing w:val="-2"/>
          <w:sz w:val="20"/>
          <w:szCs w:val="20"/>
        </w:rPr>
        <w:t>Eine kleine Studie aus dem Jahr 2002</w:t>
      </w:r>
      <w:r w:rsidR="006B2B71">
        <w:rPr>
          <w:rStyle w:val="Ohne"/>
          <w:rFonts w:ascii="Cambria" w:hAnsi="Cambria" w:cs="Arial"/>
          <w:spacing w:val="-2"/>
          <w:sz w:val="20"/>
          <w:szCs w:val="20"/>
        </w:rPr>
        <w:t xml:space="preserve"> </w:t>
      </w:r>
      <w:r w:rsidR="00E15D93">
        <w:rPr>
          <w:rStyle w:val="Endnotenzeichen"/>
          <w:rFonts w:ascii="Cambria" w:hAnsi="Cambria" w:cs="Arial"/>
          <w:spacing w:val="-2"/>
          <w:sz w:val="20"/>
          <w:szCs w:val="20"/>
        </w:rPr>
        <w:endnoteReference w:id="527"/>
      </w:r>
      <w:r w:rsidR="00E15D93">
        <w:rPr>
          <w:rStyle w:val="Ohne"/>
          <w:rFonts w:ascii="Cambria" w:hAnsi="Cambria" w:cs="Arial"/>
          <w:spacing w:val="-2"/>
          <w:sz w:val="20"/>
          <w:szCs w:val="20"/>
        </w:rPr>
        <w:t xml:space="preserve"> </w:t>
      </w:r>
      <w:r w:rsidR="006B2B71" w:rsidRPr="006B2B71">
        <w:rPr>
          <w:rStyle w:val="EndnoteRealZchn"/>
        </w:rPr>
        <w:fldChar w:fldCharType="begin"/>
      </w:r>
      <w:r w:rsidR="006B2B71" w:rsidRPr="006B2B71">
        <w:rPr>
          <w:rStyle w:val="EndnoteRealZchn"/>
        </w:rPr>
        <w:instrText xml:space="preserve"> NOTEREF _Ref30604833 \h </w:instrText>
      </w:r>
      <w:r w:rsidR="006B2B71">
        <w:rPr>
          <w:rStyle w:val="EndnoteRealZchn"/>
        </w:rPr>
        <w:instrText xml:space="preserve"> \* MERGEFORMAT </w:instrText>
      </w:r>
      <w:r w:rsidR="006B2B71" w:rsidRPr="006B2B71">
        <w:rPr>
          <w:rStyle w:val="EndnoteRealZchn"/>
        </w:rPr>
      </w:r>
      <w:r w:rsidR="006B2B71" w:rsidRPr="006B2B71">
        <w:rPr>
          <w:rStyle w:val="EndnoteRealZchn"/>
        </w:rPr>
        <w:fldChar w:fldCharType="end"/>
      </w:r>
      <w:r w:rsidRPr="00207748">
        <w:rPr>
          <w:rStyle w:val="Ohne"/>
          <w:rFonts w:ascii="Cambria" w:hAnsi="Cambria" w:cs="Arial"/>
          <w:spacing w:val="-2"/>
          <w:sz w:val="20"/>
          <w:szCs w:val="20"/>
        </w:rPr>
        <w:t xml:space="preserve">evaluierte das frühzeitige im Vergleich zum „späten“ oder „verzögerten“ Ansetzen der Nierenersatztherapie, wobei diese Studie nur vier Patienten mit Sepsis umfasste und keinerlei </w:t>
      </w:r>
      <w:r w:rsidRPr="00207748">
        <w:rPr>
          <w:rStyle w:val="Ohne"/>
          <w:rFonts w:ascii="Cambria" w:hAnsi="Cambria" w:cs="Arial"/>
          <w:spacing w:val="-2"/>
          <w:sz w:val="20"/>
          <w:szCs w:val="20"/>
        </w:rPr>
        <w:lastRenderedPageBreak/>
        <w:t>Vorteile einer frühzeitigen kontinuierliche Nierenersatztherapie nachweisen konnte.</w:t>
      </w:r>
    </w:p>
    <w:p w14:paraId="35A0A77A" w14:textId="7082CD3C" w:rsidR="00FB33A2" w:rsidRDefault="00447357" w:rsidP="00FB33A2">
      <w:pPr>
        <w:rPr>
          <w:rStyle w:val="Ohne"/>
          <w:rFonts w:ascii="Cambria" w:hAnsi="Cambria" w:cs="Arial"/>
          <w:spacing w:val="-4"/>
          <w:sz w:val="20"/>
          <w:szCs w:val="20"/>
        </w:rPr>
      </w:pPr>
      <w:r w:rsidRPr="00207748">
        <w:rPr>
          <w:rStyle w:val="Ohne"/>
          <w:rFonts w:ascii="Cambria" w:hAnsi="Cambria" w:cs="Arial"/>
          <w:spacing w:val="-4"/>
          <w:sz w:val="20"/>
          <w:szCs w:val="20"/>
        </w:rPr>
        <w:t>2016 sind zwei relevante RCTs veröffentlicht worden</w:t>
      </w:r>
      <w:r w:rsidR="006B2B71">
        <w:rPr>
          <w:rStyle w:val="Ohne"/>
          <w:rFonts w:ascii="Cambria" w:hAnsi="Cambria" w:cs="Arial"/>
          <w:spacing w:val="-4"/>
          <w:sz w:val="20"/>
          <w:szCs w:val="20"/>
        </w:rPr>
        <w:t>:</w:t>
      </w:r>
      <w:r w:rsidRPr="00207748">
        <w:rPr>
          <w:rStyle w:val="Ohne"/>
          <w:rFonts w:ascii="Cambria" w:hAnsi="Cambria" w:cs="Arial"/>
          <w:spacing w:val="-4"/>
          <w:sz w:val="20"/>
          <w:szCs w:val="20"/>
        </w:rPr>
        <w:t xml:space="preserve"> Die Ergebnisse suggerieren entweder die Möglichkeit eines Vorteils </w:t>
      </w:r>
      <w:r w:rsidRPr="00207748">
        <w:rPr>
          <w:rStyle w:val="Ohne"/>
          <w:rFonts w:ascii="Cambria" w:eastAsia="Arial" w:hAnsi="Cambria" w:cs="Arial"/>
          <w:spacing w:val="-4"/>
          <w:sz w:val="20"/>
          <w:szCs w:val="20"/>
          <w:vertAlign w:val="superscript"/>
        </w:rPr>
        <w:endnoteReference w:id="528"/>
      </w:r>
      <w:r w:rsidR="00E15D93">
        <w:rPr>
          <w:rStyle w:val="Ohne"/>
          <w:rFonts w:ascii="Cambria" w:hAnsi="Cambria" w:cs="Arial"/>
          <w:spacing w:val="-4"/>
          <w:sz w:val="20"/>
          <w:szCs w:val="20"/>
        </w:rPr>
        <w:t xml:space="preserve"> </w:t>
      </w:r>
      <w:r w:rsidRPr="00207748">
        <w:rPr>
          <w:rStyle w:val="Ohne"/>
          <w:rFonts w:ascii="Cambria" w:hAnsi="Cambria" w:cs="Arial"/>
          <w:spacing w:val="-4"/>
          <w:sz w:val="20"/>
          <w:szCs w:val="20"/>
        </w:rPr>
        <w:t xml:space="preserve">oder die eines Nachteils </w:t>
      </w:r>
      <w:r w:rsidRPr="00207748">
        <w:rPr>
          <w:rStyle w:val="Ohne"/>
          <w:rFonts w:ascii="Cambria" w:eastAsia="Arial" w:hAnsi="Cambria" w:cs="Arial"/>
          <w:spacing w:val="-4"/>
          <w:sz w:val="20"/>
          <w:szCs w:val="20"/>
          <w:vertAlign w:val="superscript"/>
        </w:rPr>
        <w:endnoteReference w:id="529"/>
      </w:r>
      <w:r w:rsidRPr="00207748">
        <w:rPr>
          <w:rStyle w:val="Ohne"/>
          <w:rFonts w:ascii="Cambria" w:hAnsi="Cambria" w:cs="Arial"/>
          <w:spacing w:val="-4"/>
          <w:sz w:val="20"/>
          <w:szCs w:val="20"/>
        </w:rPr>
        <w:t xml:space="preserve"> im Zusammenhang mit der Mortalität und deuten auf einen erhöhten Einsatz von Dialyse sowie von Katheter-Infektionen bei einer frühzeitigen Nierenersatztherapie hin. Die Indikationskriterien und der Zeitpunkt des Beginns der Nierenersatztherapie unterschieden sich bei den beiden Studien. Die Ergebnisse wurden als Ergebnisse niedriger Evidenzsicherheit beurteilt, basierend auf der Indirektheit (viele nicht-septische Patienten) und der Ungenauigkeit im Hinblick auf die Mortalität. Die Möglichkeit einer Schädigung (z.B. Katheter-Infektionen) verschiebt die Abwägung des Risikos und des Nutzens in Richtung eines späteren Beginns einer Nierenersatztherapie. Gleichzeitig scheinen die unerwünschten Effekte und Kosten die erwünschten Folgen aufzuwiegen. Daher schlagen wir vor, dass von einer Verwendung einer Nierenersatztherapie bei Patienten mit Sepsis und akuten Nierenschäden nur wegen einer Erhöhung des Kreatinins oder einer Oligurie abgesehen wird, ohne dass sonstige definitive Indikationen für eine Dialyse vorliegen.</w:t>
      </w:r>
      <w:bookmarkStart w:id="465" w:name="_Toc25845125"/>
    </w:p>
    <w:p w14:paraId="3698EA3B" w14:textId="6897FAEC" w:rsidR="00DA3A66" w:rsidRDefault="00DA3A66" w:rsidP="00FB33A2">
      <w:pPr>
        <w:rPr>
          <w:rStyle w:val="Ohne"/>
          <w:rFonts w:ascii="Cambria" w:hAnsi="Cambria" w:cs="Arial"/>
          <w:spacing w:val="-4"/>
          <w:sz w:val="20"/>
          <w:szCs w:val="20"/>
        </w:rPr>
      </w:pPr>
    </w:p>
    <w:p w14:paraId="29822FCA" w14:textId="41C3FDA5" w:rsidR="00DA3A66" w:rsidRDefault="00DA3A66" w:rsidP="00FB33A2">
      <w:pPr>
        <w:rPr>
          <w:rStyle w:val="Ohne"/>
          <w:rFonts w:ascii="Cambria" w:hAnsi="Cambria" w:cs="Arial"/>
          <w:spacing w:val="-4"/>
          <w:sz w:val="20"/>
          <w:szCs w:val="20"/>
        </w:rPr>
      </w:pPr>
    </w:p>
    <w:p w14:paraId="16E685A0" w14:textId="094FFC80" w:rsidR="00DA3A66" w:rsidRDefault="00DA3A66" w:rsidP="00FB33A2">
      <w:pPr>
        <w:rPr>
          <w:rStyle w:val="Ohne"/>
          <w:rFonts w:ascii="Cambria" w:hAnsi="Cambria" w:cs="Arial"/>
          <w:spacing w:val="-4"/>
          <w:sz w:val="20"/>
          <w:szCs w:val="20"/>
        </w:rPr>
      </w:pPr>
    </w:p>
    <w:p w14:paraId="5C9677A4" w14:textId="34E5188A" w:rsidR="00DA3A66" w:rsidRDefault="00DA3A66" w:rsidP="00FB33A2">
      <w:pPr>
        <w:rPr>
          <w:rStyle w:val="Ohne"/>
          <w:rFonts w:ascii="Cambria" w:hAnsi="Cambria" w:cs="Arial"/>
          <w:spacing w:val="-4"/>
          <w:sz w:val="20"/>
          <w:szCs w:val="20"/>
        </w:rPr>
      </w:pPr>
    </w:p>
    <w:p w14:paraId="53EB2B97" w14:textId="471766DA" w:rsidR="00DA3A66" w:rsidRDefault="00DA3A66" w:rsidP="00FB33A2">
      <w:pPr>
        <w:rPr>
          <w:rStyle w:val="Ohne"/>
          <w:rFonts w:ascii="Cambria" w:hAnsi="Cambria" w:cs="Arial"/>
          <w:spacing w:val="-4"/>
          <w:sz w:val="20"/>
          <w:szCs w:val="20"/>
        </w:rPr>
      </w:pPr>
    </w:p>
    <w:p w14:paraId="67D196DB" w14:textId="2A945EC5" w:rsidR="00DA3A66" w:rsidRDefault="00DA3A66" w:rsidP="00FB33A2">
      <w:pPr>
        <w:rPr>
          <w:rStyle w:val="Ohne"/>
          <w:rFonts w:ascii="Cambria" w:hAnsi="Cambria" w:cs="Arial"/>
          <w:spacing w:val="-4"/>
          <w:sz w:val="20"/>
          <w:szCs w:val="20"/>
        </w:rPr>
      </w:pPr>
    </w:p>
    <w:p w14:paraId="19048290" w14:textId="77777777" w:rsidR="00DA3A66" w:rsidRPr="00207748" w:rsidRDefault="00DA3A66" w:rsidP="00FB33A2">
      <w:pPr>
        <w:rPr>
          <w:rStyle w:val="Ohne"/>
          <w:rFonts w:ascii="Cambria" w:eastAsia="Arial" w:hAnsi="Cambria" w:cs="Arial"/>
          <w:b/>
          <w:bCs/>
          <w:sz w:val="20"/>
          <w:szCs w:val="20"/>
          <w:u w:val="single"/>
        </w:rPr>
      </w:pPr>
    </w:p>
    <w:p w14:paraId="0EDB554B" w14:textId="77777777" w:rsidR="00E11869" w:rsidRPr="00182D07" w:rsidRDefault="00447357" w:rsidP="004454B6">
      <w:pPr>
        <w:pStyle w:val="berschrift2"/>
        <w:rPr>
          <w:b w:val="0"/>
        </w:rPr>
      </w:pPr>
      <w:bookmarkStart w:id="466" w:name="_Toc437861472"/>
      <w:bookmarkStart w:id="467" w:name="_Toc31278510"/>
      <w:r w:rsidRPr="00182D07">
        <w:rPr>
          <w:rStyle w:val="Ohne"/>
        </w:rPr>
        <w:t>Q. Bicarbonattherapie</w:t>
      </w:r>
      <w:bookmarkEnd w:id="465"/>
      <w:bookmarkEnd w:id="466"/>
      <w:bookmarkEnd w:id="467"/>
    </w:p>
    <w:p w14:paraId="0F63D4B9" w14:textId="77777777" w:rsidR="00E11869" w:rsidRPr="00207748" w:rsidRDefault="00E11869" w:rsidP="00FB33A2">
      <w:pPr>
        <w:pStyle w:val="KeinLeerraum"/>
        <w:rPr>
          <w:rStyle w:val="Ohne"/>
          <w:iCs/>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65"/>
        <w:gridCol w:w="1624"/>
        <w:gridCol w:w="944"/>
      </w:tblGrid>
      <w:tr w:rsidR="00E11869" w:rsidRPr="00207748" w14:paraId="4EF59C7E" w14:textId="77777777" w:rsidTr="00DA3A66">
        <w:trPr>
          <w:trHeight w:val="282"/>
        </w:trPr>
        <w:tc>
          <w:tcPr>
            <w:tcW w:w="2037"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03E472B6" w14:textId="77777777" w:rsidR="00E11869" w:rsidRPr="00207748" w:rsidRDefault="00447357" w:rsidP="004454B6">
            <w:pPr>
              <w:rPr>
                <w:rStyle w:val="Ohne"/>
                <w:rFonts w:ascii="Cambria" w:hAnsi="Cambria"/>
                <w:b/>
                <w:bCs/>
                <w:sz w:val="20"/>
                <w:szCs w:val="20"/>
              </w:rPr>
            </w:pPr>
            <w:r w:rsidRPr="00207748">
              <w:rPr>
                <w:rStyle w:val="Ohne"/>
                <w:rFonts w:ascii="Cambria" w:hAnsi="Cambria" w:cs="Arial"/>
                <w:b/>
                <w:bCs/>
                <w:sz w:val="20"/>
                <w:szCs w:val="20"/>
              </w:rPr>
              <w:t>Q.1</w:t>
            </w:r>
          </w:p>
        </w:tc>
        <w:tc>
          <w:tcPr>
            <w:tcW w:w="1874"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E1157C0"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 xml:space="preserve">Empfehlung </w:t>
            </w:r>
          </w:p>
        </w:tc>
        <w:tc>
          <w:tcPr>
            <w:tcW w:w="1089"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2A606453"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21B1F0AC" w14:textId="77777777" w:rsidTr="00DA3A66">
        <w:trPr>
          <w:trHeight w:val="3596"/>
        </w:trPr>
        <w:tc>
          <w:tcPr>
            <w:tcW w:w="2037"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16D88"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lastRenderedPageBreak/>
              <w:t>Empfehlungsgrad</w:t>
            </w:r>
          </w:p>
          <w:p w14:paraId="6353D97D" w14:textId="77777777" w:rsidR="00E11869" w:rsidRPr="00207748" w:rsidRDefault="00E11869" w:rsidP="004454B6">
            <w:pPr>
              <w:spacing w:after="0"/>
              <w:rPr>
                <w:rStyle w:val="Ohne"/>
                <w:rFonts w:ascii="Cambria" w:eastAsia="Arial" w:hAnsi="Cambria" w:cs="Arial"/>
                <w:sz w:val="20"/>
                <w:szCs w:val="20"/>
              </w:rPr>
            </w:pPr>
          </w:p>
          <w:p w14:paraId="22CB7D82" w14:textId="77777777" w:rsidR="00E11869" w:rsidRPr="00207748" w:rsidRDefault="00447357" w:rsidP="004454B6">
            <w:pPr>
              <w:spacing w:after="0"/>
              <w:rPr>
                <w:rStyle w:val="Ohne"/>
                <w:rFonts w:ascii="Cambria" w:eastAsia="Arial" w:hAnsi="Cambria" w:cs="Arial"/>
                <w:b/>
                <w:bCs/>
                <w:sz w:val="20"/>
                <w:szCs w:val="20"/>
              </w:rPr>
            </w:pPr>
            <w:r w:rsidRPr="00207748">
              <w:rPr>
                <w:rStyle w:val="Ohne"/>
                <w:rFonts w:ascii="Cambria" w:hAnsi="Cambria" w:cs="Arial"/>
                <w:b/>
                <w:bCs/>
                <w:sz w:val="20"/>
                <w:szCs w:val="20"/>
              </w:rPr>
              <w:t>schwach</w:t>
            </w:r>
          </w:p>
          <w:p w14:paraId="739AA9AF" w14:textId="77777777" w:rsidR="00E11869" w:rsidRPr="00207748" w:rsidRDefault="00E11869" w:rsidP="004454B6">
            <w:pPr>
              <w:spacing w:after="0"/>
              <w:rPr>
                <w:rStyle w:val="Ohne"/>
                <w:rFonts w:ascii="Cambria" w:eastAsia="Arial" w:hAnsi="Cambria" w:cs="Arial"/>
                <w:b/>
                <w:bCs/>
                <w:sz w:val="20"/>
                <w:szCs w:val="20"/>
              </w:rPr>
            </w:pPr>
          </w:p>
          <w:p w14:paraId="0F6C8707"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Evidenzqualität</w:t>
            </w:r>
          </w:p>
          <w:p w14:paraId="5184D31C" w14:textId="77777777" w:rsidR="00E11869" w:rsidRPr="00207748" w:rsidRDefault="00E11869" w:rsidP="004454B6">
            <w:pPr>
              <w:spacing w:after="0"/>
              <w:rPr>
                <w:rStyle w:val="Ohne"/>
                <w:rFonts w:ascii="Cambria" w:eastAsia="Arial" w:hAnsi="Cambria" w:cs="Arial"/>
                <w:sz w:val="20"/>
                <w:szCs w:val="20"/>
              </w:rPr>
            </w:pPr>
          </w:p>
          <w:p w14:paraId="6FA3C285" w14:textId="77777777" w:rsidR="00E11869" w:rsidRPr="00207748" w:rsidRDefault="00B20D2B" w:rsidP="004454B6">
            <w:pPr>
              <w:spacing w:after="0"/>
              <w:rPr>
                <w:rFonts w:ascii="Cambria" w:hAnsi="Cambria" w:cs="Arial"/>
                <w:sz w:val="20"/>
                <w:szCs w:val="20"/>
              </w:rPr>
            </w:pPr>
            <w:r w:rsidRPr="00207748">
              <w:rPr>
                <w:rStyle w:val="Ohne"/>
                <w:rFonts w:ascii="Cambria" w:hAnsi="Cambria" w:cs="Arial"/>
                <w:b/>
                <w:bCs/>
                <w:sz w:val="20"/>
                <w:szCs w:val="20"/>
              </w:rPr>
              <w:t>moderat</w:t>
            </w:r>
          </w:p>
        </w:tc>
        <w:tc>
          <w:tcPr>
            <w:tcW w:w="2963"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A50FD" w14:textId="53323072" w:rsidR="00E11869" w:rsidRPr="00207748" w:rsidRDefault="00447357" w:rsidP="004454B6">
            <w:pPr>
              <w:spacing w:after="0"/>
              <w:rPr>
                <w:rFonts w:ascii="Cambria" w:hAnsi="Cambria" w:cs="Arial"/>
                <w:sz w:val="20"/>
                <w:szCs w:val="20"/>
              </w:rPr>
            </w:pPr>
            <w:r w:rsidRPr="00207748">
              <w:rPr>
                <w:rStyle w:val="Ohne"/>
                <w:rFonts w:ascii="Cambria" w:hAnsi="Cambria" w:cs="Arial"/>
                <w:b/>
                <w:bCs/>
                <w:spacing w:val="-2"/>
                <w:sz w:val="20"/>
                <w:szCs w:val="20"/>
              </w:rPr>
              <w:t>Wir schlagen vor, dass von einer Verwendung einer Natriumbicarbonat</w:t>
            </w:r>
            <w:r w:rsidR="00B26F79">
              <w:rPr>
                <w:rStyle w:val="Ohne"/>
                <w:rFonts w:ascii="Cambria" w:hAnsi="Cambria" w:cs="Arial"/>
                <w:b/>
                <w:bCs/>
                <w:spacing w:val="-2"/>
                <w:sz w:val="20"/>
                <w:szCs w:val="20"/>
              </w:rPr>
              <w:t>-</w:t>
            </w:r>
            <w:r w:rsidRPr="00207748">
              <w:rPr>
                <w:rStyle w:val="Ohne"/>
                <w:rFonts w:ascii="Cambria" w:hAnsi="Cambria" w:cs="Arial"/>
                <w:b/>
                <w:bCs/>
                <w:spacing w:val="-2"/>
                <w:sz w:val="20"/>
                <w:szCs w:val="20"/>
              </w:rPr>
              <w:t>therapie zum Zwecke einer Verbesserung der Hämodynamik oder zur Verringerung des Vasopressorbedarfs bei Patienten mit hypoperfusionsinduzierter Laktatazidose und einem pH-Wert von ≥7,15 abgesehen wird</w:t>
            </w:r>
          </w:p>
        </w:tc>
      </w:tr>
      <w:tr w:rsidR="00E11869" w:rsidRPr="00207748" w14:paraId="5AABB682" w14:textId="77777777" w:rsidTr="00DA3A66">
        <w:trPr>
          <w:trHeight w:val="562"/>
        </w:trPr>
        <w:tc>
          <w:tcPr>
            <w:tcW w:w="2037" w:type="pct"/>
            <w:vMerge/>
            <w:tcBorders>
              <w:top w:val="single" w:sz="4" w:space="0" w:color="000000"/>
              <w:left w:val="single" w:sz="4" w:space="0" w:color="000000"/>
              <w:bottom w:val="single" w:sz="4" w:space="0" w:color="000000"/>
              <w:right w:val="single" w:sz="4" w:space="0" w:color="000000"/>
            </w:tcBorders>
            <w:shd w:val="clear" w:color="auto" w:fill="auto"/>
          </w:tcPr>
          <w:p w14:paraId="426ACC94" w14:textId="77777777" w:rsidR="00E11869" w:rsidRPr="00207748" w:rsidRDefault="00E11869" w:rsidP="004454B6">
            <w:pPr>
              <w:rPr>
                <w:rFonts w:ascii="Cambria" w:hAnsi="Cambria" w:cs="Arial"/>
                <w:sz w:val="20"/>
                <w:szCs w:val="20"/>
              </w:rPr>
            </w:pPr>
          </w:p>
        </w:tc>
        <w:tc>
          <w:tcPr>
            <w:tcW w:w="2963"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7184B"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SSC</w:t>
            </w:r>
            <w:r w:rsidR="00420A45" w:rsidRPr="00207748">
              <w:rPr>
                <w:rStyle w:val="Ohne"/>
                <w:rFonts w:ascii="Cambria" w:hAnsi="Cambria" w:cs="Arial"/>
                <w:b/>
                <w:bCs/>
                <w:sz w:val="20"/>
                <w:szCs w:val="20"/>
              </w:rPr>
              <w:t>-</w:t>
            </w:r>
            <w:r w:rsidRPr="00207748">
              <w:rPr>
                <w:rStyle w:val="Ohne"/>
                <w:rFonts w:ascii="Cambria" w:hAnsi="Cambria" w:cs="Arial"/>
                <w:b/>
                <w:bCs/>
                <w:sz w:val="20"/>
                <w:szCs w:val="20"/>
              </w:rPr>
              <w:t xml:space="preserve">Leitlinienadaptation </w:t>
            </w:r>
          </w:p>
        </w:tc>
      </w:tr>
      <w:tr w:rsidR="00E11869" w:rsidRPr="00207748" w14:paraId="52ACB486" w14:textId="77777777" w:rsidTr="00DA3A66">
        <w:trPr>
          <w:trHeight w:val="282"/>
        </w:trPr>
        <w:tc>
          <w:tcPr>
            <w:tcW w:w="20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57B16" w14:textId="77777777" w:rsidR="00E11869" w:rsidRPr="00207748" w:rsidRDefault="00E11869" w:rsidP="004454B6">
            <w:pPr>
              <w:rPr>
                <w:rFonts w:ascii="Cambria" w:hAnsi="Cambria" w:cs="Arial"/>
                <w:sz w:val="20"/>
                <w:szCs w:val="20"/>
              </w:rPr>
            </w:pPr>
          </w:p>
        </w:tc>
        <w:tc>
          <w:tcPr>
            <w:tcW w:w="2963"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FB704"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 xml:space="preserve">Konsensstärke: 100 % </w:t>
            </w:r>
          </w:p>
        </w:tc>
      </w:tr>
    </w:tbl>
    <w:p w14:paraId="6F45C3A4" w14:textId="3CF9AF4F" w:rsidR="00FB33A2" w:rsidRPr="00207748" w:rsidRDefault="00420A45" w:rsidP="00FB33A2">
      <w:pPr>
        <w:spacing w:before="240"/>
        <w:rPr>
          <w:rStyle w:val="Ohne"/>
          <w:rFonts w:ascii="Cambria" w:hAnsi="Cambria" w:cs="Arial"/>
          <w:sz w:val="20"/>
          <w:szCs w:val="20"/>
        </w:rPr>
      </w:pPr>
      <w:r w:rsidRPr="00207748">
        <w:rPr>
          <w:rStyle w:val="Ohne"/>
          <w:rFonts w:ascii="Cambria" w:hAnsi="Cambria" w:cs="Arial"/>
          <w:b/>
          <w:bCs/>
          <w:spacing w:val="-1"/>
          <w:sz w:val="20"/>
          <w:szCs w:val="20"/>
        </w:rPr>
        <w:t>Begründung:</w:t>
      </w:r>
      <w:r w:rsidR="00447357" w:rsidRPr="00207748">
        <w:rPr>
          <w:rStyle w:val="Ohne"/>
          <w:rFonts w:ascii="Cambria" w:hAnsi="Cambria" w:cs="Arial"/>
          <w:b/>
          <w:bCs/>
          <w:iCs/>
          <w:spacing w:val="-1"/>
          <w:sz w:val="20"/>
          <w:szCs w:val="20"/>
        </w:rPr>
        <w:t xml:space="preserve"> </w:t>
      </w:r>
      <w:r w:rsidR="00447357" w:rsidRPr="00207748">
        <w:rPr>
          <w:rStyle w:val="Ohne"/>
          <w:rFonts w:ascii="Cambria" w:hAnsi="Cambria" w:cs="Arial"/>
          <w:spacing w:val="-1"/>
          <w:sz w:val="20"/>
          <w:szCs w:val="20"/>
        </w:rPr>
        <w:t xml:space="preserve">Obwohl eine Natriumbicarbonattherapie hilfreich bei der Begrenzung des Atemzugvolumens bei ARDS </w:t>
      </w:r>
      <w:r w:rsidR="00C547D1">
        <w:rPr>
          <w:rStyle w:val="Ohne"/>
          <w:rFonts w:ascii="Cambria" w:hAnsi="Cambria" w:cs="Arial"/>
          <w:spacing w:val="-1"/>
          <w:sz w:val="20"/>
          <w:szCs w:val="20"/>
        </w:rPr>
        <w:t xml:space="preserve">bei </w:t>
      </w:r>
      <w:r w:rsidR="00447357" w:rsidRPr="00207748">
        <w:rPr>
          <w:rStyle w:val="Ohne"/>
          <w:rFonts w:ascii="Cambria" w:hAnsi="Cambria" w:cs="Arial"/>
          <w:spacing w:val="-1"/>
          <w:sz w:val="20"/>
          <w:szCs w:val="20"/>
        </w:rPr>
        <w:t>permissive</w:t>
      </w:r>
      <w:r w:rsidR="00C547D1">
        <w:rPr>
          <w:rStyle w:val="Ohne"/>
          <w:rFonts w:ascii="Cambria" w:hAnsi="Cambria" w:cs="Arial"/>
          <w:spacing w:val="-1"/>
          <w:sz w:val="20"/>
          <w:szCs w:val="20"/>
        </w:rPr>
        <w:t>r</w:t>
      </w:r>
      <w:r w:rsidR="00447357" w:rsidRPr="00207748">
        <w:rPr>
          <w:rStyle w:val="Ohne"/>
          <w:rFonts w:ascii="Cambria" w:hAnsi="Cambria" w:cs="Arial"/>
          <w:spacing w:val="-1"/>
          <w:sz w:val="20"/>
          <w:szCs w:val="20"/>
        </w:rPr>
        <w:t xml:space="preserve"> Hyperkapnie sein kann, steht keine Evidenz zur Verfügung, welche die Nutzung einer Natriumbicarbonattherapie zur Behandlung </w:t>
      </w:r>
      <w:r w:rsidR="00C547D1">
        <w:rPr>
          <w:rStyle w:val="Ohne"/>
          <w:rFonts w:ascii="Cambria" w:hAnsi="Cambria" w:cs="Arial"/>
          <w:spacing w:val="-1"/>
          <w:sz w:val="20"/>
          <w:szCs w:val="20"/>
        </w:rPr>
        <w:t>einer</w:t>
      </w:r>
      <w:r w:rsidR="00C547D1" w:rsidRPr="00207748">
        <w:rPr>
          <w:rStyle w:val="Ohne"/>
          <w:rFonts w:ascii="Cambria" w:hAnsi="Cambria" w:cs="Arial"/>
          <w:spacing w:val="-1"/>
          <w:sz w:val="20"/>
          <w:szCs w:val="20"/>
        </w:rPr>
        <w:t xml:space="preserve"> </w:t>
      </w:r>
      <w:r w:rsidR="00447357" w:rsidRPr="00207748">
        <w:rPr>
          <w:rStyle w:val="Ohne"/>
          <w:rFonts w:ascii="Cambria" w:hAnsi="Cambria" w:cs="Arial"/>
          <w:spacing w:val="-1"/>
          <w:sz w:val="20"/>
          <w:szCs w:val="20"/>
        </w:rPr>
        <w:t>hyp</w:t>
      </w:r>
      <w:r w:rsidR="00C547D1">
        <w:rPr>
          <w:rStyle w:val="Ohne"/>
          <w:rFonts w:ascii="Cambria" w:hAnsi="Cambria" w:cs="Arial"/>
          <w:spacing w:val="-1"/>
          <w:sz w:val="20"/>
          <w:szCs w:val="20"/>
        </w:rPr>
        <w:t>o</w:t>
      </w:r>
      <w:r w:rsidR="00447357" w:rsidRPr="00207748">
        <w:rPr>
          <w:rStyle w:val="Ohne"/>
          <w:rFonts w:ascii="Cambria" w:hAnsi="Cambria" w:cs="Arial"/>
          <w:spacing w:val="-1"/>
          <w:sz w:val="20"/>
          <w:szCs w:val="20"/>
        </w:rPr>
        <w:t>perfusionsinduzierte</w:t>
      </w:r>
      <w:r w:rsidR="00C547D1">
        <w:rPr>
          <w:rStyle w:val="Ohne"/>
          <w:rFonts w:ascii="Cambria" w:hAnsi="Cambria" w:cs="Arial"/>
          <w:spacing w:val="-1"/>
          <w:sz w:val="20"/>
          <w:szCs w:val="20"/>
        </w:rPr>
        <w:t>n</w:t>
      </w:r>
      <w:r w:rsidR="00447357" w:rsidRPr="00207748">
        <w:rPr>
          <w:rStyle w:val="Ohne"/>
          <w:rFonts w:ascii="Cambria" w:hAnsi="Cambria" w:cs="Arial"/>
          <w:spacing w:val="-1"/>
          <w:sz w:val="20"/>
          <w:szCs w:val="20"/>
        </w:rPr>
        <w:t xml:space="preserve"> Laktatazidämie </w:t>
      </w:r>
      <w:r w:rsidR="00C547D1">
        <w:rPr>
          <w:rStyle w:val="Ohne"/>
          <w:rFonts w:ascii="Cambria" w:hAnsi="Cambria" w:cs="Arial"/>
          <w:spacing w:val="-1"/>
          <w:sz w:val="20"/>
          <w:szCs w:val="20"/>
        </w:rPr>
        <w:t xml:space="preserve">bei </w:t>
      </w:r>
      <w:r w:rsidR="00447357" w:rsidRPr="00207748">
        <w:rPr>
          <w:rStyle w:val="Ohne"/>
          <w:rFonts w:ascii="Cambria" w:hAnsi="Cambria" w:cs="Arial"/>
          <w:spacing w:val="-1"/>
          <w:sz w:val="20"/>
          <w:szCs w:val="20"/>
        </w:rPr>
        <w:t xml:space="preserve">Sepsis </w:t>
      </w:r>
      <w:r w:rsidR="00C547D1">
        <w:rPr>
          <w:rStyle w:val="Ohne"/>
          <w:rFonts w:ascii="Cambria" w:hAnsi="Cambria" w:cs="Arial"/>
          <w:spacing w:val="-1"/>
          <w:sz w:val="20"/>
          <w:szCs w:val="20"/>
        </w:rPr>
        <w:t>rechtfertigen</w:t>
      </w:r>
      <w:r w:rsidR="00447357" w:rsidRPr="00207748">
        <w:rPr>
          <w:rStyle w:val="Ohne"/>
          <w:rFonts w:ascii="Cambria" w:hAnsi="Cambria" w:cs="Arial"/>
          <w:spacing w:val="-1"/>
          <w:sz w:val="20"/>
          <w:szCs w:val="20"/>
        </w:rPr>
        <w:t xml:space="preserve"> würde. Zwei verblindete Crossover-RCTs, welche äquimolares Kochsalz mit Natriumbicarbonat bei Patienten mit Laktatazidose verglichen, wiesen keine Unterschiede in Bezug auf die hämodynamischen Variablen oder den Vasopressorbedarf nach</w:t>
      </w:r>
      <w:r w:rsidR="00E15D93">
        <w:rPr>
          <w:rStyle w:val="Ohne"/>
          <w:rFonts w:ascii="Cambria" w:hAnsi="Cambria" w:cs="Arial"/>
          <w:spacing w:val="-1"/>
          <w:sz w:val="20"/>
          <w:szCs w:val="20"/>
        </w:rPr>
        <w:t xml:space="preserve"> </w:t>
      </w:r>
      <w:r w:rsidR="00447357" w:rsidRPr="00207748">
        <w:rPr>
          <w:rStyle w:val="Ohne"/>
          <w:rFonts w:ascii="Cambria" w:eastAsia="Arial" w:hAnsi="Cambria" w:cs="Arial"/>
          <w:spacing w:val="-1"/>
          <w:sz w:val="20"/>
          <w:szCs w:val="20"/>
          <w:vertAlign w:val="superscript"/>
        </w:rPr>
        <w:endnoteReference w:id="530"/>
      </w:r>
      <w:r w:rsidR="00447357" w:rsidRPr="00207748">
        <w:rPr>
          <w:rStyle w:val="Ohne"/>
          <w:rFonts w:ascii="Cambria" w:hAnsi="Cambria" w:cs="Arial"/>
          <w:spacing w:val="-1"/>
          <w:sz w:val="20"/>
          <w:szCs w:val="20"/>
        </w:rPr>
        <w:t xml:space="preserve"> </w:t>
      </w:r>
      <w:r w:rsidR="00447357" w:rsidRPr="00207748">
        <w:rPr>
          <w:rStyle w:val="Ohne"/>
          <w:rFonts w:ascii="Cambria" w:eastAsia="Arial" w:hAnsi="Cambria" w:cs="Arial"/>
          <w:spacing w:val="-1"/>
          <w:sz w:val="20"/>
          <w:szCs w:val="20"/>
          <w:vertAlign w:val="superscript"/>
        </w:rPr>
        <w:endnoteReference w:id="531"/>
      </w:r>
      <w:r w:rsidR="00447357" w:rsidRPr="00207748">
        <w:rPr>
          <w:rStyle w:val="Ohne"/>
          <w:rFonts w:ascii="Cambria" w:hAnsi="Cambria" w:cs="Arial"/>
          <w:spacing w:val="-1"/>
          <w:sz w:val="20"/>
          <w:szCs w:val="20"/>
        </w:rPr>
        <w:t xml:space="preserve">. Die Anzahl der Patienten mit einem pH-Wert von &lt; 7,15 in diesen Studien war </w:t>
      </w:r>
      <w:r w:rsidR="00C547D1">
        <w:rPr>
          <w:rStyle w:val="Ohne"/>
          <w:rFonts w:ascii="Cambria" w:hAnsi="Cambria" w:cs="Arial"/>
          <w:spacing w:val="-1"/>
          <w:sz w:val="20"/>
          <w:szCs w:val="20"/>
        </w:rPr>
        <w:t>allerdings</w:t>
      </w:r>
      <w:r w:rsidR="00447357" w:rsidRPr="00207748">
        <w:rPr>
          <w:rStyle w:val="Ohne"/>
          <w:rFonts w:ascii="Cambria" w:hAnsi="Cambria" w:cs="Arial"/>
          <w:spacing w:val="-1"/>
          <w:sz w:val="20"/>
          <w:szCs w:val="20"/>
        </w:rPr>
        <w:t xml:space="preserve"> gering. Außerdem lag bei den Patienten nicht nur ein septischer Schock vor, sondern sie hatten auch andere Erkrankungen, wie z.B. eine Mesenterialischämie. Die Bicarbonat-Verabreichung war mit einem Natrium- und </w:t>
      </w:r>
      <w:r w:rsidR="00C547D1">
        <w:rPr>
          <w:rStyle w:val="Ohne"/>
          <w:rFonts w:ascii="Cambria" w:hAnsi="Cambria" w:cs="Arial"/>
          <w:spacing w:val="-1"/>
          <w:sz w:val="20"/>
          <w:szCs w:val="20"/>
        </w:rPr>
        <w:t>Volumenansieg</w:t>
      </w:r>
      <w:r w:rsidR="002B1061">
        <w:rPr>
          <w:rStyle w:val="Ohne"/>
          <w:rFonts w:ascii="Cambria" w:hAnsi="Cambria" w:cs="Arial"/>
          <w:spacing w:val="-1"/>
          <w:sz w:val="20"/>
          <w:szCs w:val="20"/>
        </w:rPr>
        <w:t xml:space="preserve"> </w:t>
      </w:r>
      <w:r w:rsidR="00447357" w:rsidRPr="00207748">
        <w:rPr>
          <w:rStyle w:val="Ohne"/>
          <w:rFonts w:ascii="Cambria" w:hAnsi="Cambria" w:cs="Arial"/>
          <w:spacing w:val="-1"/>
          <w:sz w:val="20"/>
          <w:szCs w:val="20"/>
        </w:rPr>
        <w:t>und einem Anstieg des Laktats und Paco</w:t>
      </w:r>
      <w:r w:rsidR="00447357" w:rsidRPr="00207748">
        <w:rPr>
          <w:rStyle w:val="Ohne"/>
          <w:rFonts w:ascii="Cambria" w:hAnsi="Cambria" w:cs="Arial"/>
          <w:spacing w:val="-1"/>
          <w:sz w:val="20"/>
          <w:szCs w:val="20"/>
          <w:vertAlign w:val="subscript"/>
        </w:rPr>
        <w:t>2</w:t>
      </w:r>
      <w:r w:rsidR="00447357" w:rsidRPr="00207748">
        <w:rPr>
          <w:rStyle w:val="Ohne"/>
          <w:rFonts w:ascii="Cambria" w:hAnsi="Cambria" w:cs="Arial"/>
          <w:spacing w:val="-1"/>
          <w:sz w:val="20"/>
          <w:szCs w:val="20"/>
        </w:rPr>
        <w:t xml:space="preserve"> sowie einem Rückgang des ionisierten Serum-Kalziums verbunden</w:t>
      </w:r>
      <w:r w:rsidR="00EF1A9E">
        <w:rPr>
          <w:rStyle w:val="Ohne"/>
          <w:rFonts w:ascii="Cambria" w:hAnsi="Cambria" w:cs="Arial"/>
          <w:spacing w:val="-1"/>
          <w:sz w:val="20"/>
          <w:szCs w:val="20"/>
        </w:rPr>
        <w:t>.</w:t>
      </w:r>
      <w:r w:rsidR="00447357" w:rsidRPr="00207748">
        <w:rPr>
          <w:rStyle w:val="Ohne"/>
          <w:rFonts w:ascii="Cambria" w:hAnsi="Cambria" w:cs="Arial"/>
          <w:spacing w:val="-1"/>
          <w:sz w:val="20"/>
          <w:szCs w:val="20"/>
        </w:rPr>
        <w:t xml:space="preserve"> Die Auswirkung der Verabreichung von Natriumbicarbonat auf die Hämodynamik und den Vasopressorbedarf bei einem niedrigeren pH-Wert ist nicht bekannt, das gilt auch für die Auswirkung bei a</w:t>
      </w:r>
      <w:r w:rsidR="00C547D1">
        <w:rPr>
          <w:rStyle w:val="Ohne"/>
          <w:rFonts w:ascii="Cambria" w:hAnsi="Cambria" w:cs="Arial"/>
          <w:spacing w:val="-1"/>
          <w:sz w:val="20"/>
          <w:szCs w:val="20"/>
        </w:rPr>
        <w:t>nderen</w:t>
      </w:r>
      <w:r w:rsidR="00447357" w:rsidRPr="00207748">
        <w:rPr>
          <w:rStyle w:val="Ohne"/>
          <w:rFonts w:ascii="Cambria" w:hAnsi="Cambria" w:cs="Arial"/>
          <w:spacing w:val="-1"/>
          <w:sz w:val="20"/>
          <w:szCs w:val="20"/>
        </w:rPr>
        <w:t xml:space="preserve"> pH-Werten. </w:t>
      </w:r>
      <w:bookmarkStart w:id="468" w:name="_Toc25845126"/>
    </w:p>
    <w:p w14:paraId="0E6D1B10" w14:textId="50E46732" w:rsidR="00E11869" w:rsidRPr="00182D07" w:rsidRDefault="00447357" w:rsidP="004454B6">
      <w:pPr>
        <w:pStyle w:val="berschrift2"/>
        <w:rPr>
          <w:b w:val="0"/>
        </w:rPr>
      </w:pPr>
      <w:bookmarkStart w:id="469" w:name="_Toc437861473"/>
      <w:bookmarkStart w:id="470" w:name="_Toc31278511"/>
      <w:r w:rsidRPr="00182D07">
        <w:rPr>
          <w:rStyle w:val="Ohne"/>
        </w:rPr>
        <w:lastRenderedPageBreak/>
        <w:t>R. Prophylaxe einer venösen Thromboembolie</w:t>
      </w:r>
      <w:bookmarkEnd w:id="468"/>
      <w:bookmarkEnd w:id="469"/>
      <w:bookmarkEnd w:id="470"/>
    </w:p>
    <w:p w14:paraId="0AB3EEBC" w14:textId="77777777" w:rsidR="00E11869" w:rsidRPr="00207748" w:rsidRDefault="00E11869" w:rsidP="00FB33A2">
      <w:pPr>
        <w:pStyle w:val="KeinLeerraum"/>
        <w:rPr>
          <w:rStyle w:val="Ohne"/>
          <w:iCs/>
          <w:spacing w:val="4"/>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788"/>
        <w:gridCol w:w="1702"/>
        <w:gridCol w:w="843"/>
      </w:tblGrid>
      <w:tr w:rsidR="00E11869" w:rsidRPr="00207748" w14:paraId="17F312D9" w14:textId="77777777" w:rsidTr="00B26F79">
        <w:trPr>
          <w:trHeight w:val="282"/>
        </w:trPr>
        <w:tc>
          <w:tcPr>
            <w:tcW w:w="2063"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33DA656F" w14:textId="77777777" w:rsidR="00E11869" w:rsidRPr="00207748" w:rsidRDefault="00447357" w:rsidP="004454B6">
            <w:pPr>
              <w:rPr>
                <w:rStyle w:val="Ohne"/>
                <w:rFonts w:ascii="Cambria" w:hAnsi="Cambria"/>
                <w:b/>
                <w:bCs/>
                <w:sz w:val="20"/>
                <w:szCs w:val="20"/>
              </w:rPr>
            </w:pPr>
            <w:r w:rsidRPr="00207748">
              <w:rPr>
                <w:rStyle w:val="Ohne"/>
                <w:rFonts w:ascii="Cambria" w:hAnsi="Cambria" w:cs="Arial"/>
                <w:b/>
                <w:bCs/>
                <w:sz w:val="20"/>
                <w:szCs w:val="20"/>
              </w:rPr>
              <w:t>R. 1</w:t>
            </w:r>
          </w:p>
        </w:tc>
        <w:tc>
          <w:tcPr>
            <w:tcW w:w="1964"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C722392"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 xml:space="preserve">Empfehlung </w:t>
            </w:r>
          </w:p>
        </w:tc>
        <w:tc>
          <w:tcPr>
            <w:tcW w:w="973"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21CB867C"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6D8F1E2E" w14:textId="77777777" w:rsidTr="00B26F79">
        <w:trPr>
          <w:trHeight w:val="3362"/>
        </w:trPr>
        <w:tc>
          <w:tcPr>
            <w:tcW w:w="2063"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6D377"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Empfehlungsgrad</w:t>
            </w:r>
          </w:p>
          <w:p w14:paraId="638B64C1" w14:textId="77777777" w:rsidR="00E11869" w:rsidRPr="00207748" w:rsidRDefault="00E11869" w:rsidP="004454B6">
            <w:pPr>
              <w:spacing w:after="0"/>
              <w:rPr>
                <w:rStyle w:val="Ohne"/>
                <w:rFonts w:ascii="Cambria" w:eastAsia="Arial" w:hAnsi="Cambria" w:cs="Arial"/>
                <w:sz w:val="20"/>
                <w:szCs w:val="20"/>
              </w:rPr>
            </w:pPr>
          </w:p>
          <w:p w14:paraId="75A528DC" w14:textId="77777777" w:rsidR="00E11869" w:rsidRPr="00207748" w:rsidRDefault="00447357" w:rsidP="004454B6">
            <w:pPr>
              <w:spacing w:after="0"/>
              <w:rPr>
                <w:rStyle w:val="Ohne"/>
                <w:rFonts w:ascii="Cambria" w:eastAsia="Arial" w:hAnsi="Cambria" w:cs="Arial"/>
                <w:b/>
                <w:bCs/>
                <w:sz w:val="20"/>
                <w:szCs w:val="20"/>
              </w:rPr>
            </w:pPr>
            <w:r w:rsidRPr="00207748">
              <w:rPr>
                <w:rStyle w:val="Ohne"/>
                <w:rFonts w:ascii="Cambria" w:hAnsi="Cambria" w:cs="Arial"/>
                <w:b/>
                <w:bCs/>
                <w:sz w:val="20"/>
                <w:szCs w:val="20"/>
              </w:rPr>
              <w:t>stark</w:t>
            </w:r>
          </w:p>
          <w:p w14:paraId="5C1D7D93" w14:textId="77777777" w:rsidR="00E11869" w:rsidRPr="00207748" w:rsidRDefault="00E11869" w:rsidP="004454B6">
            <w:pPr>
              <w:spacing w:after="0"/>
              <w:rPr>
                <w:rStyle w:val="Ohne"/>
                <w:rFonts w:ascii="Cambria" w:eastAsia="Arial" w:hAnsi="Cambria" w:cs="Arial"/>
                <w:sz w:val="20"/>
                <w:szCs w:val="20"/>
              </w:rPr>
            </w:pPr>
          </w:p>
          <w:p w14:paraId="726761C4"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Evidenzgrad</w:t>
            </w:r>
          </w:p>
          <w:p w14:paraId="031E9597" w14:textId="77777777" w:rsidR="00E11869" w:rsidRPr="00207748" w:rsidRDefault="00E11869" w:rsidP="004454B6">
            <w:pPr>
              <w:spacing w:after="0"/>
              <w:rPr>
                <w:rStyle w:val="Ohne"/>
                <w:rFonts w:ascii="Cambria" w:eastAsia="Arial" w:hAnsi="Cambria" w:cs="Arial"/>
                <w:sz w:val="20"/>
                <w:szCs w:val="20"/>
              </w:rPr>
            </w:pPr>
          </w:p>
          <w:p w14:paraId="475D7F39"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moderat</w:t>
            </w:r>
          </w:p>
        </w:tc>
        <w:tc>
          <w:tcPr>
            <w:tcW w:w="293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67E7B" w14:textId="2E84A058"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 xml:space="preserve">Wir </w:t>
            </w:r>
            <w:r w:rsidR="00CE1578" w:rsidRPr="00207748">
              <w:rPr>
                <w:rStyle w:val="Ohne"/>
                <w:rFonts w:ascii="Cambria" w:hAnsi="Cambria" w:cs="Arial"/>
                <w:b/>
                <w:bCs/>
                <w:sz w:val="20"/>
                <w:szCs w:val="20"/>
              </w:rPr>
              <w:t xml:space="preserve">empfehlen eine pharmakologische </w:t>
            </w:r>
            <w:r w:rsidRPr="00207748">
              <w:rPr>
                <w:rStyle w:val="Ohne"/>
                <w:rFonts w:ascii="Cambria" w:hAnsi="Cambria" w:cs="Arial"/>
                <w:b/>
                <w:bCs/>
                <w:sz w:val="20"/>
                <w:szCs w:val="20"/>
              </w:rPr>
              <w:t xml:space="preserve">Prophylaxe </w:t>
            </w:r>
            <w:r w:rsidR="00CE1578" w:rsidRPr="00207748">
              <w:rPr>
                <w:rStyle w:val="Ohne"/>
                <w:rFonts w:ascii="Cambria" w:hAnsi="Cambria" w:cs="Arial"/>
                <w:b/>
                <w:bCs/>
                <w:sz w:val="20"/>
                <w:szCs w:val="20"/>
              </w:rPr>
              <w:t>einer venösen Thrombo</w:t>
            </w:r>
            <w:r w:rsidR="00B26F79">
              <w:rPr>
                <w:rStyle w:val="Ohne"/>
                <w:rFonts w:ascii="Cambria" w:hAnsi="Cambria" w:cs="Arial"/>
                <w:b/>
                <w:bCs/>
                <w:sz w:val="20"/>
                <w:szCs w:val="20"/>
              </w:rPr>
              <w:t>-</w:t>
            </w:r>
            <w:r w:rsidR="00CE1578" w:rsidRPr="00207748">
              <w:rPr>
                <w:rStyle w:val="Ohne"/>
                <w:rFonts w:ascii="Cambria" w:hAnsi="Cambria" w:cs="Arial"/>
                <w:b/>
                <w:bCs/>
                <w:sz w:val="20"/>
                <w:szCs w:val="20"/>
              </w:rPr>
              <w:t>embolie (VTE) mittels unfraktioniertem Heparin (UFH</w:t>
            </w:r>
            <w:r w:rsidR="00424276" w:rsidRPr="00207748">
              <w:rPr>
                <w:rStyle w:val="Ohne"/>
                <w:rFonts w:ascii="Cambria" w:hAnsi="Cambria" w:cs="Arial"/>
                <w:b/>
                <w:bCs/>
                <w:sz w:val="20"/>
                <w:szCs w:val="20"/>
              </w:rPr>
              <w:t>)</w:t>
            </w:r>
            <w:r w:rsidRPr="00207748">
              <w:rPr>
                <w:rStyle w:val="Ohne"/>
                <w:rFonts w:ascii="Cambria" w:hAnsi="Cambria" w:cs="Arial"/>
                <w:b/>
                <w:bCs/>
                <w:sz w:val="20"/>
                <w:szCs w:val="20"/>
              </w:rPr>
              <w:t xml:space="preserve"> oder </w:t>
            </w:r>
            <w:r w:rsidR="00CE1578" w:rsidRPr="00207748">
              <w:rPr>
                <w:rStyle w:val="Ohne"/>
                <w:rFonts w:ascii="Cambria" w:hAnsi="Cambria" w:cs="Arial"/>
                <w:b/>
                <w:bCs/>
                <w:sz w:val="20"/>
                <w:szCs w:val="20"/>
              </w:rPr>
              <w:t>niedermolekularem Heparin (NMH),</w:t>
            </w:r>
            <w:r w:rsidRPr="00207748">
              <w:rPr>
                <w:rStyle w:val="Ohne"/>
                <w:rFonts w:ascii="Cambria" w:hAnsi="Cambria" w:cs="Arial"/>
                <w:b/>
                <w:bCs/>
                <w:sz w:val="20"/>
                <w:szCs w:val="20"/>
              </w:rPr>
              <w:t xml:space="preserve"> sofern keine Kontraindi</w:t>
            </w:r>
            <w:r w:rsidR="00B26F79">
              <w:rPr>
                <w:rStyle w:val="Ohne"/>
                <w:rFonts w:ascii="Cambria" w:hAnsi="Cambria" w:cs="Arial"/>
                <w:b/>
                <w:bCs/>
                <w:sz w:val="20"/>
                <w:szCs w:val="20"/>
              </w:rPr>
              <w:t>-</w:t>
            </w:r>
            <w:r w:rsidRPr="00207748">
              <w:rPr>
                <w:rStyle w:val="Ohne"/>
                <w:rFonts w:ascii="Cambria" w:hAnsi="Cambria" w:cs="Arial"/>
                <w:b/>
                <w:bCs/>
                <w:sz w:val="20"/>
                <w:szCs w:val="20"/>
              </w:rPr>
              <w:t>kationen in Bezug auf die Verwendung dieser Wirkstoffe vorliegen.</w:t>
            </w:r>
          </w:p>
        </w:tc>
      </w:tr>
      <w:tr w:rsidR="00E11869" w:rsidRPr="00207748" w14:paraId="2F138E78" w14:textId="77777777" w:rsidTr="00B26F79">
        <w:trPr>
          <w:trHeight w:val="562"/>
        </w:trPr>
        <w:tc>
          <w:tcPr>
            <w:tcW w:w="2063" w:type="pct"/>
            <w:vMerge/>
            <w:tcBorders>
              <w:top w:val="single" w:sz="4" w:space="0" w:color="000000"/>
              <w:left w:val="single" w:sz="4" w:space="0" w:color="000000"/>
              <w:bottom w:val="single" w:sz="4" w:space="0" w:color="000000"/>
              <w:right w:val="single" w:sz="4" w:space="0" w:color="000000"/>
            </w:tcBorders>
            <w:shd w:val="clear" w:color="auto" w:fill="auto"/>
          </w:tcPr>
          <w:p w14:paraId="2685C153" w14:textId="77777777" w:rsidR="00E11869" w:rsidRPr="00207748" w:rsidRDefault="00E11869" w:rsidP="004454B6">
            <w:pPr>
              <w:rPr>
                <w:rFonts w:ascii="Cambria" w:hAnsi="Cambria" w:cs="Arial"/>
                <w:sz w:val="20"/>
                <w:szCs w:val="20"/>
              </w:rPr>
            </w:pPr>
          </w:p>
        </w:tc>
        <w:tc>
          <w:tcPr>
            <w:tcW w:w="293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6554E"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 xml:space="preserve">SSC-Leitlinienadaptation </w:t>
            </w:r>
          </w:p>
        </w:tc>
      </w:tr>
      <w:tr w:rsidR="00E11869" w:rsidRPr="00207748" w14:paraId="4D54DEC3" w14:textId="77777777" w:rsidTr="00B26F79">
        <w:trPr>
          <w:trHeight w:val="282"/>
        </w:trPr>
        <w:tc>
          <w:tcPr>
            <w:tcW w:w="20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D5242" w14:textId="77777777" w:rsidR="00E11869" w:rsidRPr="00207748" w:rsidRDefault="00E11869" w:rsidP="004454B6">
            <w:pPr>
              <w:rPr>
                <w:rFonts w:ascii="Cambria" w:hAnsi="Cambria" w:cs="Arial"/>
                <w:sz w:val="20"/>
                <w:szCs w:val="20"/>
              </w:rPr>
            </w:pPr>
          </w:p>
        </w:tc>
        <w:tc>
          <w:tcPr>
            <w:tcW w:w="293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97E73"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Konsensstärke: 100 %</w:t>
            </w:r>
          </w:p>
        </w:tc>
      </w:tr>
    </w:tbl>
    <w:p w14:paraId="4BF2C8A3" w14:textId="344D0169" w:rsidR="00420A45" w:rsidRPr="006B2B71" w:rsidRDefault="00420A45" w:rsidP="004454B6">
      <w:pPr>
        <w:spacing w:before="240"/>
        <w:rPr>
          <w:rStyle w:val="EndnoteRealZchn"/>
        </w:rPr>
      </w:pPr>
      <w:r w:rsidRPr="00207748">
        <w:rPr>
          <w:rFonts w:ascii="Cambria" w:hAnsi="Cambria" w:cs="Arial"/>
          <w:b/>
          <w:bCs/>
          <w:sz w:val="20"/>
          <w:szCs w:val="20"/>
        </w:rPr>
        <w:t xml:space="preserve">Begründung: </w:t>
      </w:r>
      <w:r w:rsidRPr="00207748">
        <w:rPr>
          <w:rFonts w:ascii="Cambria" w:hAnsi="Cambria" w:cs="Arial"/>
          <w:sz w:val="20"/>
          <w:szCs w:val="20"/>
        </w:rPr>
        <w:t xml:space="preserve">Intensivpflichtige Patienten weisen ein erhöhtes Risiko sowohl für die Entwicklung einer tiefen Venenthrombose (TVT), als auch einer Lungenarterienembolie (LAE) auf. Die Inzidenz einer auf der ITS erworbenen TVT beträgt bis zu 10 % </w:t>
      </w:r>
      <w:r w:rsidRPr="00207748">
        <w:rPr>
          <w:rFonts w:ascii="Cambria" w:eastAsia="Arial" w:hAnsi="Cambria" w:cs="Arial"/>
          <w:sz w:val="20"/>
          <w:szCs w:val="20"/>
          <w:vertAlign w:val="superscript"/>
        </w:rPr>
        <w:endnoteReference w:id="532"/>
      </w:r>
      <w:r w:rsidRPr="00207748">
        <w:rPr>
          <w:rFonts w:ascii="Cambria" w:hAnsi="Cambria" w:cs="Arial"/>
          <w:sz w:val="20"/>
          <w:szCs w:val="20"/>
        </w:rPr>
        <w:t>, während die Inzidenz einer LAE in einem Bereich von 2-4 % liegt</w:t>
      </w:r>
      <w:r w:rsidR="00BC67BC" w:rsidRPr="00207748">
        <w:rPr>
          <w:rFonts w:ascii="Cambria" w:hAnsi="Cambria" w:cs="Arial"/>
          <w:sz w:val="20"/>
          <w:szCs w:val="20"/>
        </w:rPr>
        <w:t>.</w:t>
      </w:r>
      <w:r w:rsidRPr="00207748">
        <w:rPr>
          <w:rFonts w:ascii="Cambria" w:hAnsi="Cambria" w:cs="Arial"/>
          <w:sz w:val="20"/>
          <w:szCs w:val="20"/>
        </w:rPr>
        <w:t xml:space="preserve"> </w:t>
      </w:r>
      <w:r w:rsidRPr="00207748">
        <w:rPr>
          <w:rFonts w:ascii="Cambria" w:eastAsia="Arial" w:hAnsi="Cambria" w:cs="Arial"/>
          <w:sz w:val="20"/>
          <w:szCs w:val="20"/>
          <w:vertAlign w:val="superscript"/>
        </w:rPr>
        <w:endnoteReference w:id="533"/>
      </w:r>
      <w:r w:rsidRPr="00207748">
        <w:rPr>
          <w:rFonts w:ascii="Cambria" w:hAnsi="Cambria" w:cs="Arial"/>
          <w:sz w:val="20"/>
          <w:szCs w:val="20"/>
        </w:rPr>
        <w:t xml:space="preserve"> </w:t>
      </w:r>
      <w:bookmarkStart w:id="471" w:name="_Ref30605053"/>
      <w:r w:rsidRPr="00207748">
        <w:rPr>
          <w:rFonts w:ascii="Cambria" w:eastAsia="Arial" w:hAnsi="Cambria" w:cs="Arial"/>
          <w:sz w:val="20"/>
          <w:szCs w:val="20"/>
          <w:vertAlign w:val="superscript"/>
        </w:rPr>
        <w:endnoteReference w:id="534"/>
      </w:r>
      <w:bookmarkEnd w:id="471"/>
      <w:r w:rsidRPr="00207748">
        <w:rPr>
          <w:rFonts w:ascii="Cambria" w:hAnsi="Cambria" w:cs="Arial"/>
          <w:sz w:val="20"/>
          <w:szCs w:val="20"/>
        </w:rPr>
        <w:t xml:space="preserve"> Gerade Patienten mit Sepsis bzw. septischem Schock weisen ein erhöhtes Risiko für die Entwicklung einer venösen Thromboembolie (VTE) auf, da z.B. die Notwendigkeit zur Applikation von Vasopressoren einen unabhängigen Risikofaktor für eine auf der ITS erworbene TVT darstellt. Im Rahmen einer Meta-Analyse konnte dementsprechend gezeigt werden, dass eine pharmakologische VTE-Prophylaxe mittels unfraktioniertem Heparin (UFH) oder niedermolekularem Heparin (NMH) bei kritisch erkrankten Patienten zu einer signifikanten Reduktion des Risikos für die Entwicklung einer TVT sowie einer LAE führt, ohne dass es zu einer signifikanten Zunahme von Blutungskomplikationen kommt. Die Mortalität bei Patienten, welche eine medikamentöse VTE-</w:t>
      </w:r>
      <w:r w:rsidRPr="00207748">
        <w:rPr>
          <w:rFonts w:ascii="Cambria" w:hAnsi="Cambria" w:cs="Arial"/>
          <w:sz w:val="20"/>
          <w:szCs w:val="20"/>
        </w:rPr>
        <w:lastRenderedPageBreak/>
        <w:t>Prophylaxe mittels UFH oder NMH erhielten, war zwar geringer, vermochte allerdings keine statistische Signifikanz zu erreichen</w:t>
      </w:r>
      <w:r w:rsidR="00BC67BC" w:rsidRPr="00207748">
        <w:rPr>
          <w:rFonts w:ascii="Cambria" w:hAnsi="Cambria" w:cs="Arial"/>
          <w:sz w:val="20"/>
          <w:szCs w:val="20"/>
        </w:rPr>
        <w:t>.</w:t>
      </w:r>
      <w:r w:rsidR="006B2B71" w:rsidRPr="006B2B71">
        <w:rPr>
          <w:rStyle w:val="EndnoteRealZchn"/>
        </w:rPr>
        <w:fldChar w:fldCharType="begin"/>
      </w:r>
      <w:r w:rsidR="006B2B71" w:rsidRPr="006B2B71">
        <w:rPr>
          <w:rStyle w:val="EndnoteRealZchn"/>
        </w:rPr>
        <w:instrText xml:space="preserve"> NOTEREF _Ref30605053 \h </w:instrText>
      </w:r>
      <w:r w:rsidR="006B2B71">
        <w:rPr>
          <w:rStyle w:val="EndnoteRealZchn"/>
        </w:rPr>
        <w:instrText xml:space="preserve"> \* MERGEFORMAT </w:instrText>
      </w:r>
      <w:r w:rsidR="006B2B71" w:rsidRPr="006B2B71">
        <w:rPr>
          <w:rStyle w:val="EndnoteRealZchn"/>
        </w:rPr>
      </w:r>
      <w:r w:rsidR="006B2B71" w:rsidRPr="006B2B71">
        <w:rPr>
          <w:rStyle w:val="EndnoteRealZchn"/>
        </w:rPr>
        <w:fldChar w:fldCharType="separate"/>
      </w:r>
      <w:r w:rsidR="001A283B">
        <w:rPr>
          <w:rStyle w:val="EndnoteRealZchn"/>
        </w:rPr>
        <w:t>591</w:t>
      </w:r>
      <w:r w:rsidR="006B2B71" w:rsidRPr="006B2B71">
        <w:rPr>
          <w:rStyle w:val="EndnoteRealZchn"/>
        </w:rPr>
        <w:fldChar w:fldCharType="end"/>
      </w:r>
      <w:r w:rsidR="006B2B71" w:rsidRPr="006B2B71">
        <w:rPr>
          <w:rStyle w:val="EndnoteRealZchn"/>
        </w:rPr>
        <w:t xml:space="preserve"> </w:t>
      </w:r>
      <w:r w:rsidRPr="00207748">
        <w:rPr>
          <w:rFonts w:ascii="Cambria" w:hAnsi="Cambria" w:cs="Arial"/>
          <w:sz w:val="20"/>
          <w:szCs w:val="20"/>
        </w:rPr>
        <w:t>Alle Studien, die in diese Meta-Analyse mit einbezogen worden sind, wurden bereits in den SSC-Leitlinien aus dem Jahr 2012 berücksichtigt, im Rahmen derer eine Empfehlung zur Nutzung einer pharmakologischen Prophylaxe ausgesprochen wurde. In der Zwischenzeit wurden keine weiteren prospektiven, randomisierten, kontrollierten Studien zu dem Themenkomplex der VTE-Prophylaxe bei intensivpflichtigen Patienten publiziert, so dass diese Studien auch die Datenbasis für die im Jahr 2018 publizierten europäischen Leitlinien der European Society of Anaesthesiology (ESA) zur perioperativen VTE-Prophylaxe bei intensivpflichtigen Patienten darstellen.</w:t>
      </w:r>
      <w:r w:rsidR="00BC67BC" w:rsidRPr="006B2B71">
        <w:rPr>
          <w:rStyle w:val="EndnoteRealZchn"/>
        </w:rPr>
        <w:endnoteReference w:id="535"/>
      </w:r>
      <w:r w:rsidRPr="00207748">
        <w:rPr>
          <w:rFonts w:ascii="Cambria" w:hAnsi="Cambria" w:cs="Arial"/>
          <w:sz w:val="20"/>
          <w:szCs w:val="20"/>
        </w:rPr>
        <w:t xml:space="preserve"> In Bezug auf intensivpflichtige Patienten mit Sepsis bzw. septischem Schock muss allerdings berücksichtigt werden, dass für dieses spezielle Subkollektiv fast ausschließlich indirekte Daten für eine pharmakologische VTE-Prophylaxe vorliegen, da nahezu alle Studien an einer undifferenzierten Population kritisch erkrankter Patienten durchgeführt wurden. Dementsprechend liegt nur ein einz</w:t>
      </w:r>
      <w:r w:rsidR="00C547D1">
        <w:rPr>
          <w:rFonts w:ascii="Cambria" w:hAnsi="Cambria" w:cs="Arial"/>
          <w:sz w:val="20"/>
          <w:szCs w:val="20"/>
        </w:rPr>
        <w:t>iges</w:t>
      </w:r>
      <w:r w:rsidRPr="00207748">
        <w:rPr>
          <w:rFonts w:ascii="Cambria" w:hAnsi="Cambria" w:cs="Arial"/>
          <w:sz w:val="20"/>
          <w:szCs w:val="20"/>
        </w:rPr>
        <w:t xml:space="preserve"> große</w:t>
      </w:r>
      <w:r w:rsidR="00C547D1">
        <w:rPr>
          <w:rFonts w:ascii="Cambria" w:hAnsi="Cambria" w:cs="Arial"/>
          <w:sz w:val="20"/>
          <w:szCs w:val="20"/>
        </w:rPr>
        <w:t>s</w:t>
      </w:r>
      <w:r w:rsidRPr="00207748">
        <w:rPr>
          <w:rFonts w:ascii="Cambria" w:hAnsi="Cambria" w:cs="Arial"/>
          <w:sz w:val="20"/>
          <w:szCs w:val="20"/>
        </w:rPr>
        <w:t>, prospektive</w:t>
      </w:r>
      <w:r w:rsidR="00C547D1">
        <w:rPr>
          <w:rFonts w:ascii="Cambria" w:hAnsi="Cambria" w:cs="Arial"/>
          <w:sz w:val="20"/>
          <w:szCs w:val="20"/>
        </w:rPr>
        <w:t>s</w:t>
      </w:r>
      <w:r w:rsidR="00D556FD" w:rsidRPr="00207748">
        <w:rPr>
          <w:rFonts w:ascii="Cambria" w:hAnsi="Cambria" w:cs="Arial"/>
          <w:sz w:val="20"/>
          <w:szCs w:val="20"/>
        </w:rPr>
        <w:t xml:space="preserve"> </w:t>
      </w:r>
      <w:r w:rsidRPr="00207748">
        <w:rPr>
          <w:rFonts w:ascii="Cambria" w:hAnsi="Cambria" w:cs="Arial"/>
          <w:sz w:val="20"/>
          <w:szCs w:val="20"/>
        </w:rPr>
        <w:t>RCT zur VTE-Prophylaxe (mittels UFH oder NMH versus Placebo) bei septischen Patienten vor, im Rahmen derer allerdings alle Patienten gleichzeitig noch mit Drotrecogin alfa behandelt wurden</w:t>
      </w:r>
      <w:r w:rsidR="00BC67BC" w:rsidRPr="006B2B71">
        <w:rPr>
          <w:rStyle w:val="EndnoteRealZchn"/>
        </w:rPr>
        <w:t>.</w:t>
      </w:r>
      <w:bookmarkStart w:id="472" w:name="_Ref30605188"/>
      <w:r w:rsidRPr="006B2B71">
        <w:rPr>
          <w:rStyle w:val="EndnoteRealZchn"/>
        </w:rPr>
        <w:endnoteReference w:id="536"/>
      </w:r>
      <w:bookmarkEnd w:id="472"/>
    </w:p>
    <w:p w14:paraId="3C080156" w14:textId="2F90ACFA" w:rsidR="00420A45" w:rsidRPr="00207748" w:rsidRDefault="00420A45" w:rsidP="004454B6">
      <w:pPr>
        <w:tabs>
          <w:tab w:val="decimal" w:pos="360"/>
        </w:tabs>
        <w:spacing w:before="240"/>
        <w:rPr>
          <w:rFonts w:ascii="Cambria" w:hAnsi="Cambria" w:cs="Arial"/>
          <w:sz w:val="20"/>
          <w:szCs w:val="20"/>
        </w:rPr>
      </w:pPr>
      <w:r w:rsidRPr="00207748">
        <w:rPr>
          <w:rFonts w:ascii="Cambria" w:hAnsi="Cambria" w:cs="Arial"/>
          <w:sz w:val="20"/>
          <w:szCs w:val="20"/>
        </w:rPr>
        <w:t xml:space="preserve">Insgesamt haben wir uns in der hier vorliegenden Leitlinie der SSC-Empfehlung aus dem Jahr 2016 angeschlossen (=SSC-Leitlinienadaptation) und eine starke Empfehlung für eine pharmakologische VTE-Prophylaxe auch bei kritisch </w:t>
      </w:r>
      <w:r w:rsidR="00C547D1">
        <w:rPr>
          <w:rFonts w:ascii="Cambria" w:hAnsi="Cambria" w:cs="Arial"/>
          <w:sz w:val="20"/>
          <w:szCs w:val="20"/>
        </w:rPr>
        <w:t>kranken</w:t>
      </w:r>
      <w:r w:rsidRPr="00207748">
        <w:rPr>
          <w:rFonts w:ascii="Cambria" w:hAnsi="Cambria" w:cs="Arial"/>
          <w:sz w:val="20"/>
          <w:szCs w:val="20"/>
        </w:rPr>
        <w:t xml:space="preserve"> Patienten mit Sepsis oder septischem Schock ausgesprochen, da die generelle Effektivität dieser Maßnahme unzweifelhaft ist. Nichtsdestotrotz kann die zugrundeliegende Evidenz für das Subkollektiv intensivpflichtiger Patienten mit Sepsis oder septischem Schock nur als mittelgradig eingestuft werden, da sich die verfügbare Datenbasis durch eine ausgeprägte Indirektheit auszeichnet.</w:t>
      </w:r>
    </w:p>
    <w:tbl>
      <w:tblPr>
        <w:tblStyle w:val="TableNormal1"/>
        <w:tblW w:w="42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850"/>
        <w:gridCol w:w="2509"/>
        <w:gridCol w:w="889"/>
      </w:tblGrid>
      <w:tr w:rsidR="00420A45" w:rsidRPr="00207748" w14:paraId="5E0A6129" w14:textId="77777777" w:rsidTr="00B20D2B">
        <w:trPr>
          <w:trHeight w:val="282"/>
        </w:trPr>
        <w:tc>
          <w:tcPr>
            <w:tcW w:w="850" w:type="dxa"/>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1A281E34" w14:textId="77777777" w:rsidR="00420A45" w:rsidRPr="00207748" w:rsidRDefault="00420A45" w:rsidP="004454B6">
            <w:pPr>
              <w:pBdr>
                <w:top w:val="none" w:sz="0" w:space="0" w:color="auto"/>
                <w:left w:val="none" w:sz="0" w:space="0" w:color="auto"/>
                <w:bottom w:val="none" w:sz="0" w:space="0" w:color="auto"/>
                <w:right w:val="none" w:sz="0" w:space="0" w:color="auto"/>
                <w:between w:val="none" w:sz="0" w:space="0" w:color="auto"/>
                <w:bar w:val="none" w:sz="0" w:color="auto"/>
              </w:pBdr>
              <w:rPr>
                <w:rStyle w:val="Ohne"/>
                <w:rFonts w:ascii="Cambria" w:hAnsi="Cambria" w:cs="Arial"/>
                <w:b/>
                <w:bCs/>
                <w:sz w:val="20"/>
                <w:szCs w:val="20"/>
              </w:rPr>
            </w:pPr>
            <w:r w:rsidRPr="00207748">
              <w:rPr>
                <w:rStyle w:val="Ohne"/>
                <w:rFonts w:ascii="Cambria" w:hAnsi="Cambria" w:cs="Arial"/>
                <w:b/>
                <w:bCs/>
                <w:sz w:val="20"/>
                <w:szCs w:val="20"/>
              </w:rPr>
              <w:lastRenderedPageBreak/>
              <w:t>R. 2</w:t>
            </w:r>
          </w:p>
        </w:tc>
        <w:tc>
          <w:tcPr>
            <w:tcW w:w="2509" w:type="dxa"/>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101B8231" w14:textId="77777777" w:rsidR="00420A45" w:rsidRPr="00207748" w:rsidRDefault="00420A45" w:rsidP="008B1A6E">
            <w:pPr>
              <w:pBdr>
                <w:top w:val="none" w:sz="0" w:space="0" w:color="auto"/>
                <w:left w:val="none" w:sz="0" w:space="0" w:color="auto"/>
                <w:bottom w:val="none" w:sz="0" w:space="0" w:color="auto"/>
                <w:right w:val="none" w:sz="0" w:space="0" w:color="auto"/>
                <w:between w:val="none" w:sz="0" w:space="0" w:color="auto"/>
                <w:bar w:val="none" w:sz="0" w:color="auto"/>
              </w:pBdr>
              <w:rPr>
                <w:rStyle w:val="Ohne"/>
                <w:rFonts w:ascii="Cambria" w:hAnsi="Cambria" w:cs="Arial"/>
                <w:b/>
                <w:bCs/>
                <w:sz w:val="20"/>
                <w:szCs w:val="20"/>
              </w:rPr>
            </w:pPr>
            <w:r w:rsidRPr="00207748">
              <w:rPr>
                <w:rStyle w:val="Ohne"/>
                <w:rFonts w:ascii="Cambria" w:hAnsi="Cambria" w:cs="Arial"/>
                <w:b/>
                <w:bCs/>
                <w:sz w:val="20"/>
                <w:szCs w:val="20"/>
              </w:rPr>
              <w:t>Statement</w:t>
            </w:r>
          </w:p>
        </w:tc>
        <w:tc>
          <w:tcPr>
            <w:tcW w:w="889" w:type="dxa"/>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0A5E485A" w14:textId="77777777" w:rsidR="00420A45" w:rsidRPr="00207748" w:rsidRDefault="00420A45" w:rsidP="008B1A6E">
            <w:pPr>
              <w:pBdr>
                <w:top w:val="none" w:sz="0" w:space="0" w:color="auto"/>
                <w:left w:val="none" w:sz="0" w:space="0" w:color="auto"/>
                <w:bottom w:val="none" w:sz="0" w:space="0" w:color="auto"/>
                <w:right w:val="none" w:sz="0" w:space="0" w:color="auto"/>
                <w:between w:val="none" w:sz="0" w:space="0" w:color="auto"/>
                <w:bar w:val="none" w:sz="0" w:color="auto"/>
              </w:pBdr>
              <w:rPr>
                <w:rStyle w:val="Ohne"/>
                <w:rFonts w:ascii="Cambria" w:hAnsi="Cambria" w:cs="Arial"/>
                <w:b/>
                <w:bCs/>
                <w:sz w:val="20"/>
                <w:szCs w:val="20"/>
              </w:rPr>
            </w:pPr>
            <w:r w:rsidRPr="00207748">
              <w:rPr>
                <w:rStyle w:val="Ohne"/>
                <w:rFonts w:ascii="Cambria" w:hAnsi="Cambria" w:cs="Arial"/>
                <w:b/>
                <w:bCs/>
                <w:sz w:val="20"/>
                <w:szCs w:val="20"/>
              </w:rPr>
              <w:t>2018</w:t>
            </w:r>
          </w:p>
        </w:tc>
      </w:tr>
      <w:tr w:rsidR="00420A45" w:rsidRPr="00207748" w14:paraId="094CECCC" w14:textId="77777777" w:rsidTr="00334AF5">
        <w:trPr>
          <w:trHeight w:val="881"/>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E5223" w14:textId="77777777" w:rsidR="00420A45" w:rsidRPr="00207748" w:rsidRDefault="00420A45" w:rsidP="004454B6">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Arial"/>
                <w:sz w:val="20"/>
                <w:szCs w:val="20"/>
                <w:bdr w:val="none" w:sz="0" w:space="0" w:color="auto"/>
                <w:lang w:eastAsia="en-US"/>
              </w:rPr>
            </w:pPr>
          </w:p>
        </w:tc>
        <w:tc>
          <w:tcPr>
            <w:tcW w:w="33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1E64D" w14:textId="50CE11F1" w:rsidR="00420A45" w:rsidRPr="00207748" w:rsidRDefault="00420A45" w:rsidP="00FB33A2">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mbria" w:hAnsi="Cambria" w:cs="Arial"/>
                <w:sz w:val="20"/>
                <w:szCs w:val="20"/>
                <w:bdr w:val="none" w:sz="0" w:space="0" w:color="auto"/>
                <w:lang w:eastAsia="en-US"/>
              </w:rPr>
            </w:pPr>
            <w:r w:rsidRPr="00207748">
              <w:rPr>
                <w:rFonts w:ascii="Cambria" w:hAnsi="Cambria" w:cs="Arial"/>
                <w:b/>
                <w:bCs/>
                <w:sz w:val="20"/>
                <w:szCs w:val="20"/>
                <w:bdr w:val="none" w:sz="0" w:space="0" w:color="auto"/>
                <w:lang w:eastAsia="en-US"/>
              </w:rPr>
              <w:t>Wir geben keine Empfehlung für die Bevorzugung</w:t>
            </w:r>
            <w:r w:rsidR="00FB33A2" w:rsidRPr="00207748">
              <w:rPr>
                <w:rFonts w:ascii="Cambria" w:hAnsi="Cambria" w:cs="Arial"/>
                <w:b/>
                <w:bCs/>
                <w:sz w:val="20"/>
                <w:szCs w:val="20"/>
                <w:bdr w:val="none" w:sz="0" w:space="0" w:color="auto"/>
                <w:lang w:eastAsia="en-US"/>
              </w:rPr>
              <w:t xml:space="preserve"> von NMH </w:t>
            </w:r>
            <w:r w:rsidRPr="00207748">
              <w:rPr>
                <w:rFonts w:ascii="Cambria" w:hAnsi="Cambria" w:cs="Arial"/>
                <w:b/>
                <w:bCs/>
                <w:sz w:val="20"/>
                <w:szCs w:val="20"/>
                <w:bdr w:val="none" w:sz="0" w:space="0" w:color="auto"/>
                <w:lang w:eastAsia="en-US"/>
              </w:rPr>
              <w:t xml:space="preserve">gegenüber </w:t>
            </w:r>
            <w:r w:rsidR="00FB33A2" w:rsidRPr="00207748">
              <w:rPr>
                <w:rFonts w:ascii="Cambria" w:hAnsi="Cambria" w:cs="Arial"/>
                <w:b/>
                <w:bCs/>
                <w:sz w:val="20"/>
                <w:szCs w:val="20"/>
                <w:bdr w:val="none" w:sz="0" w:space="0" w:color="auto"/>
                <w:lang w:eastAsia="en-US"/>
              </w:rPr>
              <w:t>UFH</w:t>
            </w:r>
            <w:r w:rsidRPr="00207748">
              <w:rPr>
                <w:rFonts w:ascii="Cambria" w:hAnsi="Cambria" w:cs="Arial"/>
                <w:b/>
                <w:bCs/>
                <w:sz w:val="20"/>
                <w:szCs w:val="20"/>
                <w:bdr w:val="none" w:sz="0" w:space="0" w:color="auto"/>
                <w:lang w:eastAsia="en-US"/>
              </w:rPr>
              <w:t xml:space="preserve"> zur VTE-Prophylaxe ab</w:t>
            </w:r>
            <w:r w:rsidR="00B20D2B" w:rsidRPr="00207748">
              <w:rPr>
                <w:rFonts w:ascii="Cambria" w:hAnsi="Cambria" w:cs="Arial"/>
                <w:b/>
                <w:bCs/>
                <w:sz w:val="20"/>
                <w:szCs w:val="20"/>
                <w:bdr w:val="none" w:sz="0" w:space="0" w:color="auto"/>
                <w:lang w:eastAsia="en-US"/>
              </w:rPr>
              <w:t>.</w:t>
            </w:r>
          </w:p>
        </w:tc>
      </w:tr>
      <w:tr w:rsidR="00420A45" w:rsidRPr="00207748" w14:paraId="530F7714" w14:textId="77777777" w:rsidTr="00334AF5">
        <w:trPr>
          <w:trHeight w:val="20"/>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14:paraId="6724F2E6" w14:textId="77777777" w:rsidR="00420A45" w:rsidRPr="00207748" w:rsidRDefault="00420A45" w:rsidP="004454B6">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Arial"/>
                <w:sz w:val="20"/>
                <w:szCs w:val="20"/>
                <w:bdr w:val="none" w:sz="0" w:space="0" w:color="auto"/>
                <w:lang w:eastAsia="en-US"/>
              </w:rPr>
            </w:pPr>
          </w:p>
        </w:tc>
        <w:tc>
          <w:tcPr>
            <w:tcW w:w="33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74284" w14:textId="77777777" w:rsidR="00420A45" w:rsidRPr="00207748" w:rsidRDefault="00420A45" w:rsidP="004454B6">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mbria" w:hAnsi="Cambria" w:cs="Arial"/>
                <w:sz w:val="20"/>
                <w:szCs w:val="20"/>
                <w:bdr w:val="none" w:sz="0" w:space="0" w:color="auto"/>
                <w:lang w:eastAsia="en-US"/>
              </w:rPr>
            </w:pPr>
            <w:r w:rsidRPr="00207748">
              <w:rPr>
                <w:rFonts w:ascii="Cambria" w:hAnsi="Cambria" w:cs="Arial"/>
                <w:b/>
                <w:bCs/>
                <w:sz w:val="20"/>
                <w:szCs w:val="20"/>
                <w:bdr w:val="none" w:sz="0" w:space="0" w:color="auto"/>
                <w:lang w:eastAsia="en-US"/>
              </w:rPr>
              <w:t>DSG-Leitlinienstellungnahme</w:t>
            </w:r>
          </w:p>
        </w:tc>
      </w:tr>
      <w:tr w:rsidR="00420A45" w:rsidRPr="00207748" w14:paraId="43715B36" w14:textId="77777777" w:rsidTr="00B20D2B">
        <w:trPr>
          <w:trHeight w:val="282"/>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80BCA" w14:textId="77777777" w:rsidR="00420A45" w:rsidRPr="00207748" w:rsidRDefault="00420A45" w:rsidP="004454B6">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Arial"/>
                <w:sz w:val="20"/>
                <w:szCs w:val="20"/>
                <w:bdr w:val="none" w:sz="0" w:space="0" w:color="auto"/>
                <w:lang w:eastAsia="en-US"/>
              </w:rPr>
            </w:pPr>
          </w:p>
        </w:tc>
        <w:tc>
          <w:tcPr>
            <w:tcW w:w="33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90FD6" w14:textId="77777777" w:rsidR="00420A45" w:rsidRPr="00207748" w:rsidRDefault="00420A45" w:rsidP="004454B6">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mbria" w:hAnsi="Cambria" w:cs="Arial"/>
                <w:sz w:val="20"/>
                <w:szCs w:val="20"/>
                <w:bdr w:val="none" w:sz="0" w:space="0" w:color="auto"/>
                <w:lang w:eastAsia="en-US"/>
              </w:rPr>
            </w:pPr>
            <w:r w:rsidRPr="00207748">
              <w:rPr>
                <w:rFonts w:ascii="Cambria" w:hAnsi="Cambria" w:cs="Arial"/>
                <w:sz w:val="20"/>
                <w:szCs w:val="20"/>
                <w:bdr w:val="none" w:sz="0" w:space="0" w:color="auto"/>
                <w:lang w:eastAsia="en-US"/>
              </w:rPr>
              <w:t>Konsensstärke: 100 %</w:t>
            </w:r>
          </w:p>
        </w:tc>
      </w:tr>
    </w:tbl>
    <w:p w14:paraId="6EC4F19E" w14:textId="459A6AD8" w:rsidR="00420A45" w:rsidRPr="00207748" w:rsidRDefault="00420A45" w:rsidP="004454B6">
      <w:pPr>
        <w:spacing w:before="240"/>
        <w:rPr>
          <w:rFonts w:ascii="Cambria" w:hAnsi="Cambria" w:cs="Arial"/>
          <w:spacing w:val="-1"/>
          <w:sz w:val="20"/>
          <w:szCs w:val="20"/>
        </w:rPr>
      </w:pPr>
      <w:r w:rsidRPr="00207748">
        <w:rPr>
          <w:rFonts w:ascii="Cambria" w:hAnsi="Cambria" w:cs="Arial"/>
          <w:b/>
          <w:bCs/>
          <w:sz w:val="20"/>
          <w:szCs w:val="20"/>
        </w:rPr>
        <w:t xml:space="preserve">Begründung: </w:t>
      </w:r>
      <w:r w:rsidRPr="00207748">
        <w:rPr>
          <w:rFonts w:ascii="Cambria" w:hAnsi="Cambria" w:cs="Arial"/>
          <w:spacing w:val="-1"/>
          <w:sz w:val="20"/>
          <w:szCs w:val="20"/>
        </w:rPr>
        <w:t xml:space="preserve">Obwohl die generelle Wirksamkeit einer medikamentösen VTE-Prophylaxe unstrittig ist, bleibt dennoch die Frage nach dem zu verwendenden Antikoagulans (NMH, UFH, etc.) </w:t>
      </w:r>
      <w:r w:rsidR="00DA3A66" w:rsidRPr="00207748">
        <w:rPr>
          <w:rFonts w:ascii="Cambria" w:hAnsi="Cambria" w:cs="Arial"/>
          <w:spacing w:val="-1"/>
          <w:sz w:val="20"/>
          <w:szCs w:val="20"/>
        </w:rPr>
        <w:t>kontrovers.</w:t>
      </w:r>
      <w:r w:rsidRPr="00207748">
        <w:rPr>
          <w:rFonts w:ascii="Cambria" w:hAnsi="Cambria" w:cs="Arial"/>
          <w:spacing w:val="-1"/>
          <w:sz w:val="20"/>
          <w:szCs w:val="20"/>
        </w:rPr>
        <w:t xml:space="preserve"> </w:t>
      </w:r>
    </w:p>
    <w:p w14:paraId="147633C9" w14:textId="5C5E39C9" w:rsidR="00420A45" w:rsidRPr="00207748" w:rsidRDefault="00420A45" w:rsidP="004454B6">
      <w:pPr>
        <w:spacing w:before="240"/>
        <w:rPr>
          <w:rFonts w:ascii="Cambria" w:hAnsi="Cambria" w:cs="Arial"/>
          <w:spacing w:val="-1"/>
          <w:sz w:val="20"/>
          <w:szCs w:val="20"/>
        </w:rPr>
      </w:pPr>
      <w:r w:rsidRPr="00207748">
        <w:rPr>
          <w:rFonts w:ascii="Cambria" w:hAnsi="Cambria" w:cs="Arial"/>
          <w:spacing w:val="-1"/>
          <w:sz w:val="20"/>
          <w:szCs w:val="20"/>
        </w:rPr>
        <w:t>Eine Reihe von Studien hat die Nutzung von NMH im Vergleich zu UFH zur VTE-Prophylaxe bei kritisch erkrankten Patienten verglichen. In die Meta-Analyse von Alhazzani et al. aus dem Jahr 2013 wurden insgesamt vier Studien einbezogen</w:t>
      </w:r>
      <w:r w:rsidR="006B2B71">
        <w:rPr>
          <w:rFonts w:ascii="Cambria" w:hAnsi="Cambria" w:cs="Arial"/>
          <w:spacing w:val="-1"/>
          <w:sz w:val="20"/>
          <w:szCs w:val="20"/>
        </w:rPr>
        <w:t xml:space="preserve"> </w:t>
      </w:r>
      <w:r w:rsidR="006B2B71" w:rsidRPr="006B2B71">
        <w:rPr>
          <w:rStyle w:val="EndnoteRealZchn"/>
        </w:rPr>
        <w:fldChar w:fldCharType="begin"/>
      </w:r>
      <w:r w:rsidR="006B2B71" w:rsidRPr="006B2B71">
        <w:rPr>
          <w:rStyle w:val="EndnoteRealZchn"/>
        </w:rPr>
        <w:instrText xml:space="preserve"> NOTEREF _Ref30605053 \h </w:instrText>
      </w:r>
      <w:r w:rsidR="006B2B71">
        <w:rPr>
          <w:rStyle w:val="EndnoteRealZchn"/>
        </w:rPr>
        <w:instrText xml:space="preserve"> \* MERGEFORMAT </w:instrText>
      </w:r>
      <w:r w:rsidR="006B2B71" w:rsidRPr="006B2B71">
        <w:rPr>
          <w:rStyle w:val="EndnoteRealZchn"/>
        </w:rPr>
      </w:r>
      <w:r w:rsidR="006B2B71" w:rsidRPr="006B2B71">
        <w:rPr>
          <w:rStyle w:val="EndnoteRealZchn"/>
        </w:rPr>
        <w:fldChar w:fldCharType="separate"/>
      </w:r>
      <w:r w:rsidR="001A283B">
        <w:rPr>
          <w:rStyle w:val="EndnoteRealZchn"/>
        </w:rPr>
        <w:t>591</w:t>
      </w:r>
      <w:r w:rsidR="006B2B71" w:rsidRPr="006B2B71">
        <w:rPr>
          <w:rStyle w:val="EndnoteRealZchn"/>
        </w:rPr>
        <w:fldChar w:fldCharType="end"/>
      </w:r>
      <w:r w:rsidR="006B2B71">
        <w:rPr>
          <w:rFonts w:ascii="Cambria" w:eastAsia="Arial" w:hAnsi="Cambria" w:cs="Arial"/>
          <w:spacing w:val="-1"/>
          <w:sz w:val="20"/>
          <w:szCs w:val="20"/>
          <w:vertAlign w:val="superscript"/>
        </w:rPr>
        <w:t>,</w:t>
      </w:r>
      <w:r w:rsidRPr="00207748">
        <w:rPr>
          <w:rFonts w:ascii="Cambria" w:hAnsi="Cambria" w:cs="Arial"/>
          <w:spacing w:val="-1"/>
          <w:sz w:val="20"/>
          <w:szCs w:val="20"/>
        </w:rPr>
        <w:t xml:space="preserve"> die diesen direkten Vergleich von UFH zu NMH zum Ziel hatten. Im Rahmen dieser Meta-Analyse wurde deutlich, dass die Verwendung von NHM zur VTE-Prophylaxe mit einem signifikant geringeren Risiko für die Entwicklung einer LAE bzw. einer symptomatischen LAE assoziiert ist, wenngleich das Risiko für die Entstehung einer TVT, einer symptomatischen TVT, von relevanten Blutungskomplikationen oder des Versterbens nicht signifikant beeinflusst wurde. Eine weitere Meta-Analyse zu dem Thema NMH versus UFH zur VTE-Prophylaxe bei intensivpflichtigen Patienten aus dem Jahr 2015 konnte unter Einschluss von insgesamt acht RCTs zeigen, dass eine VTE-Prophylaxe mittels NMH mit einem signifikant geringeren Risiko für die Entwicklung einer TVT assoziiert ist und in einem klinischen Netto-Benefit im Vergleich zur UFH-Applikation resultierte. Allerdings zeigte sich im Rahmen dieser Meta-Analyse kein signifikanter Unterschied in Bezug auf die Entwicklung einer LAE, einer Blutung oder des Versterbens</w:t>
      </w:r>
      <w:r w:rsidR="00BC67BC" w:rsidRPr="00207748">
        <w:rPr>
          <w:rFonts w:ascii="Cambria" w:hAnsi="Cambria" w:cs="Arial"/>
          <w:spacing w:val="-1"/>
          <w:sz w:val="20"/>
          <w:szCs w:val="20"/>
        </w:rPr>
        <w:t>.</w:t>
      </w:r>
      <w:r w:rsidRPr="006B2B71">
        <w:rPr>
          <w:rStyle w:val="EndnoteRealZchn"/>
        </w:rPr>
        <w:endnoteReference w:id="537"/>
      </w:r>
    </w:p>
    <w:p w14:paraId="15AD6364" w14:textId="7A670309" w:rsidR="00420A45" w:rsidRPr="00207748" w:rsidRDefault="00420A45" w:rsidP="004454B6">
      <w:pPr>
        <w:spacing w:before="240"/>
        <w:rPr>
          <w:rFonts w:ascii="Cambria" w:hAnsi="Cambria" w:cs="Arial"/>
          <w:spacing w:val="-1"/>
          <w:sz w:val="20"/>
          <w:szCs w:val="20"/>
        </w:rPr>
      </w:pPr>
      <w:r w:rsidRPr="00207748">
        <w:rPr>
          <w:rFonts w:ascii="Cambria" w:hAnsi="Cambria" w:cs="Arial"/>
          <w:spacing w:val="-1"/>
          <w:sz w:val="20"/>
          <w:szCs w:val="20"/>
        </w:rPr>
        <w:t xml:space="preserve">In Analogie zur Datenlage bei der pharmakologischen VTE-Prophylaxe bei </w:t>
      </w:r>
      <w:r w:rsidRPr="00207748">
        <w:rPr>
          <w:rFonts w:ascii="Cambria" w:hAnsi="Cambria" w:cs="Arial"/>
          <w:spacing w:val="-1"/>
          <w:sz w:val="20"/>
          <w:szCs w:val="20"/>
        </w:rPr>
        <w:lastRenderedPageBreak/>
        <w:t xml:space="preserve">intensivpflichtigen Patienten im Allgemeinen, liegt zur Beantwortung der Effektivitäts- bzw. Sicherheitsfrage von NMH vs. UFH vs. Placebo bei dem Subkollektiv intensivpflichtiger Patienten mit Sepsis bzw. septischem Schock lediglich eine große, prospektive, randomisierte, kontrollierte Studie </w:t>
      </w:r>
      <w:r w:rsidR="006B2B71" w:rsidRPr="006B2B71">
        <w:rPr>
          <w:rStyle w:val="EndnoteRealZchn"/>
        </w:rPr>
        <w:fldChar w:fldCharType="begin"/>
      </w:r>
      <w:r w:rsidR="006B2B71" w:rsidRPr="006B2B71">
        <w:rPr>
          <w:rStyle w:val="EndnoteRealZchn"/>
        </w:rPr>
        <w:instrText xml:space="preserve"> NOTEREF _Ref30605188 \h </w:instrText>
      </w:r>
      <w:r w:rsidR="006B2B71">
        <w:rPr>
          <w:rStyle w:val="EndnoteRealZchn"/>
        </w:rPr>
        <w:instrText xml:space="preserve"> \* MERGEFORMAT </w:instrText>
      </w:r>
      <w:r w:rsidR="006B2B71" w:rsidRPr="006B2B71">
        <w:rPr>
          <w:rStyle w:val="EndnoteRealZchn"/>
        </w:rPr>
      </w:r>
      <w:r w:rsidR="006B2B71" w:rsidRPr="006B2B71">
        <w:rPr>
          <w:rStyle w:val="EndnoteRealZchn"/>
        </w:rPr>
        <w:fldChar w:fldCharType="separate"/>
      </w:r>
      <w:r w:rsidR="001A283B">
        <w:rPr>
          <w:rStyle w:val="EndnoteRealZchn"/>
        </w:rPr>
        <w:t>593</w:t>
      </w:r>
      <w:r w:rsidR="006B2B71" w:rsidRPr="006B2B71">
        <w:rPr>
          <w:rStyle w:val="EndnoteRealZchn"/>
        </w:rPr>
        <w:fldChar w:fldCharType="end"/>
      </w:r>
      <w:r w:rsidRPr="00207748">
        <w:rPr>
          <w:rFonts w:ascii="Cambria" w:hAnsi="Cambria" w:cs="Arial"/>
          <w:spacing w:val="-1"/>
          <w:sz w:val="20"/>
          <w:szCs w:val="20"/>
        </w:rPr>
        <w:t xml:space="preserve"> vor. Wie bei R.1 bereits beschrieben, wurden im Rahmen dieser Studie allerdings alle Patienten gleichzeitig noch mit Drotrecogin alfa behandelt. Im Vergleich der mit UFH vs. NMH behandelten Subgruppen mit mindestens schwerer Sepsis ergab sich ein minimaler und nicht signifikanter Überlebensvorteil in Höhe von 2 % für die mit NMH behandelte Subgruppe septischer Patienten. In Bezug auf die Anwendung von NMH bei rein septischen Patientenkollektiven liegt zudem noch eine Meta-Analyse randomisiert kontrollierter Studien ausschließlich aus China vor (11 Studien mit insg. 594 Patienten), im Rahmen derer die Effektivität und Sicherheit des Einsatzes von NMH zusätzlich zur Routinebehandlung bei Patienten mit Sepsis im Vergleich zur alleinigen Routinebehandlung evaluiert wurde. Durch die NMH-Applikation ließ sich zwar sowohl die Krankheitsschwere (Surrogatparameter: APACHE-II Score), als auch die 28-Tage Mortalität reduzieren, allerdings kam es zu einer signifikanten Zunahme von relevanten Blutungskomplikationen.</w:t>
      </w:r>
    </w:p>
    <w:p w14:paraId="37CA9DBD" w14:textId="77777777" w:rsidR="00420A45" w:rsidRPr="00207748" w:rsidRDefault="00420A45" w:rsidP="004454B6">
      <w:pPr>
        <w:spacing w:before="240"/>
        <w:rPr>
          <w:rFonts w:ascii="Cambria" w:hAnsi="Cambria" w:cs="Arial"/>
          <w:sz w:val="20"/>
          <w:szCs w:val="20"/>
        </w:rPr>
      </w:pPr>
      <w:r w:rsidRPr="00207748">
        <w:rPr>
          <w:rFonts w:ascii="Cambria" w:hAnsi="Cambria" w:cs="Arial"/>
          <w:spacing w:val="-1"/>
          <w:sz w:val="20"/>
          <w:szCs w:val="20"/>
        </w:rPr>
        <w:t>Um die Frage nach dem optimalen Präparat für die VTE-Prophylaxe bei Patienten mit Sepsis bzw. septischem Schock abschließend beantworten zu können, müssen darüber hinaus</w:t>
      </w:r>
      <w:r w:rsidRPr="00207748">
        <w:rPr>
          <w:rFonts w:ascii="Cambria" w:hAnsi="Cambria" w:cs="Arial"/>
          <w:spacing w:val="-1"/>
          <w:sz w:val="20"/>
          <w:szCs w:val="20"/>
          <w:shd w:val="clear" w:color="auto" w:fill="C0C0C0"/>
        </w:rPr>
        <w:t xml:space="preserve"> </w:t>
      </w:r>
      <w:r w:rsidRPr="00207748">
        <w:rPr>
          <w:rFonts w:ascii="Cambria" w:hAnsi="Cambria" w:cs="Arial"/>
          <w:sz w:val="20"/>
          <w:szCs w:val="20"/>
        </w:rPr>
        <w:t>nun noch folgende weitere Aspekte</w:t>
      </w:r>
      <w:r w:rsidRPr="00207748">
        <w:rPr>
          <w:rFonts w:ascii="Cambria" w:hAnsi="Cambria" w:cs="Arial"/>
          <w:spacing w:val="-1"/>
          <w:sz w:val="20"/>
          <w:szCs w:val="20"/>
          <w:shd w:val="clear" w:color="auto" w:fill="C0C0C0"/>
        </w:rPr>
        <w:t xml:space="preserve"> </w:t>
      </w:r>
      <w:r w:rsidRPr="00207748">
        <w:rPr>
          <w:rFonts w:ascii="Cambria" w:hAnsi="Cambria" w:cs="Arial"/>
          <w:sz w:val="20"/>
          <w:szCs w:val="20"/>
        </w:rPr>
        <w:t>berücksichtigt werden:</w:t>
      </w:r>
    </w:p>
    <w:p w14:paraId="73122E27" w14:textId="77777777" w:rsidR="00420A45" w:rsidRPr="00207748" w:rsidRDefault="00420A45" w:rsidP="004454B6">
      <w:pPr>
        <w:spacing w:before="240"/>
        <w:rPr>
          <w:rFonts w:ascii="Cambria" w:eastAsia="Arial" w:hAnsi="Cambria" w:cs="Arial"/>
          <w:sz w:val="20"/>
          <w:szCs w:val="20"/>
        </w:rPr>
      </w:pPr>
      <w:r w:rsidRPr="00207748">
        <w:rPr>
          <w:rFonts w:ascii="Cambria" w:hAnsi="Cambria" w:cs="Arial"/>
          <w:b/>
          <w:bCs/>
          <w:sz w:val="20"/>
          <w:szCs w:val="20"/>
        </w:rPr>
        <w:t xml:space="preserve">Entwicklung einer Heparin-induzierten Thrombopenie (HIT)-II: </w:t>
      </w:r>
      <w:r w:rsidRPr="00207748">
        <w:rPr>
          <w:rFonts w:ascii="Cambria" w:hAnsi="Cambria" w:cs="Arial"/>
          <w:sz w:val="20"/>
          <w:szCs w:val="20"/>
        </w:rPr>
        <w:t>Ein Cochrane-Review aus dem Jahr 2012 vermochte einen signifikanten Rückgang der Inzidenz von Heparin-induzierter Thrombozytopenie (HIT)-II bei postoperativen Patienten zu verzeichnen, wenn diese NMH anstatt UFH erhielten</w:t>
      </w:r>
      <w:r w:rsidR="00D556FD" w:rsidRPr="00207748">
        <w:rPr>
          <w:rFonts w:ascii="Cambria" w:hAnsi="Cambria" w:cs="Arial"/>
          <w:sz w:val="20"/>
          <w:szCs w:val="20"/>
        </w:rPr>
        <w:t>.</w:t>
      </w:r>
      <w:r w:rsidRPr="00207748">
        <w:rPr>
          <w:rFonts w:ascii="Cambria" w:eastAsia="Arial" w:hAnsi="Cambria" w:cs="Arial"/>
          <w:sz w:val="20"/>
          <w:szCs w:val="20"/>
          <w:vertAlign w:val="superscript"/>
        </w:rPr>
        <w:endnoteReference w:id="538"/>
      </w:r>
      <w:r w:rsidRPr="00207748">
        <w:rPr>
          <w:rFonts w:ascii="Cambria" w:hAnsi="Cambria" w:cs="Arial"/>
          <w:sz w:val="20"/>
          <w:szCs w:val="20"/>
        </w:rPr>
        <w:t xml:space="preserve"> Es muss allerdings berücksichtigt werden, dass in dieses Cochrane-Review nur zwei Studien mit insgesamt 923 Patienten eingeschlossen werden konnten und sich beide Studien keineswegs </w:t>
      </w:r>
      <w:r w:rsidRPr="00207748">
        <w:rPr>
          <w:rFonts w:ascii="Cambria" w:hAnsi="Cambria" w:cs="Arial"/>
          <w:sz w:val="20"/>
          <w:szCs w:val="20"/>
        </w:rPr>
        <w:lastRenderedPageBreak/>
        <w:t>spezifisch auf intensivpflichtige oder gar septische Patienten fokussierten.</w:t>
      </w:r>
    </w:p>
    <w:p w14:paraId="1B818DD9" w14:textId="77777777" w:rsidR="00420A45" w:rsidRPr="00207748" w:rsidRDefault="00420A45" w:rsidP="004454B6">
      <w:pPr>
        <w:spacing w:before="240"/>
        <w:rPr>
          <w:rFonts w:ascii="Cambria" w:eastAsia="Arial" w:hAnsi="Cambria" w:cs="Arial"/>
          <w:sz w:val="20"/>
          <w:szCs w:val="20"/>
        </w:rPr>
      </w:pPr>
      <w:r w:rsidRPr="00207748">
        <w:rPr>
          <w:rFonts w:ascii="Cambria" w:hAnsi="Cambria" w:cs="Arial"/>
          <w:b/>
          <w:bCs/>
          <w:spacing w:val="-1"/>
          <w:sz w:val="20"/>
          <w:szCs w:val="20"/>
        </w:rPr>
        <w:t xml:space="preserve">Dosierung &amp; Monitoring: </w:t>
      </w:r>
      <w:r w:rsidRPr="00207748">
        <w:rPr>
          <w:rFonts w:ascii="Cambria" w:hAnsi="Cambria" w:cs="Arial"/>
          <w:sz w:val="20"/>
          <w:szCs w:val="20"/>
        </w:rPr>
        <w:t>Die Applikation von UFH kann in einer Dosierung von 5.000IE alle 8 bzw. 12</w:t>
      </w:r>
      <w:r w:rsidR="00D556FD" w:rsidRPr="00207748">
        <w:rPr>
          <w:rFonts w:ascii="Cambria" w:hAnsi="Cambria" w:cs="Arial"/>
          <w:sz w:val="20"/>
          <w:szCs w:val="20"/>
        </w:rPr>
        <w:t xml:space="preserve"> Stunden</w:t>
      </w:r>
      <w:r w:rsidRPr="00207748">
        <w:rPr>
          <w:rFonts w:ascii="Cambria" w:hAnsi="Cambria" w:cs="Arial"/>
          <w:sz w:val="20"/>
          <w:szCs w:val="20"/>
        </w:rPr>
        <w:t xml:space="preserve"> oder mit 7.500IE alle 12</w:t>
      </w:r>
      <w:r w:rsidR="00D556FD" w:rsidRPr="00207748">
        <w:rPr>
          <w:rFonts w:ascii="Cambria" w:hAnsi="Cambria" w:cs="Arial"/>
          <w:sz w:val="20"/>
          <w:szCs w:val="20"/>
        </w:rPr>
        <w:t xml:space="preserve"> Stunden</w:t>
      </w:r>
      <w:r w:rsidRPr="00207748">
        <w:rPr>
          <w:rFonts w:ascii="Cambria" w:hAnsi="Cambria" w:cs="Arial"/>
          <w:sz w:val="20"/>
          <w:szCs w:val="20"/>
        </w:rPr>
        <w:t xml:space="preserve"> erfolgen. Bei den direkt vergleichenden Studien zu NMH vs. UFH bei intensivpflichtigen</w:t>
      </w:r>
      <w:r w:rsidRPr="00207748">
        <w:rPr>
          <w:rFonts w:ascii="Cambria" w:hAnsi="Cambria" w:cs="Arial"/>
          <w:spacing w:val="-1"/>
          <w:sz w:val="20"/>
          <w:szCs w:val="20"/>
        </w:rPr>
        <w:t xml:space="preserve"> Patienten erfolgte in allen Untersuchungen eine nur zweimal tägliche UFH-Applikation. Qualitativ hochwertige Studien unter Einschluss von i</w:t>
      </w:r>
      <w:r w:rsidRPr="00207748">
        <w:rPr>
          <w:rFonts w:ascii="Cambria" w:hAnsi="Cambria" w:cs="Arial"/>
          <w:sz w:val="20"/>
          <w:szCs w:val="20"/>
        </w:rPr>
        <w:t xml:space="preserve">ntensivpflichtigen Patienten mit einem direkten Vergleich von dreimal täglich verabreichtem UFH vs. NMH sind gegenwärtig nicht verfügbar. </w:t>
      </w:r>
      <w:r w:rsidRPr="00207748">
        <w:rPr>
          <w:rFonts w:ascii="Cambria" w:hAnsi="Cambria" w:cs="Arial"/>
          <w:spacing w:val="-1"/>
          <w:sz w:val="20"/>
          <w:szCs w:val="20"/>
        </w:rPr>
        <w:t>Eine indirekt vergleichende Meta-Analyse aus dem Jahr 2011 konnte jedenfalls keinen signifikanten Unterschied in Bezug auf die Wirksamkeit (Endpunkte: TVT, LAE,</w:t>
      </w:r>
      <w:r w:rsidR="00D556FD" w:rsidRPr="00207748">
        <w:rPr>
          <w:rFonts w:ascii="Cambria" w:hAnsi="Cambria" w:cs="Arial"/>
          <w:spacing w:val="-1"/>
          <w:sz w:val="20"/>
          <w:szCs w:val="20"/>
        </w:rPr>
        <w:t xml:space="preserve"> </w:t>
      </w:r>
      <w:r w:rsidRPr="00207748">
        <w:rPr>
          <w:rFonts w:ascii="Cambria" w:hAnsi="Cambria" w:cs="Arial"/>
          <w:spacing w:val="-1"/>
          <w:sz w:val="20"/>
          <w:szCs w:val="20"/>
        </w:rPr>
        <w:t>relevante Blutung, Versterben) zwischen zweimal und dreimal täglich verabreichtem UFH bei den in die Analyse eingeschlossenen Patienten nachweisen (517</w:t>
      </w:r>
      <w:r w:rsidRPr="006B2B71">
        <w:rPr>
          <w:rStyle w:val="EndnoteZchn"/>
        </w:rPr>
        <w:endnoteReference w:id="539"/>
      </w:r>
      <w:r w:rsidRPr="00207748">
        <w:rPr>
          <w:rFonts w:ascii="Cambria" w:hAnsi="Cambria" w:cs="Arial"/>
          <w:spacing w:val="-1"/>
          <w:sz w:val="20"/>
          <w:szCs w:val="20"/>
        </w:rPr>
        <w:t>).</w:t>
      </w:r>
      <w:r w:rsidRPr="00207748">
        <w:rPr>
          <w:rFonts w:ascii="Cambria" w:hAnsi="Cambria" w:cs="Arial"/>
          <w:sz w:val="20"/>
          <w:szCs w:val="20"/>
        </w:rPr>
        <w:t xml:space="preserve"> Im Gegensatz hierzu suggerierte ein anderes Review mit Meta-Analyse, der ebenso eine indirekte Vergleichsmethodik zugrunde lag, eine höhere Wirksamkeit von dreimal täglich verabreichtem UFH bei aber gleichzeitig erhöhtem Blutungsrisiko</w:t>
      </w:r>
      <w:r w:rsidR="00D556FD" w:rsidRPr="00207748">
        <w:rPr>
          <w:rFonts w:ascii="Cambria" w:hAnsi="Cambria" w:cs="Arial"/>
          <w:sz w:val="20"/>
          <w:szCs w:val="20"/>
        </w:rPr>
        <w:t>.</w:t>
      </w:r>
      <w:r w:rsidRPr="00207748">
        <w:rPr>
          <w:rFonts w:ascii="Cambria" w:eastAsia="Arial" w:hAnsi="Cambria" w:cs="Arial"/>
          <w:sz w:val="20"/>
          <w:szCs w:val="20"/>
          <w:vertAlign w:val="superscript"/>
        </w:rPr>
        <w:endnoteReference w:id="540"/>
      </w:r>
      <w:r w:rsidRPr="00207748">
        <w:rPr>
          <w:rFonts w:ascii="Cambria" w:hAnsi="Cambria" w:cs="Arial"/>
          <w:sz w:val="20"/>
          <w:szCs w:val="20"/>
        </w:rPr>
        <w:t xml:space="preserve"> </w:t>
      </w:r>
    </w:p>
    <w:p w14:paraId="542B8517" w14:textId="77777777" w:rsidR="00420A45" w:rsidRPr="00207748" w:rsidRDefault="00420A45" w:rsidP="004454B6">
      <w:pPr>
        <w:spacing w:before="240"/>
        <w:rPr>
          <w:rFonts w:ascii="Cambria" w:eastAsia="Arial" w:hAnsi="Cambria" w:cs="Arial"/>
          <w:sz w:val="20"/>
          <w:szCs w:val="20"/>
        </w:rPr>
      </w:pPr>
      <w:r w:rsidRPr="00207748">
        <w:rPr>
          <w:rFonts w:ascii="Cambria" w:hAnsi="Cambria" w:cs="Arial"/>
          <w:b/>
          <w:bCs/>
          <w:sz w:val="20"/>
          <w:szCs w:val="20"/>
        </w:rPr>
        <w:t xml:space="preserve">Applikationsweise (intravenöse vs. subkutane VTE-Prophylaxe): </w:t>
      </w:r>
      <w:r w:rsidRPr="00207748">
        <w:rPr>
          <w:rFonts w:ascii="Cambria" w:hAnsi="Cambria" w:cs="Arial"/>
          <w:sz w:val="20"/>
          <w:szCs w:val="20"/>
        </w:rPr>
        <w:t xml:space="preserve">Aufgrund vielfältiger Einflussfaktoren (z.B. Schockzustand mit Katecholaminpflichtigkeit, positive Flüssigkeitsbilanz mit ausgeprägter Ödembildung, schwerwiegende Organdysfunktionen) besteht im Rahmen einer Sepsis bzw. eines septischen Schocks das Risiko für eine nicht vorhersehbare bzw. gestörte Resorption von subkutan appliziertem UFH bzw. NMH. Gerade bei der subkutanen Applikation von geringen oder moderaten UFH-Dosen (5.000-15.000IE/24h), so wie es vor allem im Rahmen der klassischen VTE-Prophylaxe erfolgt, muss mit einer reduzierten Bioverfügbarkeit gerechnet werden. In Analogie hierzu konnte in einer randomisierten doppelblinden Studie an insgesamt 115 Patienten mit akuter proximaler TVT gezeigt werden, dass eine kontinuierliche intravenöse Dauerapplikation im Vergleich zu einer intermittierenden subkutanen Bolusapplikation von UFH (jeweils </w:t>
      </w:r>
      <w:r w:rsidRPr="00207748">
        <w:rPr>
          <w:rFonts w:ascii="Cambria" w:hAnsi="Cambria" w:cs="Arial"/>
          <w:sz w:val="20"/>
          <w:szCs w:val="20"/>
        </w:rPr>
        <w:lastRenderedPageBreak/>
        <w:t>30.000IE/24h) signifikant häufiger zu einer initialen therapeutischen Antikoagulation führt (i.v.: 70,7 % vs. s.c. 36,8 %). Das insuffiziente therapeutische Ansprechen auf die s.c.-Applikation war wiederum mit einer signifikant höheren Rethromboserate assoziiert (i.v. 3/58 Patienten vs. s.c. 11/57 Patienten; p=0,024).</w:t>
      </w:r>
      <w:r w:rsidR="00D556FD" w:rsidRPr="00207748">
        <w:rPr>
          <w:rStyle w:val="Endnotenzeichen"/>
          <w:rFonts w:ascii="Cambria" w:hAnsi="Cambria" w:cs="Arial"/>
          <w:sz w:val="20"/>
          <w:szCs w:val="20"/>
        </w:rPr>
        <w:endnoteReference w:id="541"/>
      </w:r>
      <w:r w:rsidRPr="00207748">
        <w:rPr>
          <w:rFonts w:ascii="Cambria" w:hAnsi="Cambria" w:cs="Arial"/>
          <w:sz w:val="20"/>
          <w:szCs w:val="20"/>
        </w:rPr>
        <w:t xml:space="preserve"> Somit scheint also im Fall von UFH die i.v.-Applikation die sicherste Applikationsweise für Intensivpatienten darzustellen. Ebenso kritisch muss aber auch die subkutane Bioverfügbarkeit von NMH bei intensivpflichtigen Patienten gesehen werden. So konnte im Rahmen einer klinisch prospektiven Studie unter Einschluss von 89 intensivpflichtigen Patienten gezeigt werden, dass die s.c.-Applikation von Enoxaparin 40mg zu den Zeitpunkten 4h, 12h sowie 24h nach Applikation nur in 56,5 %, 39,3 % sowie 12,6 % der Fälle zu dem angestrebten Anti-Xa-Spiegel von 0,1-0,3IE/ml führte.</w:t>
      </w:r>
      <w:r w:rsidR="00D556FD" w:rsidRPr="00207748">
        <w:rPr>
          <w:rStyle w:val="Endnotenzeichen"/>
          <w:rFonts w:ascii="Cambria" w:hAnsi="Cambria" w:cs="Arial"/>
          <w:sz w:val="20"/>
          <w:szCs w:val="20"/>
        </w:rPr>
        <w:endnoteReference w:id="542"/>
      </w:r>
      <w:r w:rsidRPr="00207748">
        <w:rPr>
          <w:rFonts w:ascii="Cambria" w:hAnsi="Cambria" w:cs="Arial"/>
          <w:sz w:val="20"/>
          <w:szCs w:val="20"/>
        </w:rPr>
        <w:t xml:space="preserve"> Vergleichbare Ergebnisse zeigten sich auch in einer prospektiven Observationsstudie unter Einschluss von 55 intensivpflichtigen Patienten. Ein suffizienter Anti-Xa-Spiegel in Höhe von 0,1-0,3IE/ml wurde hier nur bei 87,3 %, 32,7 % sowie 0 % der Patienten zu den Zeitpunkten 4, 12 und 24h nach Applikation von Enoxaparin 40mg erreicht.</w:t>
      </w:r>
      <w:r w:rsidR="00D556FD" w:rsidRPr="00207748">
        <w:rPr>
          <w:rStyle w:val="Endnotenzeichen"/>
          <w:rFonts w:ascii="Cambria" w:hAnsi="Cambria" w:cs="Arial"/>
          <w:sz w:val="20"/>
          <w:szCs w:val="20"/>
        </w:rPr>
        <w:endnoteReference w:id="543"/>
      </w:r>
      <w:r w:rsidRPr="00207748">
        <w:rPr>
          <w:rFonts w:ascii="Cambria" w:hAnsi="Cambria" w:cs="Arial"/>
          <w:sz w:val="20"/>
          <w:szCs w:val="20"/>
        </w:rPr>
        <w:t xml:space="preserve"> Als Risikofaktoren für ein unzureichendes Ansprechen auf die s.c.-Applikation wurden ein hohes Körpergewicht, eine hohe Erkrankungsschwere bzw. die Existenz eines Multiorganversagens identifiziert. Vergleichbare Ergebnisse sind auch für andere NMH wie z.B. Certoparin oder Dalteparin beschrieben.</w:t>
      </w:r>
      <w:r w:rsidR="00D556FD" w:rsidRPr="00207748">
        <w:rPr>
          <w:rStyle w:val="Endnotenzeichen"/>
          <w:rFonts w:ascii="Cambria" w:hAnsi="Cambria" w:cs="Arial"/>
          <w:sz w:val="20"/>
          <w:szCs w:val="20"/>
        </w:rPr>
        <w:endnoteReference w:id="544"/>
      </w:r>
      <w:r w:rsidRPr="00207748">
        <w:rPr>
          <w:rFonts w:ascii="Cambria" w:hAnsi="Cambria" w:cs="Arial"/>
          <w:sz w:val="20"/>
          <w:szCs w:val="20"/>
        </w:rPr>
        <w:t xml:space="preserve"> Durch die höherdosierte Applikation von NMH (z.B. Enoxaparin 1x 1mg/kgKG per die oder 2x 40mg per die) ist es jedoch möglich, auch bei intensivpflichtigen Patienten Anti-Xa-Spiegel im angestrebten Zielbereich zu erreichen.</w:t>
      </w:r>
      <w:r w:rsidR="00D556FD" w:rsidRPr="00207748">
        <w:rPr>
          <w:rStyle w:val="Endnotenzeichen"/>
          <w:rFonts w:ascii="Cambria" w:hAnsi="Cambria" w:cs="Arial"/>
          <w:sz w:val="20"/>
          <w:szCs w:val="20"/>
        </w:rPr>
        <w:endnoteReference w:id="545"/>
      </w:r>
      <w:r w:rsidRPr="00207748">
        <w:rPr>
          <w:rFonts w:ascii="Cambria" w:hAnsi="Cambria" w:cs="Arial"/>
          <w:sz w:val="20"/>
          <w:szCs w:val="20"/>
        </w:rPr>
        <w:t xml:space="preserve"> </w:t>
      </w:r>
    </w:p>
    <w:p w14:paraId="249D933B" w14:textId="745BF272" w:rsidR="00420A45" w:rsidRPr="00207748" w:rsidRDefault="00420A45" w:rsidP="004454B6">
      <w:pPr>
        <w:spacing w:before="240"/>
        <w:rPr>
          <w:rFonts w:ascii="Cambria" w:eastAsia="Arial" w:hAnsi="Cambria" w:cs="Arial"/>
          <w:sz w:val="20"/>
          <w:szCs w:val="20"/>
        </w:rPr>
      </w:pPr>
      <w:r w:rsidRPr="00207748">
        <w:rPr>
          <w:rFonts w:ascii="Cambria" w:hAnsi="Cambria" w:cs="Arial"/>
          <w:b/>
          <w:bCs/>
          <w:spacing w:val="-4"/>
          <w:sz w:val="20"/>
          <w:szCs w:val="20"/>
        </w:rPr>
        <w:t>Renale Dysfunktion:</w:t>
      </w:r>
      <w:r w:rsidRPr="00207748">
        <w:rPr>
          <w:rFonts w:ascii="Cambria" w:hAnsi="Cambria" w:cs="Arial"/>
          <w:spacing w:val="-4"/>
          <w:sz w:val="20"/>
          <w:szCs w:val="20"/>
        </w:rPr>
        <w:t xml:space="preserve"> Bei Patienten mit renaler Dysfunktion muss im Falle einer Nutzung von NMH eine mögliche Bioakkumulation mit </w:t>
      </w:r>
      <w:r w:rsidRPr="00207748">
        <w:rPr>
          <w:rFonts w:ascii="Cambria" w:hAnsi="Cambria" w:cs="Arial"/>
          <w:sz w:val="20"/>
          <w:szCs w:val="20"/>
        </w:rPr>
        <w:t>nachfolgend erhöhtem Blutungsrisiko bedacht werden. Dies trifft in besonderem Maße für intensivpflichtige Patienten zu, da nahezu ein Drittel der Patienten bereits bei Aufnahme auf ITS eine Kreatinin-Clearance von weniger als 30ml/min aufweist.</w:t>
      </w:r>
      <w:r w:rsidR="00D556FD" w:rsidRPr="006B2B71">
        <w:rPr>
          <w:rStyle w:val="EndnoteRealZchn"/>
        </w:rPr>
        <w:endnoteReference w:id="546"/>
      </w:r>
      <w:r w:rsidRPr="006B2B71">
        <w:rPr>
          <w:rStyle w:val="EndnoteRealZchn"/>
        </w:rPr>
        <w:t xml:space="preserve"> </w:t>
      </w:r>
      <w:r w:rsidRPr="00207748">
        <w:rPr>
          <w:rFonts w:ascii="Cambria" w:hAnsi="Cambria" w:cs="Arial"/>
          <w:sz w:val="20"/>
          <w:szCs w:val="20"/>
        </w:rPr>
        <w:t xml:space="preserve">Eine erste Meta-Analyse </w:t>
      </w:r>
      <w:r w:rsidRPr="00207748">
        <w:rPr>
          <w:rFonts w:ascii="Cambria" w:hAnsi="Cambria" w:cs="Arial"/>
          <w:sz w:val="20"/>
          <w:szCs w:val="20"/>
        </w:rPr>
        <w:lastRenderedPageBreak/>
        <w:t>aus dem Jahr 2006 konnte bei intensivpflichtigen Patienten mit einer Kreatinin-Clearance ≤30ml/min zeigen, dass die Applikation des NMH Enoxaparin in therapeutischer Standarddosierung ohne Anpassung an die Nierenfunktion zu einer relevanten Bioakkumulation mit signifikant erhöhtem Blutungsrisiko führt. Aufgrund einer insuffizienten Datenlage war diese Meta-Analyse allerdings nicht in der Lage, eine relevante Bioakkumulation von Enoxaparin in rein prophylaktischer Dosierung nachzuweisen.</w:t>
      </w:r>
      <w:r w:rsidR="004C05FB" w:rsidRPr="006B2B71">
        <w:rPr>
          <w:rStyle w:val="EndnoteRealZchn"/>
        </w:rPr>
        <w:endnoteReference w:id="547"/>
      </w:r>
      <w:r w:rsidRPr="006B2B71">
        <w:rPr>
          <w:rStyle w:val="EndnoteRealZchn"/>
        </w:rPr>
        <w:t xml:space="preserve"> </w:t>
      </w:r>
      <w:r w:rsidRPr="00207748">
        <w:rPr>
          <w:rFonts w:ascii="Cambria" w:hAnsi="Cambria" w:cs="Arial"/>
          <w:sz w:val="20"/>
          <w:szCs w:val="20"/>
        </w:rPr>
        <w:t>In Bezug auf das potentielle Risiko für eine Bioakkumulation von NMH im Rahmen einer derartigen rein prophylaktischen Dosierung liegen vor allem für das NMH Dalteparin (1x 5.000IE s.c. per die) weiterführende Studien vor. Im Rahmen einer observierenden Kohortenstudie von Rabbat et al. unter Einschluss von insgesamt 19 intensivpflichtigen Patienten mit einer Kreatinin-Clearance von mehr als 30ml/min bei Aufnahme auf die ITS, kam es jedenfalls zu keiner relevanten Bioakkumulation von Dalteparin.</w:t>
      </w:r>
      <w:r w:rsidR="004C05FB" w:rsidRPr="006B2B71">
        <w:rPr>
          <w:rStyle w:val="EndnoteRealZchn"/>
        </w:rPr>
        <w:endnoteReference w:id="548"/>
      </w:r>
      <w:r w:rsidRPr="006B2B71">
        <w:rPr>
          <w:rStyle w:val="EndnoteRealZchn"/>
        </w:rPr>
        <w:t xml:space="preserve"> </w:t>
      </w:r>
      <w:r w:rsidRPr="00207748">
        <w:rPr>
          <w:rFonts w:ascii="Cambria" w:hAnsi="Cambria" w:cs="Arial"/>
          <w:sz w:val="20"/>
          <w:szCs w:val="20"/>
        </w:rPr>
        <w:t xml:space="preserve">Ebenso wurde in der sog. DIRECT-Studie </w:t>
      </w:r>
      <w:r w:rsidRPr="006B2B71">
        <w:rPr>
          <w:rStyle w:val="EndnoteRealZchn"/>
        </w:rPr>
        <w:endnoteReference w:id="549"/>
      </w:r>
      <w:r w:rsidRPr="00207748">
        <w:rPr>
          <w:rFonts w:ascii="Cambria" w:hAnsi="Cambria" w:cs="Arial"/>
          <w:sz w:val="20"/>
          <w:szCs w:val="20"/>
        </w:rPr>
        <w:t xml:space="preserve"> keine Bioakkumulation von Dalteparin bei Patienten (n=138) mit einer kalkulierten Kreatinin-Clearance von weniger als 30 ml/min nachgewiesen, so dass diese Patientengruppe anschließend auch in die sog. PROTECT-Studie mit einbezogen wurde</w:t>
      </w:r>
      <w:r w:rsidR="004C05FB" w:rsidRPr="00207748">
        <w:rPr>
          <w:rFonts w:ascii="Cambria" w:hAnsi="Cambria" w:cs="Arial"/>
          <w:sz w:val="20"/>
          <w:szCs w:val="20"/>
        </w:rPr>
        <w:t>.</w:t>
      </w:r>
      <w:bookmarkStart w:id="473" w:name="_Ref30605294"/>
      <w:r w:rsidRPr="006B2B71">
        <w:rPr>
          <w:rStyle w:val="EndnoteRealZchn"/>
        </w:rPr>
        <w:endnoteReference w:id="550"/>
      </w:r>
      <w:bookmarkEnd w:id="473"/>
      <w:r w:rsidRPr="006B2B71">
        <w:rPr>
          <w:rStyle w:val="EndnoteRealZchn"/>
        </w:rPr>
        <w:t xml:space="preserve"> </w:t>
      </w:r>
      <w:r w:rsidRPr="00207748">
        <w:rPr>
          <w:rFonts w:ascii="Cambria" w:hAnsi="Cambria" w:cs="Arial"/>
          <w:sz w:val="20"/>
          <w:szCs w:val="20"/>
        </w:rPr>
        <w:t>Im Rahmen der PROTECT-Studie wurden schließlich 118 Patienten mit akutem Nierenversagen analysiert, von denen 60 Patienten einer Behandlung mit Dalteparin und 58 Patienten einer Behandlung mit UFH zugeordnet wurden. In dieser speziellen Subgruppe intensivpflichtiger Patienten</w:t>
      </w:r>
      <w:r w:rsidRPr="00207748">
        <w:rPr>
          <w:rFonts w:ascii="Cambria" w:hAnsi="Cambria" w:cs="Arial"/>
          <w:spacing w:val="-4"/>
          <w:sz w:val="20"/>
          <w:szCs w:val="20"/>
        </w:rPr>
        <w:t xml:space="preserve"> ergab sich kein Anhalt für ein vermehrtes Auftreten unerwünschter Ereignisse bei Patienten, die mit Dalteparin im Vergleich zu UFH behandelt wurden. Umgekehrt erwies sich in dieser kleinen Subgruppe die Behandlung mit Dalteparin jedoch auch nicht als effektiver im Vergleich zur VTE-Prophylaxe mittels UFH. Inwiefern andere NMH-Präparationen genauso sicher wie Dalteparin bei Patienten mit akutem Nierenversagen zur VTE-Prophylaxe eingesetzt werden können, bleibt jedoch ungewiss, da keine anderen qualitativ hochwertigen Daten zu dieser Fragestellung </w:t>
      </w:r>
      <w:r w:rsidRPr="00207748">
        <w:rPr>
          <w:rFonts w:ascii="Cambria" w:hAnsi="Cambria" w:cs="Arial"/>
          <w:spacing w:val="-4"/>
          <w:sz w:val="20"/>
          <w:szCs w:val="20"/>
        </w:rPr>
        <w:lastRenderedPageBreak/>
        <w:t xml:space="preserve">verfügbar sind. </w:t>
      </w:r>
      <w:r w:rsidRPr="00207748">
        <w:rPr>
          <w:rFonts w:ascii="Cambria" w:hAnsi="Cambria" w:cs="Arial"/>
          <w:sz w:val="20"/>
          <w:szCs w:val="20"/>
        </w:rPr>
        <w:t xml:space="preserve">Nebenbefundlich suggerierte eine im Jahr 2014 publizierte Kosten-Nutzen-Analyse von Fowler et al., welche die Datenbasis der PROTECT-Studie nutzte </w:t>
      </w:r>
      <w:r w:rsidR="006B2B71" w:rsidRPr="006B2B71">
        <w:rPr>
          <w:rStyle w:val="EndnoteRealZchn"/>
        </w:rPr>
        <w:fldChar w:fldCharType="begin"/>
      </w:r>
      <w:r w:rsidR="006B2B71" w:rsidRPr="006B2B71">
        <w:rPr>
          <w:rStyle w:val="EndnoteRealZchn"/>
        </w:rPr>
        <w:instrText xml:space="preserve"> NOTEREF _Ref30605294 \h </w:instrText>
      </w:r>
      <w:r w:rsidR="006B2B71">
        <w:rPr>
          <w:rStyle w:val="EndnoteRealZchn"/>
        </w:rPr>
        <w:instrText xml:space="preserve"> \* MERGEFORMAT </w:instrText>
      </w:r>
      <w:r w:rsidR="006B2B71" w:rsidRPr="006B2B71">
        <w:rPr>
          <w:rStyle w:val="EndnoteRealZchn"/>
        </w:rPr>
      </w:r>
      <w:r w:rsidR="006B2B71" w:rsidRPr="006B2B71">
        <w:rPr>
          <w:rStyle w:val="EndnoteRealZchn"/>
        </w:rPr>
        <w:fldChar w:fldCharType="separate"/>
      </w:r>
      <w:r w:rsidR="001A283B">
        <w:rPr>
          <w:rStyle w:val="EndnoteRealZchn"/>
        </w:rPr>
        <w:t>607</w:t>
      </w:r>
      <w:r w:rsidR="006B2B71" w:rsidRPr="006B2B71">
        <w:rPr>
          <w:rStyle w:val="EndnoteRealZchn"/>
        </w:rPr>
        <w:fldChar w:fldCharType="end"/>
      </w:r>
      <w:r w:rsidRPr="00207748">
        <w:rPr>
          <w:rFonts w:ascii="Cambria" w:hAnsi="Cambria" w:cs="Arial"/>
          <w:sz w:val="20"/>
          <w:szCs w:val="20"/>
        </w:rPr>
        <w:t>, dass die Verwendung von NMH zum Zweck der VTE-Prophylaxe trotz einer Zunahme der unmittelbaren Kosten für das eingesetzte Antikoagulans zu einem allgemeinen Rückgang der Gesamtbehandlungskosten führt</w:t>
      </w:r>
      <w:r w:rsidR="004C05FB" w:rsidRPr="00207748">
        <w:rPr>
          <w:rFonts w:ascii="Cambria" w:hAnsi="Cambria" w:cs="Arial"/>
          <w:sz w:val="20"/>
          <w:szCs w:val="20"/>
        </w:rPr>
        <w:t>.</w:t>
      </w:r>
      <w:r w:rsidRPr="00207748">
        <w:rPr>
          <w:rFonts w:ascii="Cambria" w:eastAsia="Arial" w:hAnsi="Cambria" w:cs="Arial"/>
          <w:sz w:val="20"/>
          <w:szCs w:val="20"/>
          <w:vertAlign w:val="superscript"/>
        </w:rPr>
        <w:endnoteReference w:id="551"/>
      </w:r>
    </w:p>
    <w:p w14:paraId="4C260A09" w14:textId="348A349F" w:rsidR="00420A45" w:rsidRPr="00207748" w:rsidRDefault="00420A45" w:rsidP="004454B6">
      <w:pPr>
        <w:tabs>
          <w:tab w:val="decimal" w:pos="360"/>
        </w:tabs>
        <w:spacing w:before="240"/>
        <w:rPr>
          <w:rFonts w:ascii="Cambria" w:hAnsi="Cambria" w:cs="Arial"/>
          <w:spacing w:val="-4"/>
          <w:sz w:val="20"/>
          <w:szCs w:val="20"/>
        </w:rPr>
      </w:pPr>
      <w:r w:rsidRPr="00207748">
        <w:rPr>
          <w:rFonts w:ascii="Cambria" w:hAnsi="Cambria" w:cs="Arial"/>
          <w:spacing w:val="-4"/>
          <w:sz w:val="20"/>
          <w:szCs w:val="20"/>
        </w:rPr>
        <w:t>Vordergründig scheint also die Nutzung von NMH zur VTE-Prophylaxe bei kritisch erkrankten Patienten grundsätzlich einfach, effektiv und zugleich auch kostengünstig zu sein, so dass die SSC-Leitlinie 2016 eine starke Empfehlung für die Nutzung von NMH anstelle von UFH aussprach, wann immer dies praktisch möglich ist. Der zugehörige Evidenzgrad wurde jedoch nur als mittelgradig eingestuft, da die zugrundeliegende Datenbasis durch eine ausgeprägte Indirektheit gekennzeichnet ist (wie z.B. (1.) keine rein septischen Patientenkollektive, sondern gemischte Kollektive intensivpflichtiger Patienten, (2.) systematische Vergleiche zwischen NMH und UFH zur VTE-Prophylaxe jeweils mit nur zweimal täglich verabreichtem UFH anstatt mit dreimal täglicher UFH-Verabreichung). Neben der SSC-Leitlinie 2016 wird aber auch durch die aktuell gültige S3-Leitlinie „Prophylaxe der venösen Thromboembolie (VTE)“ (AWMF-Leitlinien Register-Nr. 003/001), und die aktuellen europäischen Leitlinien zur perioperativen VTE-Prophylaxe bei intensivpflichtigen Patienten der European Society of Anaesthesiology (ESA)</w:t>
      </w:r>
      <w:r w:rsidR="004C05FB" w:rsidRPr="006B2B71">
        <w:rPr>
          <w:rStyle w:val="EndnoteRealZchn"/>
        </w:rPr>
        <w:endnoteReference w:id="552"/>
      </w:r>
      <w:r w:rsidRPr="00207748">
        <w:rPr>
          <w:rFonts w:ascii="Cambria" w:hAnsi="Cambria" w:cs="Arial"/>
          <w:spacing w:val="-4"/>
          <w:sz w:val="20"/>
          <w:szCs w:val="20"/>
        </w:rPr>
        <w:t xml:space="preserve"> der Einsatz von NMH auf ITS gegenüber UFH bevorzugt. Demgegenüber wird durch d</w:t>
      </w:r>
      <w:r w:rsidR="00342FB3" w:rsidRPr="00207748">
        <w:rPr>
          <w:rFonts w:ascii="Cambria" w:hAnsi="Cambria" w:cs="Arial"/>
          <w:spacing w:val="-4"/>
          <w:sz w:val="20"/>
          <w:szCs w:val="20"/>
        </w:rPr>
        <w:t>ie</w:t>
      </w:r>
      <w:r w:rsidRPr="00207748">
        <w:rPr>
          <w:rFonts w:ascii="Cambria" w:hAnsi="Cambria" w:cs="Arial"/>
          <w:spacing w:val="-4"/>
          <w:sz w:val="20"/>
          <w:szCs w:val="20"/>
        </w:rPr>
        <w:t xml:space="preserve"> </w:t>
      </w:r>
      <w:r w:rsidR="00342FB3" w:rsidRPr="00207748">
        <w:rPr>
          <w:rFonts w:ascii="Cambria" w:hAnsi="Cambria" w:cs="Arial"/>
          <w:spacing w:val="-4"/>
          <w:sz w:val="20"/>
          <w:szCs w:val="20"/>
        </w:rPr>
        <w:t>hiesige Leitlinienkommission</w:t>
      </w:r>
      <w:r w:rsidRPr="00207748">
        <w:rPr>
          <w:rFonts w:ascii="Cambria" w:hAnsi="Cambria" w:cs="Arial"/>
          <w:spacing w:val="-4"/>
          <w:sz w:val="20"/>
          <w:szCs w:val="20"/>
        </w:rPr>
        <w:t xml:space="preserve"> gerade der Aspekt der nicht vorhersehbaren subkutanen Resorption bei septischem Schock sowie die nicht auszuschließende Bioakkumulation bei Niereninsuffizienz als kritisch erachtet, so dass in der hier vorliegenden S3-Leitlinie keine klare Empfehlung für die Bevorzugung von (subkutan appliziertem) NMH gegenüber UFH zur VTE-Prophylaxe ausgesprochen wird (=keine SSC-Leitlinienadaptation, DSG-Leitlinienstellungnahme). Dies ist analog zu einer weiteren Empfehlung innerhalb der S3-Leitlinie „Prophylaxe der venösen Thromboembolie (VTE)“</w:t>
      </w:r>
      <w:r w:rsidR="006B2B71">
        <w:rPr>
          <w:rFonts w:ascii="Cambria" w:hAnsi="Cambria" w:cs="Arial"/>
          <w:spacing w:val="-4"/>
          <w:sz w:val="20"/>
          <w:szCs w:val="20"/>
        </w:rPr>
        <w:t xml:space="preserve"> </w:t>
      </w:r>
      <w:r w:rsidR="003B1537" w:rsidRPr="006B2B71">
        <w:rPr>
          <w:rStyle w:val="EndnoteRealZchn"/>
        </w:rPr>
        <w:endnoteReference w:id="553"/>
      </w:r>
      <w:r w:rsidRPr="006B2B71">
        <w:rPr>
          <w:rStyle w:val="EndnoteRealZchn"/>
        </w:rPr>
        <w:t>,</w:t>
      </w:r>
      <w:r w:rsidRPr="00207748">
        <w:rPr>
          <w:rFonts w:ascii="Cambria" w:hAnsi="Cambria" w:cs="Arial"/>
          <w:spacing w:val="-4"/>
          <w:sz w:val="20"/>
          <w:szCs w:val="20"/>
        </w:rPr>
        <w:t xml:space="preserve"> die bei Blutungsneigung, Niereninsuffizienz </w:t>
      </w:r>
      <w:r w:rsidRPr="00207748">
        <w:rPr>
          <w:rFonts w:ascii="Cambria" w:hAnsi="Cambria" w:cs="Arial"/>
          <w:spacing w:val="-4"/>
          <w:sz w:val="20"/>
          <w:szCs w:val="20"/>
        </w:rPr>
        <w:lastRenderedPageBreak/>
        <w:t>oder unsicherer Resorption alternativ auch die intravenöse Verabreichung von UFH in niedriger Dosierung („low dose“) legitimiert, wenngleich dies bisher nicht im Rahmen von Studien validiert wurde. Diesbezüglich wird die i.v.-Applikation von UFH in einer Dosierung von 10.000-15.000IE/24h als angemessen erachtet.</w:t>
      </w:r>
    </w:p>
    <w:tbl>
      <w:tblPr>
        <w:tblStyle w:val="TableNormal1"/>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08"/>
        <w:gridCol w:w="844"/>
      </w:tblGrid>
      <w:tr w:rsidR="00420A45" w:rsidRPr="00207748" w14:paraId="6F9271BC"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A5BDFAC" w14:textId="77777777" w:rsidR="00420A45" w:rsidRPr="00207748" w:rsidRDefault="00420A45" w:rsidP="004454B6">
            <w:pPr>
              <w:pBdr>
                <w:top w:val="none" w:sz="0" w:space="0" w:color="auto"/>
                <w:left w:val="none" w:sz="0" w:space="0" w:color="auto"/>
                <w:bottom w:val="none" w:sz="0" w:space="0" w:color="auto"/>
                <w:right w:val="none" w:sz="0" w:space="0" w:color="auto"/>
                <w:between w:val="none" w:sz="0" w:space="0" w:color="auto"/>
                <w:bar w:val="none" w:sz="0" w:color="auto"/>
              </w:pBdr>
              <w:rPr>
                <w:rStyle w:val="Ohne"/>
                <w:rFonts w:ascii="Cambria" w:hAnsi="Cambria" w:cs="Arial"/>
                <w:b/>
                <w:bCs/>
                <w:sz w:val="20"/>
                <w:szCs w:val="20"/>
              </w:rPr>
            </w:pPr>
            <w:r w:rsidRPr="00207748">
              <w:rPr>
                <w:rStyle w:val="Ohne"/>
                <w:rFonts w:ascii="Cambria" w:hAnsi="Cambria" w:cs="Arial"/>
                <w:b/>
                <w:bCs/>
                <w:sz w:val="20"/>
                <w:szCs w:val="20"/>
              </w:rPr>
              <w:t>R. 3</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1A0B29B" w14:textId="77777777" w:rsidR="00420A45" w:rsidRPr="00207748" w:rsidRDefault="00420A45" w:rsidP="008B1A6E">
            <w:pPr>
              <w:pBdr>
                <w:top w:val="none" w:sz="0" w:space="0" w:color="auto"/>
                <w:left w:val="none" w:sz="0" w:space="0" w:color="auto"/>
                <w:bottom w:val="none" w:sz="0" w:space="0" w:color="auto"/>
                <w:right w:val="none" w:sz="0" w:space="0" w:color="auto"/>
                <w:between w:val="none" w:sz="0" w:space="0" w:color="auto"/>
                <w:bar w:val="none" w:sz="0" w:color="auto"/>
              </w:pBdr>
              <w:rPr>
                <w:rStyle w:val="Ohne"/>
                <w:rFonts w:ascii="Cambria" w:hAnsi="Cambria" w:cs="Arial"/>
                <w:b/>
                <w:bCs/>
                <w:sz w:val="20"/>
                <w:szCs w:val="20"/>
              </w:rPr>
            </w:pPr>
            <w:r w:rsidRPr="00207748">
              <w:rPr>
                <w:rStyle w:val="Ohne"/>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CF0DE70" w14:textId="77777777" w:rsidR="00420A45" w:rsidRPr="00207748" w:rsidRDefault="00420A45" w:rsidP="008B1A6E">
            <w:pPr>
              <w:pBdr>
                <w:top w:val="none" w:sz="0" w:space="0" w:color="auto"/>
                <w:left w:val="none" w:sz="0" w:space="0" w:color="auto"/>
                <w:bottom w:val="none" w:sz="0" w:space="0" w:color="auto"/>
                <w:right w:val="none" w:sz="0" w:space="0" w:color="auto"/>
                <w:between w:val="none" w:sz="0" w:space="0" w:color="auto"/>
                <w:bar w:val="none" w:sz="0" w:color="auto"/>
              </w:pBdr>
              <w:rPr>
                <w:rStyle w:val="Ohne"/>
                <w:rFonts w:ascii="Cambria" w:hAnsi="Cambria" w:cs="Arial"/>
                <w:b/>
                <w:bCs/>
                <w:sz w:val="20"/>
                <w:szCs w:val="20"/>
              </w:rPr>
            </w:pPr>
            <w:r w:rsidRPr="00207748">
              <w:rPr>
                <w:rStyle w:val="Ohne"/>
                <w:rFonts w:ascii="Cambria" w:hAnsi="Cambria" w:cs="Arial"/>
                <w:b/>
                <w:bCs/>
                <w:sz w:val="20"/>
                <w:szCs w:val="20"/>
              </w:rPr>
              <w:t>2018</w:t>
            </w:r>
          </w:p>
        </w:tc>
      </w:tr>
      <w:tr w:rsidR="00420A45" w:rsidRPr="00207748" w14:paraId="09F27E1C" w14:textId="77777777" w:rsidTr="00342FB3">
        <w:trPr>
          <w:trHeight w:val="196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22DA9" w14:textId="77777777" w:rsidR="00420A45" w:rsidRPr="00207748" w:rsidRDefault="00420A45" w:rsidP="00B26F79">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Cambria" w:eastAsia="Arial" w:hAnsi="Cambria" w:cs="Arial"/>
                <w:sz w:val="20"/>
                <w:szCs w:val="20"/>
                <w:bdr w:val="none" w:sz="0" w:space="0" w:color="auto"/>
                <w:lang w:eastAsia="en-US"/>
              </w:rPr>
            </w:pPr>
            <w:r w:rsidRPr="00207748">
              <w:rPr>
                <w:rFonts w:ascii="Cambria" w:hAnsi="Cambria" w:cs="Arial"/>
                <w:sz w:val="20"/>
                <w:szCs w:val="20"/>
                <w:bdr w:val="none" w:sz="0" w:space="0" w:color="auto"/>
                <w:lang w:eastAsia="en-US"/>
              </w:rPr>
              <w:t>Empfehlungsgrad</w:t>
            </w:r>
          </w:p>
          <w:p w14:paraId="065F1D24" w14:textId="77777777" w:rsidR="00B26F79" w:rsidRDefault="00B26F79" w:rsidP="00B26F79">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Cambria" w:hAnsi="Cambria" w:cs="Arial"/>
                <w:b/>
                <w:bCs/>
                <w:sz w:val="20"/>
                <w:szCs w:val="20"/>
                <w:bdr w:val="none" w:sz="0" w:space="0" w:color="auto"/>
                <w:lang w:eastAsia="en-US"/>
              </w:rPr>
            </w:pPr>
          </w:p>
          <w:p w14:paraId="3D7144F4" w14:textId="03704DA3" w:rsidR="00420A45" w:rsidRDefault="00B26F79" w:rsidP="00B26F79">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Cambria" w:eastAsia="Arial" w:hAnsi="Cambria" w:cs="Arial"/>
                <w:b/>
                <w:bCs/>
                <w:sz w:val="20"/>
                <w:szCs w:val="20"/>
                <w:bdr w:val="none" w:sz="0" w:space="0" w:color="auto"/>
                <w:lang w:eastAsia="en-US"/>
              </w:rPr>
            </w:pPr>
            <w:r>
              <w:rPr>
                <w:rFonts w:ascii="Cambria" w:hAnsi="Cambria" w:cs="Arial"/>
                <w:b/>
                <w:bCs/>
                <w:sz w:val="20"/>
                <w:szCs w:val="20"/>
                <w:bdr w:val="none" w:sz="0" w:space="0" w:color="auto"/>
                <w:lang w:eastAsia="en-US"/>
              </w:rPr>
              <w:t>s</w:t>
            </w:r>
            <w:r w:rsidR="00420A45" w:rsidRPr="00207748">
              <w:rPr>
                <w:rFonts w:ascii="Cambria" w:hAnsi="Cambria" w:cs="Arial"/>
                <w:b/>
                <w:bCs/>
                <w:sz w:val="20"/>
                <w:szCs w:val="20"/>
                <w:bdr w:val="none" w:sz="0" w:space="0" w:color="auto"/>
                <w:lang w:eastAsia="en-US"/>
              </w:rPr>
              <w:t>chwach</w:t>
            </w:r>
          </w:p>
          <w:p w14:paraId="415111D9" w14:textId="77777777" w:rsidR="00B26F79" w:rsidRPr="00B26F79" w:rsidRDefault="00B26F79" w:rsidP="00B26F79">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Cambria" w:eastAsia="Arial" w:hAnsi="Cambria" w:cs="Arial"/>
                <w:b/>
                <w:bCs/>
                <w:sz w:val="20"/>
                <w:szCs w:val="20"/>
                <w:bdr w:val="none" w:sz="0" w:space="0" w:color="auto"/>
                <w:lang w:eastAsia="en-US"/>
              </w:rPr>
            </w:pPr>
          </w:p>
          <w:p w14:paraId="3D6F242D" w14:textId="77777777" w:rsidR="00420A45" w:rsidRPr="00207748" w:rsidRDefault="00420A45" w:rsidP="00B26F79">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Cambria" w:eastAsia="Arial" w:hAnsi="Cambria" w:cs="Arial"/>
                <w:sz w:val="20"/>
                <w:szCs w:val="20"/>
                <w:bdr w:val="none" w:sz="0" w:space="0" w:color="auto"/>
                <w:lang w:eastAsia="en-US"/>
              </w:rPr>
            </w:pPr>
            <w:r w:rsidRPr="00207748">
              <w:rPr>
                <w:rFonts w:ascii="Cambria" w:hAnsi="Cambria" w:cs="Arial"/>
                <w:sz w:val="20"/>
                <w:szCs w:val="20"/>
                <w:bdr w:val="none" w:sz="0" w:space="0" w:color="auto"/>
                <w:lang w:eastAsia="en-US"/>
              </w:rPr>
              <w:t>Evidenzgrad</w:t>
            </w:r>
          </w:p>
          <w:p w14:paraId="19465612" w14:textId="77777777" w:rsidR="00B26F79" w:rsidRDefault="00B26F79" w:rsidP="00B26F79">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Cambria" w:hAnsi="Cambria" w:cs="Arial"/>
                <w:b/>
                <w:bCs/>
                <w:sz w:val="20"/>
                <w:szCs w:val="20"/>
                <w:bdr w:val="none" w:sz="0" w:space="0" w:color="auto"/>
                <w:lang w:eastAsia="en-US"/>
              </w:rPr>
            </w:pPr>
          </w:p>
          <w:p w14:paraId="7D40BA23" w14:textId="3A0CD4A3" w:rsidR="00420A45" w:rsidRPr="00207748" w:rsidRDefault="00420A45" w:rsidP="00B26F79">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Cambria" w:hAnsi="Cambria" w:cs="Arial"/>
                <w:sz w:val="20"/>
                <w:szCs w:val="20"/>
                <w:bdr w:val="none" w:sz="0" w:space="0" w:color="auto"/>
                <w:lang w:eastAsia="en-US"/>
              </w:rPr>
            </w:pPr>
            <w:r w:rsidRPr="00207748">
              <w:rPr>
                <w:rFonts w:ascii="Cambria" w:hAnsi="Cambria" w:cs="Arial"/>
                <w:b/>
                <w:bCs/>
                <w:sz w:val="20"/>
                <w:szCs w:val="20"/>
                <w:bdr w:val="none" w:sz="0" w:space="0" w:color="auto"/>
                <w:lang w:eastAsia="en-US"/>
              </w:rPr>
              <w:t>niedrig</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1BB7D" w14:textId="77777777" w:rsidR="00420A45" w:rsidRPr="00207748" w:rsidRDefault="00420A45" w:rsidP="004454B6">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mbria" w:hAnsi="Cambria" w:cs="Arial"/>
                <w:sz w:val="20"/>
                <w:szCs w:val="20"/>
                <w:bdr w:val="none" w:sz="0" w:space="0" w:color="auto"/>
                <w:lang w:eastAsia="en-US"/>
              </w:rPr>
            </w:pPr>
            <w:r w:rsidRPr="00207748">
              <w:rPr>
                <w:rFonts w:ascii="Cambria" w:hAnsi="Cambria" w:cs="Arial"/>
                <w:b/>
                <w:bCs/>
                <w:sz w:val="20"/>
                <w:szCs w:val="20"/>
                <w:bdr w:val="none" w:sz="0" w:space="0" w:color="auto"/>
                <w:lang w:eastAsia="en-US"/>
              </w:rPr>
              <w:t>Wir schlagen eine Kombination aus einer pharmakologischen VTE-Prophylaxe und einer mechanischen Prophylaxe vor, wann immer dies möglich ist</w:t>
            </w:r>
            <w:r w:rsidR="00B20D2B" w:rsidRPr="00207748">
              <w:rPr>
                <w:rFonts w:ascii="Cambria" w:hAnsi="Cambria" w:cs="Arial"/>
                <w:b/>
                <w:bCs/>
                <w:sz w:val="20"/>
                <w:szCs w:val="20"/>
                <w:bdr w:val="none" w:sz="0" w:space="0" w:color="auto"/>
                <w:lang w:eastAsia="en-US"/>
              </w:rPr>
              <w:t>.</w:t>
            </w:r>
          </w:p>
        </w:tc>
      </w:tr>
      <w:tr w:rsidR="00420A45" w:rsidRPr="00207748" w14:paraId="718A2038" w14:textId="77777777" w:rsidTr="00334AF5">
        <w:trPr>
          <w:trHeight w:val="146"/>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36DCA787" w14:textId="77777777" w:rsidR="00420A45" w:rsidRPr="00207748" w:rsidRDefault="00420A45" w:rsidP="004454B6">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Arial"/>
                <w:sz w:val="20"/>
                <w:szCs w:val="20"/>
                <w:bdr w:val="none" w:sz="0" w:space="0" w:color="auto"/>
                <w:lang w:eastAsia="en-US"/>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3B817" w14:textId="77777777" w:rsidR="00420A45" w:rsidRPr="00207748" w:rsidRDefault="00420A45" w:rsidP="004454B6">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mbria" w:hAnsi="Cambria" w:cs="Arial"/>
                <w:sz w:val="20"/>
                <w:szCs w:val="20"/>
                <w:bdr w:val="none" w:sz="0" w:space="0" w:color="auto"/>
                <w:lang w:eastAsia="en-US"/>
              </w:rPr>
            </w:pPr>
            <w:r w:rsidRPr="00207748">
              <w:rPr>
                <w:rFonts w:ascii="Cambria" w:hAnsi="Cambria" w:cs="Arial"/>
                <w:b/>
                <w:bCs/>
                <w:sz w:val="20"/>
                <w:szCs w:val="20"/>
                <w:bdr w:val="none" w:sz="0" w:space="0" w:color="auto"/>
                <w:lang w:eastAsia="en-US"/>
              </w:rPr>
              <w:t xml:space="preserve">SSC-Leitlinienadaptation </w:t>
            </w:r>
          </w:p>
        </w:tc>
      </w:tr>
      <w:tr w:rsidR="00420A45" w:rsidRPr="00207748" w14:paraId="789345B3"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30AB0" w14:textId="77777777" w:rsidR="00420A45" w:rsidRPr="00207748" w:rsidRDefault="00420A45" w:rsidP="004454B6">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Arial"/>
                <w:sz w:val="20"/>
                <w:szCs w:val="20"/>
                <w:bdr w:val="none" w:sz="0" w:space="0" w:color="auto"/>
                <w:lang w:eastAsia="en-US"/>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DF601" w14:textId="77777777" w:rsidR="00420A45" w:rsidRPr="00207748" w:rsidRDefault="00420A45" w:rsidP="004454B6">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mbria" w:hAnsi="Cambria" w:cs="Arial"/>
                <w:sz w:val="20"/>
                <w:szCs w:val="20"/>
                <w:bdr w:val="none" w:sz="0" w:space="0" w:color="auto"/>
                <w:lang w:eastAsia="en-US"/>
              </w:rPr>
            </w:pPr>
            <w:r w:rsidRPr="00207748">
              <w:rPr>
                <w:rFonts w:ascii="Cambria" w:hAnsi="Cambria" w:cs="Arial"/>
                <w:sz w:val="20"/>
                <w:szCs w:val="20"/>
                <w:bdr w:val="none" w:sz="0" w:space="0" w:color="auto"/>
                <w:lang w:eastAsia="en-US"/>
              </w:rPr>
              <w:t>Konsensstärke: 100 %</w:t>
            </w:r>
          </w:p>
        </w:tc>
      </w:tr>
    </w:tbl>
    <w:p w14:paraId="44E5CCDA" w14:textId="77777777" w:rsidR="00420A45" w:rsidRPr="00207748" w:rsidRDefault="00420A45" w:rsidP="004454B6">
      <w:pPr>
        <w:spacing w:before="240"/>
        <w:rPr>
          <w:rFonts w:ascii="Cambria" w:hAnsi="Cambria" w:cs="Arial"/>
          <w:spacing w:val="-2"/>
          <w:sz w:val="20"/>
          <w:szCs w:val="20"/>
        </w:rPr>
      </w:pPr>
      <w:r w:rsidRPr="00207748">
        <w:rPr>
          <w:rFonts w:ascii="Cambria" w:hAnsi="Cambria" w:cs="Arial"/>
          <w:b/>
          <w:bCs/>
          <w:sz w:val="20"/>
          <w:szCs w:val="20"/>
        </w:rPr>
        <w:t xml:space="preserve">Begründung: </w:t>
      </w:r>
      <w:r w:rsidRPr="00207748">
        <w:rPr>
          <w:rFonts w:ascii="Cambria" w:hAnsi="Cambria" w:cs="Arial"/>
          <w:spacing w:val="-2"/>
          <w:sz w:val="20"/>
          <w:szCs w:val="20"/>
        </w:rPr>
        <w:t xml:space="preserve">Die Kombination aus pharmakologischer VTE-Prophylaxe und mechanischer VTE-Prophylaxe mittels intermittierender pneumatischer Kompression (IPK) und/oder medizinischen Thromboseprophylaxestrümpfen (MTPS) ist eine Option bei kritisch erkrankten Patienten mit Sepsis oder septischem Schock. Ein Cochrane-Review </w:t>
      </w:r>
      <w:r w:rsidRPr="00207748">
        <w:rPr>
          <w:rFonts w:ascii="Cambria" w:eastAsia="Arial" w:hAnsi="Cambria" w:cs="Arial"/>
          <w:spacing w:val="-2"/>
          <w:sz w:val="20"/>
          <w:szCs w:val="20"/>
          <w:vertAlign w:val="superscript"/>
        </w:rPr>
        <w:endnoteReference w:id="554"/>
      </w:r>
      <w:r w:rsidRPr="00207748">
        <w:rPr>
          <w:rFonts w:ascii="Cambria" w:hAnsi="Cambria" w:cs="Arial"/>
          <w:spacing w:val="-2"/>
          <w:sz w:val="20"/>
          <w:szCs w:val="20"/>
        </w:rPr>
        <w:t xml:space="preserve"> aus dem Jahr 2008 konnte unter Einschluss von insgesamt 11 Studien an chirurgischen Hochrisikopatienten (n=7.431) zeigen, dass eine kombiniert mechanisch (IPK)-medikamentöse VTE-Prophylaxe im Vergleich zu einer rein pharmakologischen VTE-Prophylaxe die Inzidenz einer TVT signifikant zu reduzieren vermag. Die eingeschlossenen Studien wiesen allerdings keine ausreichende Power auf, um eine Aussage in Bezug auf die Risikoreduktion für die Entwicklung einer LAE durch eine kombiniert mechanisch (IPK)-medikamentöse VTE-Prophylaxe im Vergleich zu einer rein pharmakologischen VTE-Prophylaxe tätigen zu können. Ein im Jahr 2016 publiziertes Update dieses Cochrane-Reviews unter Einschluss von insgesamt 22 Studien konnte zwar durch eine </w:t>
      </w:r>
      <w:r w:rsidRPr="00207748">
        <w:rPr>
          <w:rFonts w:ascii="Cambria" w:hAnsi="Cambria" w:cs="Arial"/>
          <w:spacing w:val="-2"/>
          <w:sz w:val="20"/>
          <w:szCs w:val="20"/>
        </w:rPr>
        <w:lastRenderedPageBreak/>
        <w:t>derart kombiniert mechanisch (IPK)-medikamentöse VTE-Prophylaxe im Vergleich zu einer rein pharmakologischen VTE-Prophylaxe eine signifikante Reduktion der LAE-Inzidenz nachweisen, allerdings wurde hier nun ein signifikanter Effekt auf die TVT-Inzidenz knapp verfehlt</w:t>
      </w:r>
      <w:r w:rsidRPr="006B2B71">
        <w:rPr>
          <w:rStyle w:val="EndnoteRealZchn"/>
        </w:rPr>
        <w:t>.</w:t>
      </w:r>
      <w:r w:rsidR="004C05FB" w:rsidRPr="006B2B71">
        <w:rPr>
          <w:rStyle w:val="EndnoteRealZchn"/>
        </w:rPr>
        <w:endnoteReference w:id="555"/>
      </w:r>
      <w:r w:rsidRPr="00207748">
        <w:rPr>
          <w:rFonts w:ascii="Cambria" w:hAnsi="Cambria" w:cs="Arial"/>
          <w:spacing w:val="-2"/>
          <w:sz w:val="20"/>
          <w:szCs w:val="20"/>
        </w:rPr>
        <w:t xml:space="preserve"> Die Qualität der Evidenz muss jedoch als gering eingestuft werden, da sich die Daten aus den untersuchten chirurgischen Patientenkollektiven nur indirekt auf intensivpflichtige Patienten im Allgemeinen bzw. septische Patienten im Speziellen übertragen lassen. Dementsprechend enthalten die vom American College of Chest Physicians (ACCP) veröffentlichten Leitlinien keine Empfehlung zur Nutzung einer Kombinationstherapie im Rahmen der VTE-Prophylaxe bei kritisch erkrankten Patienten, schlagen jedoch die Nutzung einer derartigen Kombinationstherapie bei chirurgischen Hochrisiko-Patienten vor</w:t>
      </w:r>
      <w:r w:rsidR="004C05FB" w:rsidRPr="00207748">
        <w:rPr>
          <w:rFonts w:ascii="Cambria" w:hAnsi="Cambria" w:cs="Arial"/>
          <w:spacing w:val="-2"/>
          <w:sz w:val="20"/>
          <w:szCs w:val="20"/>
        </w:rPr>
        <w:t>.</w:t>
      </w:r>
      <w:r w:rsidRPr="00207748">
        <w:rPr>
          <w:rFonts w:ascii="Cambria" w:hAnsi="Cambria" w:cs="Arial"/>
          <w:spacing w:val="-2"/>
          <w:sz w:val="20"/>
          <w:szCs w:val="20"/>
        </w:rPr>
        <w:t xml:space="preserve"> </w:t>
      </w:r>
      <w:r w:rsidRPr="006B2B71">
        <w:rPr>
          <w:rStyle w:val="EndnoteRealZchn"/>
        </w:rPr>
        <w:endnoteReference w:id="556"/>
      </w:r>
      <w:r w:rsidRPr="006B2B71">
        <w:rPr>
          <w:rStyle w:val="EndnoteRealZchn"/>
        </w:rPr>
        <w:t xml:space="preserve"> </w:t>
      </w:r>
      <w:r w:rsidRPr="006B2B71">
        <w:rPr>
          <w:rStyle w:val="EndnoteRealZchn"/>
        </w:rPr>
        <w:endnoteReference w:id="557"/>
      </w:r>
      <w:r w:rsidRPr="00207748">
        <w:rPr>
          <w:rFonts w:ascii="Cambria" w:hAnsi="Cambria" w:cs="Arial"/>
          <w:spacing w:val="-2"/>
          <w:sz w:val="20"/>
          <w:szCs w:val="20"/>
        </w:rPr>
        <w:t xml:space="preserve"> Die aktuell gültige S3-Leitlinie „Prophylaxe der venösen Thromboembolie (VTE)“ (AWMF-Leitlinien Register-Nr. 003/001) empfiehlt für ITS den Einsatz von physikalischen Maßnahmen (bevorzugt IPK) vor allem dann, wenn Kontraindikationen gegen eine medikamentöse Prophylaxe bestehen. Eine generelle Empfehlung zur kombinierten mechanisch (IPK)-medikamentösen VTE-Prophylaxe für ITS ist allerdings nicht beinhaltet. Im Gegensatz hierzu wurde von Seiten der SSC im Jahr 2016 eine schwache Empfehlung für eine Kombinationstherapie zur VTE-Prophylaxe bei kritisch erkrankten Patienten mit Sepsis oder septischem Schock ausgesprochen. Dieser Empfehlung schließt sich die Leitlinienkommission der hier vorliegenden S3-Leitlinie auf Basis der zum Zeitpunkt der Konsensuskonferenz im November 2018 publizierten Literatur an (=SSC-Leitlinienadaptation). Die Datenlage hat sich seither nun insofern verändert, als dass im Februar 2019 der sog. PREVENT-Trial publiziert wurde, im Rahmen dessen die Effektivität einer kombiniert mechanisch (IPK)-medikamentösen VTE-Prophylaxe (IPK-Gruppe: n=991) im Vergleich zu einer rein pharmakologischen VTE-Prophylaxe (Kontrollgruppe: n=1012) bei einem gemischten intensivmedizinischen Patientenkollektiv evaluiert wurde</w:t>
      </w:r>
      <w:r w:rsidR="004C05FB" w:rsidRPr="006B2B71">
        <w:rPr>
          <w:rStyle w:val="EndnoteRealZchn"/>
        </w:rPr>
        <w:t>.</w:t>
      </w:r>
      <w:r w:rsidR="004C05FB" w:rsidRPr="006B2B71">
        <w:rPr>
          <w:rStyle w:val="EndnoteRealZchn"/>
        </w:rPr>
        <w:endnoteReference w:id="558"/>
      </w:r>
      <w:r w:rsidR="004C05FB" w:rsidRPr="006B2B71">
        <w:rPr>
          <w:rStyle w:val="EndnoteRealZchn"/>
        </w:rPr>
        <w:t xml:space="preserve"> </w:t>
      </w:r>
      <w:r w:rsidRPr="006B2B71">
        <w:rPr>
          <w:rStyle w:val="EndnoteRealZchn"/>
        </w:rPr>
        <w:endnoteReference w:id="559"/>
      </w:r>
      <w:r w:rsidRPr="00207748">
        <w:rPr>
          <w:rFonts w:ascii="Cambria" w:hAnsi="Cambria" w:cs="Arial"/>
          <w:spacing w:val="-2"/>
          <w:sz w:val="20"/>
          <w:szCs w:val="20"/>
        </w:rPr>
        <w:t xml:space="preserve"> Dieses </w:t>
      </w:r>
      <w:r w:rsidRPr="00207748">
        <w:rPr>
          <w:rFonts w:ascii="Cambria" w:hAnsi="Cambria" w:cs="Arial"/>
          <w:spacing w:val="-2"/>
          <w:sz w:val="20"/>
          <w:szCs w:val="20"/>
        </w:rPr>
        <w:lastRenderedPageBreak/>
        <w:t>Patientenkollektiv bestand größtenteils aus internistischen Intensivpatienten (IPK-Gruppe: 79,4 % vs. Kontrollgruppe: 77,0 %), während chirurgische Patienten in deutlich geringerem Maße vertreten waren (IPK-Gruppe: 13,6 % vs. Kontrollgruppe: 14,5 %). Eine Beatmungspflichtigkeit bestand bei knapp zwei Drittel der eingeschlossenen Patienten (IPK-Gruppe: 66,7 % vs. Kontrollgruppe: 65,9 %), während eine Katecholaminpflichtigkeit nur bei etwa einem Drittel der Patienten vorlag (IPK-Gruppe: 35,5 % vs. Kontrollgruppe: 36,0 %). Die IPK wurde von den behandelten Patienten jeweils gut vertragen, da sich die Anzahl der Patienten mit Hautläsionen oder Ischämien im Bereich der unteren Extremität zwischen der IPK- sowie der Kontrollgruppe nicht signifikant voneinander unterschied. Darüber hinaus wurden keine schwerwiegenden, IPK-assoziierten unerwünschten Ereignisse beobachtet. Vordergründig konnte bei diesem gemischten intensivmedizinischen Patientenkollektiv durch die adjunktive IPK-Nutzung nun allerdings keine Reduktion der Inzidenz einer proximalen TVT im Vergleich zu einer alleinigen medikamentösen VTE-Prophylaxe erzielt werden. Darüber hinaus ließ sich auch die VTE-Inzidenz sowie die Gesamtsterblichkeit nicht durch die adjunktive IPK-Nutzung reduzieren. Als wichtigste Limitation dieser Studie muss allerdings berücksichtigt werden, dass der primäre Endpunkt (=neu aufgetretene proximale TVT im Bereich der unteren Extremität) bei nur 4,2 % der Patienten in der Kontrollgruppe beobachtet werden konnte, was deutlich seltener als erwartet war. Dies bedingt eine kritische</w:t>
      </w:r>
      <w:r w:rsidRPr="00207748">
        <w:rPr>
          <w:rFonts w:ascii="Cambria" w:hAnsi="Cambria" w:cs="Arial"/>
          <w:sz w:val="20"/>
          <w:szCs w:val="20"/>
          <w:highlight w:val="lightGray"/>
        </w:rPr>
        <w:t xml:space="preserve"> </w:t>
      </w:r>
      <w:r w:rsidRPr="00207748">
        <w:rPr>
          <w:rFonts w:ascii="Cambria" w:hAnsi="Cambria" w:cs="Arial"/>
          <w:spacing w:val="-2"/>
          <w:sz w:val="20"/>
          <w:szCs w:val="20"/>
        </w:rPr>
        <w:t xml:space="preserve">Reduktion der Studienpower, so dass ein klinisch relevanter Effekt der adjunktiven IPK-Nutzung trotz des negativen Studienergebnisses nicht sicher ausgeschlossen werden kann. Außerdem können die Studienergebnisse wiederum nur sehr indirekt auf Patienten mit Sepsis bzw. septischem Schock übertragen werden, da es sich um ein gemischtes intensivmedizinisches Patientenkollektiv handelte und keine Subgruppenanalysen von Patienten mit Sepsis bzw. septischem Schock berichtet wurden. Somit muss der Evidenzgrad für dieses Patientenkollektiv weiterhin als niedrig eingestuft werden und es darf angenommen </w:t>
      </w:r>
      <w:r w:rsidRPr="00207748">
        <w:rPr>
          <w:rFonts w:ascii="Cambria" w:hAnsi="Cambria" w:cs="Arial"/>
          <w:spacing w:val="-2"/>
          <w:sz w:val="20"/>
          <w:szCs w:val="20"/>
        </w:rPr>
        <w:lastRenderedPageBreak/>
        <w:t>werden, dass auch eine Berücksichtigung des PREVENT-Trials im Rahmen der Evidenzbewertung für die hier vorliegende S3-Leitlinie zu keiner anderslautenden Empfehlung geführt hätte.</w:t>
      </w:r>
    </w:p>
    <w:tbl>
      <w:tblPr>
        <w:tblStyle w:val="TableNormal1"/>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18"/>
        <w:gridCol w:w="834"/>
      </w:tblGrid>
      <w:tr w:rsidR="00420A45" w:rsidRPr="00207748" w14:paraId="7AFD34F0"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3EF0A588" w14:textId="77777777" w:rsidR="00420A45" w:rsidRPr="00207748" w:rsidRDefault="00420A45" w:rsidP="004454B6">
            <w:pPr>
              <w:pBdr>
                <w:top w:val="none" w:sz="0" w:space="0" w:color="auto"/>
                <w:left w:val="none" w:sz="0" w:space="0" w:color="auto"/>
                <w:bottom w:val="none" w:sz="0" w:space="0" w:color="auto"/>
                <w:right w:val="none" w:sz="0" w:space="0" w:color="auto"/>
                <w:between w:val="none" w:sz="0" w:space="0" w:color="auto"/>
                <w:bar w:val="none" w:sz="0" w:color="auto"/>
              </w:pBdr>
              <w:rPr>
                <w:rStyle w:val="Ohne"/>
                <w:rFonts w:ascii="Cambria" w:hAnsi="Cambria" w:cs="Arial"/>
                <w:b/>
                <w:bCs/>
                <w:sz w:val="20"/>
                <w:szCs w:val="20"/>
              </w:rPr>
            </w:pPr>
            <w:r w:rsidRPr="00207748">
              <w:rPr>
                <w:rStyle w:val="Ohne"/>
                <w:rFonts w:ascii="Cambria" w:hAnsi="Cambria" w:cs="Arial"/>
                <w:b/>
                <w:bCs/>
                <w:sz w:val="20"/>
                <w:szCs w:val="20"/>
              </w:rPr>
              <w:t>R. 4</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310B202F" w14:textId="77777777" w:rsidR="00420A45" w:rsidRPr="00207748" w:rsidRDefault="00420A45" w:rsidP="008B1A6E">
            <w:pPr>
              <w:pBdr>
                <w:top w:val="none" w:sz="0" w:space="0" w:color="auto"/>
                <w:left w:val="none" w:sz="0" w:space="0" w:color="auto"/>
                <w:bottom w:val="none" w:sz="0" w:space="0" w:color="auto"/>
                <w:right w:val="none" w:sz="0" w:space="0" w:color="auto"/>
                <w:between w:val="none" w:sz="0" w:space="0" w:color="auto"/>
                <w:bar w:val="none" w:sz="0" w:color="auto"/>
              </w:pBdr>
              <w:rPr>
                <w:rStyle w:val="Ohne"/>
                <w:rFonts w:ascii="Cambria" w:hAnsi="Cambria" w:cs="Arial"/>
                <w:b/>
                <w:bCs/>
                <w:sz w:val="20"/>
                <w:szCs w:val="20"/>
              </w:rPr>
            </w:pPr>
            <w:r w:rsidRPr="00207748">
              <w:rPr>
                <w:rStyle w:val="Ohne"/>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12DE7362" w14:textId="77777777" w:rsidR="00420A45" w:rsidRPr="00207748" w:rsidRDefault="00420A45" w:rsidP="008B1A6E">
            <w:pPr>
              <w:pBdr>
                <w:top w:val="none" w:sz="0" w:space="0" w:color="auto"/>
                <w:left w:val="none" w:sz="0" w:space="0" w:color="auto"/>
                <w:bottom w:val="none" w:sz="0" w:space="0" w:color="auto"/>
                <w:right w:val="none" w:sz="0" w:space="0" w:color="auto"/>
                <w:between w:val="none" w:sz="0" w:space="0" w:color="auto"/>
                <w:bar w:val="none" w:sz="0" w:color="auto"/>
              </w:pBdr>
              <w:rPr>
                <w:rStyle w:val="Ohne"/>
                <w:rFonts w:ascii="Cambria" w:hAnsi="Cambria" w:cs="Arial"/>
                <w:b/>
                <w:bCs/>
                <w:sz w:val="20"/>
                <w:szCs w:val="20"/>
              </w:rPr>
            </w:pPr>
            <w:r w:rsidRPr="00207748">
              <w:rPr>
                <w:rStyle w:val="Ohne"/>
                <w:rFonts w:ascii="Cambria" w:hAnsi="Cambria" w:cs="Arial"/>
                <w:b/>
                <w:bCs/>
                <w:sz w:val="20"/>
                <w:szCs w:val="20"/>
              </w:rPr>
              <w:t>2018</w:t>
            </w:r>
          </w:p>
        </w:tc>
      </w:tr>
      <w:tr w:rsidR="00420A45" w:rsidRPr="00207748" w14:paraId="6DA66C8C" w14:textId="77777777" w:rsidTr="00342FB3">
        <w:trPr>
          <w:trHeight w:val="196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4E02F" w14:textId="77777777" w:rsidR="00420A45" w:rsidRPr="00207748" w:rsidRDefault="00420A45" w:rsidP="004454B6">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mbria" w:eastAsia="Arial" w:hAnsi="Cambria" w:cs="Arial"/>
                <w:sz w:val="20"/>
                <w:szCs w:val="20"/>
                <w:bdr w:val="none" w:sz="0" w:space="0" w:color="auto"/>
                <w:lang w:eastAsia="en-US"/>
              </w:rPr>
            </w:pPr>
            <w:r w:rsidRPr="00207748">
              <w:rPr>
                <w:rFonts w:ascii="Cambria" w:hAnsi="Cambria" w:cs="Arial"/>
                <w:sz w:val="20"/>
                <w:szCs w:val="20"/>
                <w:bdr w:val="none" w:sz="0" w:space="0" w:color="auto"/>
                <w:lang w:eastAsia="en-US"/>
              </w:rPr>
              <w:t>Empfehlungsgrad</w:t>
            </w:r>
          </w:p>
          <w:p w14:paraId="0D7954CD" w14:textId="77777777" w:rsidR="00420A45" w:rsidRPr="00207748" w:rsidRDefault="00420A45" w:rsidP="004454B6">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mbria" w:eastAsia="Arial" w:hAnsi="Cambria" w:cs="Arial"/>
                <w:sz w:val="20"/>
                <w:szCs w:val="20"/>
                <w:bdr w:val="none" w:sz="0" w:space="0" w:color="auto"/>
                <w:lang w:eastAsia="en-US"/>
              </w:rPr>
            </w:pPr>
          </w:p>
          <w:p w14:paraId="02B6FB44" w14:textId="77777777" w:rsidR="00420A45" w:rsidRPr="00207748" w:rsidRDefault="00420A45" w:rsidP="004454B6">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mbria" w:eastAsia="Arial" w:hAnsi="Cambria" w:cs="Arial"/>
                <w:b/>
                <w:bCs/>
                <w:sz w:val="20"/>
                <w:szCs w:val="20"/>
                <w:bdr w:val="none" w:sz="0" w:space="0" w:color="auto"/>
                <w:lang w:eastAsia="en-US"/>
              </w:rPr>
            </w:pPr>
            <w:r w:rsidRPr="00207748">
              <w:rPr>
                <w:rFonts w:ascii="Cambria" w:hAnsi="Cambria" w:cs="Arial"/>
                <w:b/>
                <w:bCs/>
                <w:sz w:val="20"/>
                <w:szCs w:val="20"/>
                <w:bdr w:val="none" w:sz="0" w:space="0" w:color="auto"/>
                <w:lang w:eastAsia="en-US"/>
              </w:rPr>
              <w:t>schwach</w:t>
            </w:r>
          </w:p>
          <w:p w14:paraId="40D21B6C" w14:textId="77777777" w:rsidR="00420A45" w:rsidRPr="00207748" w:rsidRDefault="00420A45" w:rsidP="004454B6">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mbria" w:eastAsia="Arial" w:hAnsi="Cambria" w:cs="Arial"/>
                <w:sz w:val="20"/>
                <w:szCs w:val="20"/>
                <w:bdr w:val="none" w:sz="0" w:space="0" w:color="auto"/>
                <w:lang w:eastAsia="en-US"/>
              </w:rPr>
            </w:pPr>
          </w:p>
          <w:p w14:paraId="5772CF28" w14:textId="77777777" w:rsidR="00420A45" w:rsidRPr="00207748" w:rsidRDefault="00420A45" w:rsidP="004454B6">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mbria" w:eastAsia="Arial" w:hAnsi="Cambria" w:cs="Arial"/>
                <w:sz w:val="20"/>
                <w:szCs w:val="20"/>
                <w:bdr w:val="none" w:sz="0" w:space="0" w:color="auto"/>
                <w:lang w:eastAsia="en-US"/>
              </w:rPr>
            </w:pPr>
            <w:r w:rsidRPr="00207748">
              <w:rPr>
                <w:rFonts w:ascii="Cambria" w:hAnsi="Cambria" w:cs="Arial"/>
                <w:sz w:val="20"/>
                <w:szCs w:val="20"/>
                <w:bdr w:val="none" w:sz="0" w:space="0" w:color="auto"/>
                <w:lang w:eastAsia="en-US"/>
              </w:rPr>
              <w:t>Evidenzgrad</w:t>
            </w:r>
          </w:p>
          <w:p w14:paraId="6A8228F7" w14:textId="77777777" w:rsidR="00420A45" w:rsidRPr="00207748" w:rsidRDefault="00420A45" w:rsidP="004454B6">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mbria" w:eastAsia="Arial" w:hAnsi="Cambria" w:cs="Arial"/>
                <w:sz w:val="20"/>
                <w:szCs w:val="20"/>
                <w:bdr w:val="none" w:sz="0" w:space="0" w:color="auto"/>
                <w:lang w:eastAsia="en-US"/>
              </w:rPr>
            </w:pPr>
          </w:p>
          <w:p w14:paraId="1E6A7A1A" w14:textId="77777777" w:rsidR="00420A45" w:rsidRPr="00207748" w:rsidRDefault="00420A45" w:rsidP="004454B6">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mbria" w:hAnsi="Cambria" w:cs="Arial"/>
                <w:sz w:val="20"/>
                <w:szCs w:val="20"/>
                <w:bdr w:val="none" w:sz="0" w:space="0" w:color="auto"/>
                <w:lang w:eastAsia="en-US"/>
              </w:rPr>
            </w:pPr>
            <w:r w:rsidRPr="00207748">
              <w:rPr>
                <w:rFonts w:ascii="Cambria" w:hAnsi="Cambria" w:cs="Arial"/>
                <w:b/>
                <w:bCs/>
                <w:sz w:val="20"/>
                <w:szCs w:val="20"/>
                <w:bdr w:val="none" w:sz="0" w:space="0" w:color="auto"/>
                <w:lang w:eastAsia="en-US"/>
              </w:rPr>
              <w:t>niedrig</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DB0046" w14:textId="77777777" w:rsidR="00420A45" w:rsidRPr="00207748" w:rsidRDefault="00420A45" w:rsidP="004454B6">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mbria" w:hAnsi="Cambria" w:cs="Arial"/>
                <w:sz w:val="20"/>
                <w:szCs w:val="20"/>
                <w:bdr w:val="none" w:sz="0" w:space="0" w:color="auto"/>
                <w:lang w:eastAsia="en-US"/>
              </w:rPr>
            </w:pPr>
            <w:r w:rsidRPr="00207748">
              <w:rPr>
                <w:rFonts w:ascii="Cambria" w:hAnsi="Cambria" w:cs="Arial"/>
                <w:b/>
                <w:bCs/>
                <w:sz w:val="20"/>
                <w:szCs w:val="20"/>
                <w:bdr w:val="none" w:sz="0" w:space="0" w:color="auto"/>
                <w:lang w:eastAsia="en-US"/>
              </w:rPr>
              <w:t>Wir schlagen eine mechanische VTE-Prophylaxe vor, wenn eine pharmakologische VTE-Prophylaxe kontraindiziert ist</w:t>
            </w:r>
            <w:r w:rsidR="00B20D2B" w:rsidRPr="00207748">
              <w:rPr>
                <w:rFonts w:ascii="Cambria" w:hAnsi="Cambria" w:cs="Arial"/>
                <w:b/>
                <w:bCs/>
                <w:sz w:val="20"/>
                <w:szCs w:val="20"/>
                <w:bdr w:val="none" w:sz="0" w:space="0" w:color="auto"/>
                <w:lang w:eastAsia="en-US"/>
              </w:rPr>
              <w:t>.</w:t>
            </w:r>
          </w:p>
        </w:tc>
      </w:tr>
      <w:tr w:rsidR="00420A45" w:rsidRPr="00207748" w14:paraId="2F6C1B4C" w14:textId="77777777" w:rsidTr="00334AF5">
        <w:trPr>
          <w:trHeight w:val="191"/>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249F1F16" w14:textId="77777777" w:rsidR="00420A45" w:rsidRPr="00207748" w:rsidRDefault="00420A45" w:rsidP="004454B6">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Arial"/>
                <w:sz w:val="20"/>
                <w:szCs w:val="20"/>
                <w:bdr w:val="none" w:sz="0" w:space="0" w:color="auto"/>
                <w:lang w:eastAsia="en-US"/>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785BF3" w14:textId="77777777" w:rsidR="00420A45" w:rsidRPr="00207748" w:rsidRDefault="00420A45" w:rsidP="004454B6">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mbria" w:hAnsi="Cambria" w:cs="Arial"/>
                <w:sz w:val="20"/>
                <w:szCs w:val="20"/>
                <w:bdr w:val="none" w:sz="0" w:space="0" w:color="auto"/>
                <w:lang w:eastAsia="en-US"/>
              </w:rPr>
            </w:pPr>
            <w:r w:rsidRPr="00207748">
              <w:rPr>
                <w:rFonts w:ascii="Cambria" w:hAnsi="Cambria" w:cs="Arial"/>
                <w:b/>
                <w:bCs/>
                <w:sz w:val="20"/>
                <w:szCs w:val="20"/>
                <w:bdr w:val="none" w:sz="0" w:space="0" w:color="auto"/>
                <w:lang w:eastAsia="en-US"/>
              </w:rPr>
              <w:t xml:space="preserve">SSC-Leitlinienadaptation </w:t>
            </w:r>
          </w:p>
        </w:tc>
      </w:tr>
      <w:tr w:rsidR="00420A45" w:rsidRPr="00207748" w14:paraId="34DEE420"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FF7EB" w14:textId="77777777" w:rsidR="00420A45" w:rsidRPr="00207748" w:rsidRDefault="00420A45" w:rsidP="004454B6">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Arial"/>
                <w:sz w:val="20"/>
                <w:szCs w:val="20"/>
                <w:bdr w:val="none" w:sz="0" w:space="0" w:color="auto"/>
                <w:lang w:eastAsia="en-US"/>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6CCE3" w14:textId="77777777" w:rsidR="00420A45" w:rsidRPr="00207748" w:rsidRDefault="00420A45" w:rsidP="004454B6">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mbria" w:hAnsi="Cambria" w:cs="Arial"/>
                <w:sz w:val="20"/>
                <w:szCs w:val="20"/>
                <w:bdr w:val="none" w:sz="0" w:space="0" w:color="auto"/>
                <w:lang w:eastAsia="en-US"/>
              </w:rPr>
            </w:pPr>
            <w:r w:rsidRPr="00207748">
              <w:rPr>
                <w:rFonts w:ascii="Cambria" w:hAnsi="Cambria" w:cs="Arial"/>
                <w:sz w:val="20"/>
                <w:szCs w:val="20"/>
                <w:bdr w:val="none" w:sz="0" w:space="0" w:color="auto"/>
                <w:lang w:eastAsia="en-US"/>
              </w:rPr>
              <w:t>Konsensstärke: 100 %</w:t>
            </w:r>
          </w:p>
        </w:tc>
      </w:tr>
    </w:tbl>
    <w:p w14:paraId="65E27A49" w14:textId="77777777" w:rsidR="00420A45" w:rsidRPr="00207748" w:rsidRDefault="00420A45" w:rsidP="004454B6">
      <w:pPr>
        <w:rPr>
          <w:rFonts w:ascii="Cambria" w:hAnsi="Cambria" w:cs="Arial"/>
          <w:b/>
          <w:bCs/>
          <w:sz w:val="20"/>
          <w:szCs w:val="20"/>
        </w:rPr>
      </w:pPr>
    </w:p>
    <w:p w14:paraId="3C7A3A7B" w14:textId="77777777" w:rsidR="004C05FB" w:rsidRPr="00207748" w:rsidRDefault="00420A45" w:rsidP="004454B6">
      <w:pPr>
        <w:rPr>
          <w:rFonts w:ascii="Cambria" w:hAnsi="Cambria" w:cs="Arial"/>
          <w:spacing w:val="1"/>
          <w:sz w:val="20"/>
          <w:szCs w:val="20"/>
        </w:rPr>
      </w:pPr>
      <w:r w:rsidRPr="00207748">
        <w:rPr>
          <w:rFonts w:ascii="Cambria" w:hAnsi="Cambria" w:cs="Arial"/>
          <w:b/>
          <w:bCs/>
          <w:sz w:val="20"/>
          <w:szCs w:val="20"/>
        </w:rPr>
        <w:t xml:space="preserve">Begründung: </w:t>
      </w:r>
      <w:r w:rsidRPr="00207748">
        <w:rPr>
          <w:rFonts w:ascii="Cambria" w:hAnsi="Cambria" w:cs="Arial"/>
          <w:spacing w:val="1"/>
          <w:sz w:val="20"/>
          <w:szCs w:val="20"/>
        </w:rPr>
        <w:t xml:space="preserve">Ein Teil der an Sepsis oder septischem Schock erkrankten Patienten dürfte relative Kontraindikationen für die Durchführung einer pharmakologischen VTE-Prophylaxe aufweisen. Speziell bei diesen Patienten drängt sich die Durchführung einer </w:t>
      </w:r>
      <w:r w:rsidRPr="00207748">
        <w:rPr>
          <w:rFonts w:ascii="Cambria" w:hAnsi="Cambria" w:cs="Arial"/>
          <w:spacing w:val="-2"/>
          <w:sz w:val="20"/>
          <w:szCs w:val="20"/>
        </w:rPr>
        <w:t xml:space="preserve">mechanischen VTE-Prophylaxe mittels IPK und/oder MTPS geradezu auf, wenngleich die wissenschaftliche Evidenz für deren Nutzung bei intensivpflichtigen Patienten durchaus begrenzt ist. </w:t>
      </w:r>
      <w:r w:rsidRPr="00207748">
        <w:rPr>
          <w:rFonts w:ascii="Cambria" w:hAnsi="Cambria" w:cs="Arial"/>
          <w:spacing w:val="1"/>
          <w:sz w:val="20"/>
          <w:szCs w:val="20"/>
        </w:rPr>
        <w:t>Bislang sind zwei Meta-Analysen veröffentlicht worden, in denen Patientengruppen verglichen w</w:t>
      </w:r>
      <w:r w:rsidRPr="00207748">
        <w:rPr>
          <w:rFonts w:ascii="Cambria" w:hAnsi="Cambria" w:cs="Arial"/>
          <w:sz w:val="20"/>
          <w:szCs w:val="20"/>
        </w:rPr>
        <w:t>urden, die entweder eine mechanische VTE-Prophylaxe oder keinerlei VTE-Prophylaxe erhielten. Hierbei handelte es sich größtenteils um Patienten, die sich einer orthopädischen Operation zu unterziehen hatten</w:t>
      </w:r>
      <w:r w:rsidR="004C05FB" w:rsidRPr="00207748">
        <w:rPr>
          <w:rFonts w:ascii="Cambria" w:hAnsi="Cambria" w:cs="Arial"/>
          <w:sz w:val="20"/>
          <w:szCs w:val="20"/>
        </w:rPr>
        <w:t>.</w:t>
      </w:r>
      <w:r w:rsidRPr="00207748">
        <w:rPr>
          <w:rFonts w:ascii="Cambria" w:eastAsia="Arial" w:hAnsi="Cambria" w:cs="Arial"/>
          <w:spacing w:val="1"/>
          <w:sz w:val="20"/>
          <w:szCs w:val="20"/>
          <w:vertAlign w:val="superscript"/>
        </w:rPr>
        <w:endnoteReference w:id="560"/>
      </w:r>
      <w:r w:rsidR="004C05FB" w:rsidRPr="00207748">
        <w:rPr>
          <w:rFonts w:ascii="Cambria" w:hAnsi="Cambria" w:cs="Arial"/>
          <w:spacing w:val="1"/>
          <w:sz w:val="20"/>
          <w:szCs w:val="20"/>
        </w:rPr>
        <w:t xml:space="preserve"> </w:t>
      </w:r>
      <w:r w:rsidRPr="00207748">
        <w:rPr>
          <w:rFonts w:ascii="Cambria" w:eastAsia="Arial" w:hAnsi="Cambria" w:cs="Arial"/>
          <w:spacing w:val="1"/>
          <w:sz w:val="20"/>
          <w:szCs w:val="20"/>
          <w:vertAlign w:val="superscript"/>
        </w:rPr>
        <w:endnoteReference w:id="561"/>
      </w:r>
      <w:r w:rsidRPr="00207748">
        <w:rPr>
          <w:rFonts w:ascii="Cambria" w:hAnsi="Cambria" w:cs="Arial"/>
          <w:spacing w:val="1"/>
          <w:sz w:val="20"/>
          <w:szCs w:val="20"/>
        </w:rPr>
        <w:t xml:space="preserve"> Während sich der Cochrane-Review von Sachdeva et al. auf die Nutzung von MTPS konzentrierte, lag der Schwerpunkt der Arbeit von Pavon et al. auf der Nutzung von IPK. In den Analysen wurde deutlich, dass sowohl die Nutzung von MTPS, als auch die Anwendung der IPK wirksamer als der Verzicht auf eine derartige mechanische Prophylaxe zu sein scheint. Bei der </w:t>
      </w:r>
      <w:r w:rsidRPr="00207748">
        <w:rPr>
          <w:rFonts w:ascii="Cambria" w:hAnsi="Cambria" w:cs="Arial"/>
          <w:spacing w:val="1"/>
          <w:sz w:val="20"/>
          <w:szCs w:val="20"/>
        </w:rPr>
        <w:lastRenderedPageBreak/>
        <w:t>Interpretation der erhobenen Daten muss allerdings berücksichtigt werden, dass eine jeweils unterschiedliche Anzahl von Patienten in den vergleichenden Studienarmen eine zusätzliche pharmakologische Prophylaxe erhielt. Die Evidenz muss dementsprechend als indirekt eingestuft werden. Eine weitere Kohortenstudie unter Einschluss von insgesamt 798 intensivpflichtigen Patienten konnte mittels Propensity-Score-Analysen zeigen, dass die IPK (im Vergleich zu den MTPS) die einzig wirklich effektive Maßnahme zur mechanischen VTE-Prophylaxe bei kritisch erkrankten Patienten darstellt</w:t>
      </w:r>
      <w:r w:rsidR="004C05FB" w:rsidRPr="00207748">
        <w:rPr>
          <w:rFonts w:ascii="Cambria" w:hAnsi="Cambria" w:cs="Arial"/>
          <w:spacing w:val="1"/>
          <w:sz w:val="20"/>
          <w:szCs w:val="20"/>
        </w:rPr>
        <w:t>.</w:t>
      </w:r>
      <w:r w:rsidRPr="006B2B71">
        <w:rPr>
          <w:rStyle w:val="EndnoteRealZchn"/>
        </w:rPr>
        <w:endnoteReference w:id="562"/>
      </w:r>
    </w:p>
    <w:p w14:paraId="3822531B" w14:textId="4CB9DE9F" w:rsidR="00E11869" w:rsidRDefault="00420A45" w:rsidP="004454B6">
      <w:pPr>
        <w:rPr>
          <w:rFonts w:ascii="Cambria" w:hAnsi="Cambria" w:cs="Arial"/>
          <w:spacing w:val="1"/>
          <w:sz w:val="20"/>
          <w:szCs w:val="20"/>
        </w:rPr>
      </w:pPr>
      <w:r w:rsidRPr="00207748">
        <w:rPr>
          <w:rFonts w:ascii="Cambria" w:hAnsi="Cambria" w:cs="Arial"/>
          <w:spacing w:val="1"/>
          <w:sz w:val="20"/>
          <w:szCs w:val="20"/>
        </w:rPr>
        <w:t>Basierend auf diesen Daten wurde von Seiten der SSC eine schwache Empfehlung für die Nutzung einer mechanischen Prophylaxe bei kritisch erkrankten septischen Patienten mit Kontraindikationen für die Verwendung einer pharmakologischen Prophylaxe ausgesprochen, der sich die hier vorliegende S3-Leitlinie anschließt (=SSC-Leitlinienadaptation). Darüber hinaus gibt es zunehmende Hinweise dafür, dass die IPK wirksamer als die alleinige Nutzung von MTPS bei kritisch erkrankten Patienten zu sein scheint, so dass diese Methode die bevorzugte Modalität zur mechanischen Prophylaxe darstellt. In Analogie hierzu empfiehlt die S3-Leitlinie „Prophylaxe der venösen Thromboembolie (VTE)“ (AWMF-Leitlinien Register-Nr. 003/001) für ITS die Durchführung von physikalischen Maßnahmen (v.a. IPK) vor allem dann, wenn Kontraindikationen gegen eine medikamentöse VTE-Prophylaxe bestehen.</w:t>
      </w:r>
    </w:p>
    <w:p w14:paraId="119E5A0C" w14:textId="64B69435" w:rsidR="00DA3A66" w:rsidRDefault="00DA3A66" w:rsidP="004454B6">
      <w:pPr>
        <w:rPr>
          <w:rFonts w:ascii="Cambria" w:hAnsi="Cambria" w:cs="Arial"/>
          <w:spacing w:val="1"/>
          <w:sz w:val="20"/>
          <w:szCs w:val="20"/>
        </w:rPr>
      </w:pPr>
    </w:p>
    <w:p w14:paraId="4B60A652" w14:textId="1DFFB88A" w:rsidR="00DA3A66" w:rsidRDefault="00DA3A66" w:rsidP="004454B6">
      <w:pPr>
        <w:rPr>
          <w:rFonts w:ascii="Cambria" w:hAnsi="Cambria" w:cs="Arial"/>
          <w:spacing w:val="1"/>
          <w:sz w:val="20"/>
          <w:szCs w:val="20"/>
        </w:rPr>
      </w:pPr>
    </w:p>
    <w:p w14:paraId="765747FE" w14:textId="13D11BD5" w:rsidR="00DA3A66" w:rsidRDefault="00DA3A66" w:rsidP="004454B6">
      <w:pPr>
        <w:rPr>
          <w:rFonts w:ascii="Cambria" w:hAnsi="Cambria" w:cs="Arial"/>
          <w:spacing w:val="1"/>
          <w:sz w:val="20"/>
          <w:szCs w:val="20"/>
        </w:rPr>
      </w:pPr>
    </w:p>
    <w:p w14:paraId="58256DA1" w14:textId="34ABDB44" w:rsidR="00DA3A66" w:rsidRDefault="00DA3A66" w:rsidP="004454B6">
      <w:pPr>
        <w:rPr>
          <w:rFonts w:ascii="Cambria" w:hAnsi="Cambria" w:cs="Arial"/>
          <w:spacing w:val="1"/>
          <w:sz w:val="20"/>
          <w:szCs w:val="20"/>
        </w:rPr>
      </w:pPr>
    </w:p>
    <w:p w14:paraId="400796B2" w14:textId="77777777" w:rsidR="00DA3A66" w:rsidRPr="00537477" w:rsidRDefault="00DA3A66" w:rsidP="00537477"/>
    <w:p w14:paraId="37A49B4C" w14:textId="02B1E7AF" w:rsidR="00B26F79" w:rsidRPr="00537477" w:rsidRDefault="00B26F79" w:rsidP="00537477">
      <w:bookmarkStart w:id="474" w:name="_Toc25845127"/>
      <w:bookmarkStart w:id="475" w:name="_Toc437861474"/>
    </w:p>
    <w:p w14:paraId="7E11DFFD" w14:textId="77777777" w:rsidR="00B26F79" w:rsidRPr="00537477" w:rsidRDefault="00B26F79" w:rsidP="00537477"/>
    <w:p w14:paraId="17DB0528" w14:textId="5E63D9BA" w:rsidR="00E11869" w:rsidRPr="00537477" w:rsidRDefault="00447357" w:rsidP="00537477">
      <w:pPr>
        <w:pStyle w:val="berschrift2"/>
      </w:pPr>
      <w:bookmarkStart w:id="476" w:name="_Toc31278512"/>
      <w:r w:rsidRPr="00537477">
        <w:rPr>
          <w:rStyle w:val="Ohne"/>
        </w:rPr>
        <w:lastRenderedPageBreak/>
        <w:t>S. Stressulkusprophylaxe</w:t>
      </w:r>
      <w:bookmarkEnd w:id="474"/>
      <w:bookmarkEnd w:id="475"/>
      <w:bookmarkEnd w:id="476"/>
    </w:p>
    <w:p w14:paraId="48619AE9" w14:textId="77777777" w:rsidR="00E11869" w:rsidRPr="00207748" w:rsidRDefault="00E11869" w:rsidP="004454B6">
      <w:pPr>
        <w:pStyle w:val="Default"/>
        <w:spacing w:line="276" w:lineRule="auto"/>
        <w:rPr>
          <w:rStyle w:val="Ohne"/>
          <w:rFonts w:ascii="Cambria" w:eastAsia="Arial" w:hAnsi="Cambria" w:cs="Arial"/>
          <w:sz w:val="20"/>
          <w:szCs w:val="20"/>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787"/>
        <w:gridCol w:w="1698"/>
        <w:gridCol w:w="848"/>
      </w:tblGrid>
      <w:tr w:rsidR="00E11869" w:rsidRPr="00207748" w14:paraId="4752700A" w14:textId="77777777" w:rsidTr="00DA3A66">
        <w:trPr>
          <w:trHeight w:val="282"/>
        </w:trPr>
        <w:tc>
          <w:tcPr>
            <w:tcW w:w="2063"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380AC24" w14:textId="77777777" w:rsidR="00E11869" w:rsidRPr="00207748" w:rsidRDefault="00447357" w:rsidP="004454B6">
            <w:pPr>
              <w:rPr>
                <w:rStyle w:val="Ohne"/>
                <w:rFonts w:ascii="Cambria" w:hAnsi="Cambria"/>
                <w:b/>
                <w:bCs/>
                <w:sz w:val="20"/>
                <w:szCs w:val="20"/>
              </w:rPr>
            </w:pPr>
            <w:r w:rsidRPr="00207748">
              <w:rPr>
                <w:rStyle w:val="Ohne"/>
                <w:rFonts w:ascii="Cambria" w:hAnsi="Cambria" w:cs="Arial"/>
                <w:b/>
                <w:bCs/>
                <w:sz w:val="20"/>
                <w:szCs w:val="20"/>
              </w:rPr>
              <w:t>S.1</w:t>
            </w:r>
          </w:p>
        </w:tc>
        <w:tc>
          <w:tcPr>
            <w:tcW w:w="1959"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A58D690"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 xml:space="preserve">Empfehlung </w:t>
            </w:r>
          </w:p>
        </w:tc>
        <w:tc>
          <w:tcPr>
            <w:tcW w:w="978"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1D2C4B53"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43EFBB2F" w14:textId="77777777" w:rsidTr="00DA3A66">
        <w:trPr>
          <w:trHeight w:val="2096"/>
        </w:trPr>
        <w:tc>
          <w:tcPr>
            <w:tcW w:w="2063"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11503"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Empfehlungsgrad</w:t>
            </w:r>
          </w:p>
          <w:p w14:paraId="7EAFE4B6" w14:textId="77777777" w:rsidR="00E11869" w:rsidRPr="00207748" w:rsidRDefault="00E11869" w:rsidP="004454B6">
            <w:pPr>
              <w:spacing w:after="0"/>
              <w:rPr>
                <w:rStyle w:val="Ohne"/>
                <w:rFonts w:ascii="Cambria" w:eastAsia="Arial" w:hAnsi="Cambria" w:cs="Arial"/>
                <w:sz w:val="20"/>
                <w:szCs w:val="20"/>
              </w:rPr>
            </w:pPr>
          </w:p>
          <w:p w14:paraId="3CE6050A" w14:textId="77777777" w:rsidR="00E11869" w:rsidRPr="00207748" w:rsidRDefault="00447357" w:rsidP="004454B6">
            <w:pPr>
              <w:spacing w:after="0"/>
              <w:rPr>
                <w:rStyle w:val="Ohne"/>
                <w:rFonts w:ascii="Cambria" w:eastAsia="Arial" w:hAnsi="Cambria" w:cs="Arial"/>
                <w:b/>
                <w:bCs/>
                <w:sz w:val="20"/>
                <w:szCs w:val="20"/>
              </w:rPr>
            </w:pPr>
            <w:r w:rsidRPr="00207748">
              <w:rPr>
                <w:rStyle w:val="Ohne"/>
                <w:rFonts w:ascii="Cambria" w:hAnsi="Cambria" w:cs="Arial"/>
                <w:b/>
                <w:bCs/>
                <w:sz w:val="20"/>
                <w:szCs w:val="20"/>
              </w:rPr>
              <w:t>stark</w:t>
            </w:r>
          </w:p>
          <w:p w14:paraId="5F5C3243" w14:textId="77777777" w:rsidR="00E11869" w:rsidRPr="00207748" w:rsidRDefault="00E11869" w:rsidP="004454B6">
            <w:pPr>
              <w:spacing w:after="0"/>
              <w:rPr>
                <w:rStyle w:val="Ohne"/>
                <w:rFonts w:ascii="Cambria" w:eastAsia="Arial" w:hAnsi="Cambria" w:cs="Arial"/>
                <w:b/>
                <w:bCs/>
                <w:sz w:val="20"/>
                <w:szCs w:val="20"/>
              </w:rPr>
            </w:pPr>
          </w:p>
          <w:p w14:paraId="6F01282D"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Evidenzgrad</w:t>
            </w:r>
          </w:p>
          <w:p w14:paraId="1A6F3F82" w14:textId="77777777" w:rsidR="00E11869" w:rsidRPr="00207748" w:rsidRDefault="00E11869" w:rsidP="004454B6">
            <w:pPr>
              <w:spacing w:after="0"/>
              <w:rPr>
                <w:rStyle w:val="Ohne"/>
                <w:rFonts w:ascii="Cambria" w:eastAsia="Arial" w:hAnsi="Cambria" w:cs="Arial"/>
                <w:sz w:val="20"/>
                <w:szCs w:val="20"/>
              </w:rPr>
            </w:pPr>
          </w:p>
          <w:p w14:paraId="38E42D20"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niedrig</w:t>
            </w:r>
          </w:p>
        </w:tc>
        <w:tc>
          <w:tcPr>
            <w:tcW w:w="293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408BB" w14:textId="47C14AD1" w:rsidR="00E11869" w:rsidRPr="00207748" w:rsidRDefault="00447357" w:rsidP="004454B6">
            <w:pPr>
              <w:spacing w:after="0"/>
              <w:rPr>
                <w:rFonts w:ascii="Cambria" w:hAnsi="Cambria" w:cs="Arial"/>
                <w:sz w:val="20"/>
                <w:szCs w:val="20"/>
              </w:rPr>
            </w:pPr>
            <w:r w:rsidRPr="00207748">
              <w:rPr>
                <w:rStyle w:val="Ohne"/>
                <w:rFonts w:ascii="Cambria" w:hAnsi="Cambria" w:cs="Arial"/>
                <w:b/>
                <w:bCs/>
                <w:spacing w:val="-2"/>
                <w:sz w:val="20"/>
                <w:szCs w:val="20"/>
              </w:rPr>
              <w:t>Wir empfehlen, dass Patienten mit Sepsis oder septischem Schock, bei denen Risikofaktoren für gastrointestinale (GI) Blutungen vorliegen, eine Stressulkus</w:t>
            </w:r>
            <w:r w:rsidR="00B26F79">
              <w:rPr>
                <w:rStyle w:val="Ohne"/>
                <w:rFonts w:ascii="Cambria" w:hAnsi="Cambria" w:cs="Arial"/>
                <w:b/>
                <w:bCs/>
                <w:spacing w:val="-2"/>
                <w:sz w:val="20"/>
                <w:szCs w:val="20"/>
              </w:rPr>
              <w:t>-</w:t>
            </w:r>
            <w:r w:rsidRPr="00207748">
              <w:rPr>
                <w:rStyle w:val="Ohne"/>
                <w:rFonts w:ascii="Cambria" w:hAnsi="Cambria" w:cs="Arial"/>
                <w:b/>
                <w:bCs/>
                <w:spacing w:val="-2"/>
                <w:sz w:val="20"/>
                <w:szCs w:val="20"/>
              </w:rPr>
              <w:t>prophylaxe erhalten</w:t>
            </w:r>
            <w:r w:rsidR="00B20D2B" w:rsidRPr="00207748">
              <w:rPr>
                <w:rStyle w:val="Ohne"/>
                <w:rFonts w:ascii="Cambria" w:hAnsi="Cambria" w:cs="Arial"/>
                <w:b/>
                <w:bCs/>
                <w:spacing w:val="-2"/>
                <w:sz w:val="20"/>
                <w:szCs w:val="20"/>
              </w:rPr>
              <w:t>.</w:t>
            </w:r>
          </w:p>
        </w:tc>
      </w:tr>
      <w:tr w:rsidR="00E11869" w:rsidRPr="00207748" w14:paraId="440C3067" w14:textId="77777777" w:rsidTr="00DA3A66">
        <w:trPr>
          <w:trHeight w:val="562"/>
        </w:trPr>
        <w:tc>
          <w:tcPr>
            <w:tcW w:w="2063" w:type="pct"/>
            <w:vMerge/>
            <w:tcBorders>
              <w:top w:val="single" w:sz="4" w:space="0" w:color="000000"/>
              <w:left w:val="single" w:sz="4" w:space="0" w:color="000000"/>
              <w:bottom w:val="single" w:sz="4" w:space="0" w:color="000000"/>
              <w:right w:val="single" w:sz="4" w:space="0" w:color="000000"/>
            </w:tcBorders>
            <w:shd w:val="clear" w:color="auto" w:fill="auto"/>
          </w:tcPr>
          <w:p w14:paraId="5EECDE54" w14:textId="77777777" w:rsidR="00E11869" w:rsidRPr="00207748" w:rsidRDefault="00E11869" w:rsidP="004454B6">
            <w:pPr>
              <w:rPr>
                <w:rFonts w:ascii="Cambria" w:hAnsi="Cambria" w:cs="Arial"/>
                <w:sz w:val="20"/>
                <w:szCs w:val="20"/>
              </w:rPr>
            </w:pPr>
          </w:p>
        </w:tc>
        <w:tc>
          <w:tcPr>
            <w:tcW w:w="293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A17B4" w14:textId="77777777" w:rsidR="00E11869" w:rsidRPr="00207748" w:rsidRDefault="00342FB3" w:rsidP="004454B6">
            <w:pPr>
              <w:spacing w:after="0"/>
              <w:rPr>
                <w:rFonts w:ascii="Cambria" w:hAnsi="Cambria" w:cs="Arial"/>
                <w:sz w:val="20"/>
                <w:szCs w:val="20"/>
              </w:rPr>
            </w:pPr>
            <w:r w:rsidRPr="00207748">
              <w:rPr>
                <w:rStyle w:val="Ohne"/>
                <w:rFonts w:ascii="Cambria" w:hAnsi="Cambria" w:cs="Arial"/>
                <w:b/>
                <w:bCs/>
                <w:sz w:val="20"/>
                <w:szCs w:val="20"/>
              </w:rPr>
              <w:t>SSC-</w:t>
            </w:r>
            <w:r w:rsidR="00447357" w:rsidRPr="00207748">
              <w:rPr>
                <w:rStyle w:val="Ohne"/>
                <w:rFonts w:ascii="Cambria" w:hAnsi="Cambria" w:cs="Arial"/>
                <w:b/>
                <w:bCs/>
                <w:sz w:val="20"/>
                <w:szCs w:val="20"/>
              </w:rPr>
              <w:t>Leitlinien</w:t>
            </w:r>
            <w:r w:rsidR="00E873A9" w:rsidRPr="00207748">
              <w:rPr>
                <w:rStyle w:val="Ohne"/>
                <w:rFonts w:ascii="Cambria" w:hAnsi="Cambria" w:cs="Arial"/>
                <w:b/>
                <w:bCs/>
                <w:sz w:val="20"/>
                <w:szCs w:val="20"/>
              </w:rPr>
              <w:t>adaptation</w:t>
            </w:r>
            <w:r w:rsidR="00447357" w:rsidRPr="00207748">
              <w:rPr>
                <w:rStyle w:val="Ohne"/>
                <w:rFonts w:ascii="Cambria" w:hAnsi="Cambria" w:cs="Arial"/>
                <w:b/>
                <w:bCs/>
                <w:sz w:val="20"/>
                <w:szCs w:val="20"/>
              </w:rPr>
              <w:t xml:space="preserve"> </w:t>
            </w:r>
          </w:p>
        </w:tc>
      </w:tr>
      <w:tr w:rsidR="00E11869" w:rsidRPr="00207748" w14:paraId="6CCE50A1" w14:textId="77777777" w:rsidTr="00DA3A66">
        <w:trPr>
          <w:trHeight w:val="282"/>
        </w:trPr>
        <w:tc>
          <w:tcPr>
            <w:tcW w:w="20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9BB5B" w14:textId="77777777" w:rsidR="00E11869" w:rsidRPr="00207748" w:rsidRDefault="00E11869" w:rsidP="004454B6">
            <w:pPr>
              <w:rPr>
                <w:rFonts w:ascii="Cambria" w:hAnsi="Cambria" w:cs="Arial"/>
                <w:sz w:val="20"/>
                <w:szCs w:val="20"/>
              </w:rPr>
            </w:pPr>
          </w:p>
        </w:tc>
        <w:tc>
          <w:tcPr>
            <w:tcW w:w="293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56706"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 xml:space="preserve">Konsensstärke: 100 % </w:t>
            </w:r>
          </w:p>
        </w:tc>
      </w:tr>
    </w:tbl>
    <w:p w14:paraId="41F82F91" w14:textId="77777777" w:rsidR="00E11869" w:rsidRPr="00207748" w:rsidRDefault="00E11869" w:rsidP="004454B6">
      <w:pPr>
        <w:pStyle w:val="Default"/>
        <w:spacing w:before="240" w:after="200" w:line="276" w:lineRule="auto"/>
        <w:rPr>
          <w:rStyle w:val="Ohne"/>
          <w:rFonts w:ascii="Cambria" w:eastAsia="Arial" w:hAnsi="Cambria" w:cs="Arial"/>
          <w:sz w:val="20"/>
          <w:szCs w:val="20"/>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66"/>
        <w:gridCol w:w="1770"/>
        <w:gridCol w:w="797"/>
      </w:tblGrid>
      <w:tr w:rsidR="00E11869" w:rsidRPr="00207748" w14:paraId="7ABEA7AA" w14:textId="77777777" w:rsidTr="00DA3A66">
        <w:trPr>
          <w:trHeight w:val="282"/>
        </w:trPr>
        <w:tc>
          <w:tcPr>
            <w:tcW w:w="2037"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945A9E9" w14:textId="77777777" w:rsidR="00E11869" w:rsidRPr="00207748" w:rsidRDefault="00447357" w:rsidP="004454B6">
            <w:pPr>
              <w:rPr>
                <w:rStyle w:val="Ohne"/>
                <w:rFonts w:ascii="Cambria" w:hAnsi="Cambria"/>
                <w:b/>
                <w:bCs/>
                <w:sz w:val="20"/>
                <w:szCs w:val="20"/>
              </w:rPr>
            </w:pPr>
            <w:r w:rsidRPr="00207748">
              <w:rPr>
                <w:rStyle w:val="Ohne"/>
                <w:rFonts w:ascii="Cambria" w:hAnsi="Cambria" w:cs="Arial"/>
                <w:b/>
                <w:bCs/>
                <w:sz w:val="20"/>
                <w:szCs w:val="20"/>
              </w:rPr>
              <w:t>S.2</w:t>
            </w:r>
          </w:p>
        </w:tc>
        <w:tc>
          <w:tcPr>
            <w:tcW w:w="2043"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3094407D"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 xml:space="preserve">Empfehlung </w:t>
            </w:r>
          </w:p>
        </w:tc>
        <w:tc>
          <w:tcPr>
            <w:tcW w:w="920"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427AC404"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2572F7C1" w14:textId="77777777" w:rsidTr="00DA3A66">
        <w:trPr>
          <w:trHeight w:val="2522"/>
        </w:trPr>
        <w:tc>
          <w:tcPr>
            <w:tcW w:w="2037"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31945"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Empfehlungsgrad</w:t>
            </w:r>
          </w:p>
          <w:p w14:paraId="665D5749" w14:textId="77777777" w:rsidR="00E11869" w:rsidRPr="00207748" w:rsidRDefault="00E11869" w:rsidP="004454B6">
            <w:pPr>
              <w:spacing w:after="0"/>
              <w:rPr>
                <w:rStyle w:val="Ohne"/>
                <w:rFonts w:ascii="Cambria" w:eastAsia="Arial" w:hAnsi="Cambria" w:cs="Arial"/>
                <w:sz w:val="20"/>
                <w:szCs w:val="20"/>
              </w:rPr>
            </w:pPr>
          </w:p>
          <w:p w14:paraId="25EA8907" w14:textId="77777777" w:rsidR="00E11869" w:rsidRPr="00207748" w:rsidRDefault="00447357" w:rsidP="004454B6">
            <w:pPr>
              <w:spacing w:after="0"/>
              <w:rPr>
                <w:rStyle w:val="Ohne"/>
                <w:rFonts w:ascii="Cambria" w:eastAsia="Arial" w:hAnsi="Cambria" w:cs="Arial"/>
                <w:b/>
                <w:bCs/>
                <w:sz w:val="20"/>
                <w:szCs w:val="20"/>
              </w:rPr>
            </w:pPr>
            <w:r w:rsidRPr="00207748">
              <w:rPr>
                <w:rStyle w:val="Ohne"/>
                <w:rFonts w:ascii="Cambria" w:hAnsi="Cambria" w:cs="Arial"/>
                <w:b/>
                <w:bCs/>
                <w:sz w:val="20"/>
                <w:szCs w:val="20"/>
              </w:rPr>
              <w:t>schwach</w:t>
            </w:r>
          </w:p>
          <w:p w14:paraId="31978E89" w14:textId="77777777" w:rsidR="00E11869" w:rsidRPr="00207748" w:rsidRDefault="00E11869" w:rsidP="004454B6">
            <w:pPr>
              <w:spacing w:after="0"/>
              <w:rPr>
                <w:rStyle w:val="Ohne"/>
                <w:rFonts w:ascii="Cambria" w:eastAsia="Arial" w:hAnsi="Cambria" w:cs="Arial"/>
                <w:b/>
                <w:bCs/>
                <w:sz w:val="20"/>
                <w:szCs w:val="20"/>
              </w:rPr>
            </w:pPr>
          </w:p>
          <w:p w14:paraId="1E43F211"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Evidenzgrad</w:t>
            </w:r>
          </w:p>
          <w:p w14:paraId="2FAA36EA" w14:textId="77777777" w:rsidR="00E11869" w:rsidRPr="00207748" w:rsidRDefault="00E11869" w:rsidP="004454B6">
            <w:pPr>
              <w:spacing w:after="0"/>
              <w:rPr>
                <w:rStyle w:val="Ohne"/>
                <w:rFonts w:ascii="Cambria" w:eastAsia="Arial" w:hAnsi="Cambria" w:cs="Arial"/>
                <w:sz w:val="20"/>
                <w:szCs w:val="20"/>
              </w:rPr>
            </w:pPr>
          </w:p>
          <w:p w14:paraId="30098673"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niedrig</w:t>
            </w:r>
          </w:p>
        </w:tc>
        <w:tc>
          <w:tcPr>
            <w:tcW w:w="2963"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7C2A4" w14:textId="58A64129" w:rsidR="00E11869" w:rsidRPr="00207748" w:rsidRDefault="00447357" w:rsidP="004454B6">
            <w:pPr>
              <w:spacing w:after="0"/>
              <w:rPr>
                <w:rFonts w:ascii="Cambria" w:hAnsi="Cambria" w:cs="Arial"/>
                <w:sz w:val="20"/>
                <w:szCs w:val="20"/>
              </w:rPr>
            </w:pPr>
            <w:r w:rsidRPr="00207748">
              <w:rPr>
                <w:rStyle w:val="Ohne"/>
                <w:rFonts w:ascii="Cambria" w:hAnsi="Cambria" w:cs="Arial"/>
                <w:b/>
                <w:bCs/>
                <w:spacing w:val="-2"/>
                <w:sz w:val="20"/>
                <w:szCs w:val="20"/>
              </w:rPr>
              <w:t>Wir schlagen vor, dass entweder Protonen</w:t>
            </w:r>
            <w:r w:rsidR="00B26F79">
              <w:rPr>
                <w:rStyle w:val="Ohne"/>
                <w:rFonts w:ascii="Cambria" w:hAnsi="Cambria" w:cs="Arial"/>
                <w:b/>
                <w:bCs/>
                <w:spacing w:val="-2"/>
                <w:sz w:val="20"/>
                <w:szCs w:val="20"/>
              </w:rPr>
              <w:t>-</w:t>
            </w:r>
            <w:r w:rsidRPr="00207748">
              <w:rPr>
                <w:rStyle w:val="Ohne"/>
                <w:rFonts w:ascii="Cambria" w:hAnsi="Cambria" w:cs="Arial"/>
                <w:b/>
                <w:bCs/>
                <w:spacing w:val="-2"/>
                <w:sz w:val="20"/>
                <w:szCs w:val="20"/>
              </w:rPr>
              <w:t xml:space="preserve">pumpenhemmer oder Histamin-2-Rezeptor-Antagonisten verwendet werden, wenn eine Indikation für eine Stressulkusprophylaxe vorliegt. </w:t>
            </w:r>
          </w:p>
        </w:tc>
      </w:tr>
      <w:tr w:rsidR="00E11869" w:rsidRPr="00207748" w14:paraId="54AB0EC8" w14:textId="77777777" w:rsidTr="00DA3A66">
        <w:trPr>
          <w:trHeight w:val="282"/>
        </w:trPr>
        <w:tc>
          <w:tcPr>
            <w:tcW w:w="2037" w:type="pct"/>
            <w:vMerge/>
            <w:tcBorders>
              <w:top w:val="single" w:sz="4" w:space="0" w:color="000000"/>
              <w:left w:val="single" w:sz="4" w:space="0" w:color="000000"/>
              <w:bottom w:val="single" w:sz="4" w:space="0" w:color="000000"/>
              <w:right w:val="single" w:sz="4" w:space="0" w:color="000000"/>
            </w:tcBorders>
            <w:shd w:val="clear" w:color="auto" w:fill="auto"/>
          </w:tcPr>
          <w:p w14:paraId="4697696D" w14:textId="77777777" w:rsidR="00E11869" w:rsidRPr="00207748" w:rsidRDefault="00E11869" w:rsidP="004454B6">
            <w:pPr>
              <w:rPr>
                <w:rFonts w:ascii="Cambria" w:hAnsi="Cambria" w:cs="Arial"/>
                <w:sz w:val="20"/>
                <w:szCs w:val="20"/>
              </w:rPr>
            </w:pPr>
          </w:p>
        </w:tc>
        <w:tc>
          <w:tcPr>
            <w:tcW w:w="2963"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44AEC" w14:textId="77777777" w:rsidR="00E11869" w:rsidRPr="00207748" w:rsidRDefault="00342FB3" w:rsidP="004454B6">
            <w:pPr>
              <w:spacing w:after="0"/>
              <w:rPr>
                <w:rFonts w:ascii="Cambria" w:hAnsi="Cambria" w:cs="Arial"/>
                <w:sz w:val="20"/>
                <w:szCs w:val="20"/>
              </w:rPr>
            </w:pPr>
            <w:r w:rsidRPr="00207748">
              <w:rPr>
                <w:rStyle w:val="Ohne"/>
                <w:rFonts w:ascii="Cambria" w:hAnsi="Cambria" w:cs="Arial"/>
                <w:b/>
                <w:bCs/>
                <w:sz w:val="20"/>
                <w:szCs w:val="20"/>
              </w:rPr>
              <w:t>SSC-</w:t>
            </w:r>
            <w:r w:rsidR="00447357" w:rsidRPr="00207748">
              <w:rPr>
                <w:rStyle w:val="Ohne"/>
                <w:rFonts w:ascii="Cambria" w:hAnsi="Cambria" w:cs="Arial"/>
                <w:b/>
                <w:bCs/>
                <w:sz w:val="20"/>
                <w:szCs w:val="20"/>
              </w:rPr>
              <w:t>Leitlinien</w:t>
            </w:r>
            <w:r w:rsidR="00E873A9" w:rsidRPr="00207748">
              <w:rPr>
                <w:rStyle w:val="Ohne"/>
                <w:rFonts w:ascii="Cambria" w:hAnsi="Cambria" w:cs="Arial"/>
                <w:b/>
                <w:bCs/>
                <w:sz w:val="20"/>
                <w:szCs w:val="20"/>
              </w:rPr>
              <w:t>adaptation</w:t>
            </w:r>
          </w:p>
        </w:tc>
      </w:tr>
      <w:tr w:rsidR="00E11869" w:rsidRPr="00207748" w14:paraId="46BB7646" w14:textId="77777777" w:rsidTr="00DA3A66">
        <w:trPr>
          <w:trHeight w:val="282"/>
        </w:trPr>
        <w:tc>
          <w:tcPr>
            <w:tcW w:w="20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300B3" w14:textId="77777777" w:rsidR="00E11869" w:rsidRPr="00207748" w:rsidRDefault="00E11869" w:rsidP="004454B6">
            <w:pPr>
              <w:rPr>
                <w:rFonts w:ascii="Cambria" w:hAnsi="Cambria" w:cs="Arial"/>
                <w:sz w:val="20"/>
                <w:szCs w:val="20"/>
              </w:rPr>
            </w:pPr>
          </w:p>
        </w:tc>
        <w:tc>
          <w:tcPr>
            <w:tcW w:w="2963"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E980A"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 xml:space="preserve">Konsensstärke: 100 % </w:t>
            </w:r>
          </w:p>
        </w:tc>
      </w:tr>
    </w:tbl>
    <w:p w14:paraId="20B52F94" w14:textId="3A9B7A8D" w:rsidR="00DA3A66" w:rsidRDefault="00DA3A66" w:rsidP="004454B6">
      <w:pPr>
        <w:pStyle w:val="Default"/>
        <w:spacing w:before="240" w:after="200" w:line="276" w:lineRule="auto"/>
        <w:rPr>
          <w:rStyle w:val="Ohne"/>
          <w:rFonts w:ascii="Cambria" w:eastAsia="Arial" w:hAnsi="Cambria" w:cs="Arial"/>
          <w:sz w:val="20"/>
          <w:szCs w:val="20"/>
        </w:rPr>
      </w:pPr>
    </w:p>
    <w:p w14:paraId="79B94890" w14:textId="77777777" w:rsidR="00DA3A66" w:rsidRDefault="00DA3A66">
      <w:pPr>
        <w:spacing w:after="0" w:line="240" w:lineRule="auto"/>
        <w:rPr>
          <w:rStyle w:val="Ohne"/>
          <w:rFonts w:ascii="Cambria" w:eastAsia="Arial" w:hAnsi="Cambria" w:cs="Arial"/>
          <w:sz w:val="20"/>
          <w:szCs w:val="20"/>
          <w14:textOutline w14:w="0" w14:cap="rnd" w14:cmpd="sng" w14:algn="ctr">
            <w14:noFill/>
            <w14:prstDash w14:val="solid"/>
            <w14:bevel/>
          </w14:textOutline>
        </w:rPr>
      </w:pPr>
      <w:r>
        <w:rPr>
          <w:rStyle w:val="Ohne"/>
          <w:rFonts w:ascii="Cambria" w:eastAsia="Arial" w:hAnsi="Cambria" w:cs="Arial"/>
          <w:sz w:val="20"/>
          <w:szCs w:val="20"/>
        </w:rPr>
        <w:br w:type="page"/>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762"/>
        <w:gridCol w:w="1643"/>
        <w:gridCol w:w="820"/>
      </w:tblGrid>
      <w:tr w:rsidR="00E11869" w:rsidRPr="00207748" w14:paraId="08139EFD"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1EEF391" w14:textId="77777777" w:rsidR="00E11869" w:rsidRPr="00207748" w:rsidRDefault="00447357" w:rsidP="004454B6">
            <w:pPr>
              <w:rPr>
                <w:rStyle w:val="Ohne"/>
                <w:rFonts w:ascii="Cambria" w:hAnsi="Cambria"/>
                <w:b/>
                <w:bCs/>
                <w:sz w:val="20"/>
                <w:szCs w:val="20"/>
              </w:rPr>
            </w:pPr>
            <w:r w:rsidRPr="00207748">
              <w:rPr>
                <w:rStyle w:val="Ohne"/>
                <w:rFonts w:ascii="Cambria" w:hAnsi="Cambria" w:cs="Arial"/>
                <w:b/>
                <w:bCs/>
                <w:sz w:val="20"/>
                <w:szCs w:val="20"/>
              </w:rPr>
              <w:lastRenderedPageBreak/>
              <w:t>S.3</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2702E15C"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348C5E8A"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5B1680FC" w14:textId="77777777" w:rsidTr="00342FB3">
        <w:trPr>
          <w:trHeight w:val="196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C714FE"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Expertenkonsens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D403F"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pacing w:val="-2"/>
                <w:sz w:val="20"/>
                <w:szCs w:val="20"/>
              </w:rPr>
              <w:t>Wir empfehlen, dass Patienten ohne Risikofaktoren für gastrointestinale Blutungen keine Stressulkusprophylaxe erhalten</w:t>
            </w:r>
            <w:r w:rsidR="00B20D2B" w:rsidRPr="00207748">
              <w:rPr>
                <w:rStyle w:val="Ohne"/>
                <w:rFonts w:ascii="Cambria" w:hAnsi="Cambria" w:cs="Arial"/>
                <w:b/>
                <w:bCs/>
                <w:spacing w:val="-2"/>
                <w:sz w:val="20"/>
                <w:szCs w:val="20"/>
              </w:rPr>
              <w:t>.</w:t>
            </w:r>
            <w:r w:rsidRPr="00207748">
              <w:rPr>
                <w:rStyle w:val="Ohne"/>
                <w:rFonts w:ascii="Cambria" w:hAnsi="Cambria" w:cs="Arial"/>
                <w:b/>
                <w:bCs/>
                <w:spacing w:val="-2"/>
                <w:sz w:val="20"/>
                <w:szCs w:val="20"/>
              </w:rPr>
              <w:t xml:space="preserve"> </w:t>
            </w:r>
          </w:p>
        </w:tc>
      </w:tr>
      <w:tr w:rsidR="00E11869" w:rsidRPr="00207748" w14:paraId="1C8C86E0" w14:textId="77777777" w:rsidTr="00342FB3">
        <w:trPr>
          <w:trHeight w:val="56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095F240F"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70521" w14:textId="77777777" w:rsidR="00E11869" w:rsidRPr="00207748" w:rsidRDefault="00342FB3" w:rsidP="004454B6">
            <w:pPr>
              <w:spacing w:after="0"/>
              <w:rPr>
                <w:rFonts w:ascii="Cambria" w:hAnsi="Cambria" w:cs="Arial"/>
                <w:sz w:val="20"/>
                <w:szCs w:val="20"/>
              </w:rPr>
            </w:pPr>
            <w:r w:rsidRPr="00207748">
              <w:rPr>
                <w:rStyle w:val="Ohne"/>
                <w:rFonts w:ascii="Cambria" w:hAnsi="Cambria" w:cs="Arial"/>
                <w:b/>
                <w:bCs/>
                <w:sz w:val="20"/>
                <w:szCs w:val="20"/>
              </w:rPr>
              <w:t>SSC-</w:t>
            </w:r>
            <w:r w:rsidR="00447357" w:rsidRPr="00207748">
              <w:rPr>
                <w:rStyle w:val="Ohne"/>
                <w:rFonts w:ascii="Cambria" w:hAnsi="Cambria" w:cs="Arial"/>
                <w:b/>
                <w:bCs/>
                <w:sz w:val="20"/>
                <w:szCs w:val="20"/>
              </w:rPr>
              <w:t xml:space="preserve">Leitlinienadaptation </w:t>
            </w:r>
          </w:p>
        </w:tc>
      </w:tr>
      <w:tr w:rsidR="00E11869" w:rsidRPr="00207748" w14:paraId="2BD62055"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F0894"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9015C"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 xml:space="preserve">Konsensstärke: 100 % </w:t>
            </w:r>
          </w:p>
        </w:tc>
      </w:tr>
    </w:tbl>
    <w:p w14:paraId="50A324BC" w14:textId="5E6FB95A" w:rsidR="00E11869" w:rsidRPr="00207748" w:rsidRDefault="00420A45" w:rsidP="004454B6">
      <w:pPr>
        <w:pStyle w:val="Default"/>
        <w:spacing w:before="240" w:after="200" w:line="276" w:lineRule="auto"/>
        <w:rPr>
          <w:rStyle w:val="Ohne"/>
          <w:rFonts w:ascii="Cambria" w:eastAsia="Arial" w:hAnsi="Cambria" w:cs="Arial"/>
          <w:sz w:val="20"/>
          <w:szCs w:val="20"/>
        </w:rPr>
      </w:pPr>
      <w:r w:rsidRPr="00207748">
        <w:rPr>
          <w:rStyle w:val="Ohne"/>
          <w:rFonts w:ascii="Cambria" w:hAnsi="Cambria" w:cs="Arial"/>
          <w:b/>
          <w:bCs/>
          <w:sz w:val="20"/>
          <w:szCs w:val="20"/>
        </w:rPr>
        <w:t>Begründung:</w:t>
      </w:r>
      <w:r w:rsidR="00447357" w:rsidRPr="00207748">
        <w:rPr>
          <w:rStyle w:val="Ohne"/>
          <w:rFonts w:ascii="Cambria" w:hAnsi="Cambria" w:cs="Arial"/>
          <w:sz w:val="20"/>
          <w:szCs w:val="20"/>
        </w:rPr>
        <w:t xml:space="preserve"> Ein Stressulkus entwickelt sich im Magen-Darm-Trakt von kritisch erkrankten Patienten und kann mit einer signifikanten Morbidität und Mortalität verbunden sein</w:t>
      </w:r>
      <w:r w:rsidR="004C05FB" w:rsidRPr="00207748">
        <w:rPr>
          <w:rStyle w:val="Ohne"/>
          <w:rFonts w:ascii="Cambria" w:hAnsi="Cambria" w:cs="Arial"/>
          <w:sz w:val="20"/>
          <w:szCs w:val="20"/>
        </w:rPr>
        <w:t>.</w:t>
      </w:r>
      <w:r w:rsidR="00447357" w:rsidRPr="00207748">
        <w:rPr>
          <w:rStyle w:val="Ohne"/>
          <w:rFonts w:ascii="Cambria" w:eastAsia="Arial" w:hAnsi="Cambria" w:cs="Arial"/>
          <w:sz w:val="20"/>
          <w:szCs w:val="20"/>
          <w:vertAlign w:val="superscript"/>
        </w:rPr>
        <w:endnoteReference w:id="563"/>
      </w:r>
      <w:r w:rsidR="00447357" w:rsidRPr="00207748">
        <w:rPr>
          <w:rStyle w:val="Ohne"/>
          <w:rFonts w:ascii="Cambria" w:hAnsi="Cambria" w:cs="Arial"/>
          <w:sz w:val="20"/>
          <w:szCs w:val="20"/>
        </w:rPr>
        <w:t xml:space="preserve"> Der exakte Mechanismus ist nicht vollumfänglich geklärt, man geht jedoch von </w:t>
      </w:r>
      <w:r w:rsidR="00D61705">
        <w:rPr>
          <w:rStyle w:val="Ohne"/>
          <w:rFonts w:ascii="Cambria" w:hAnsi="Cambria" w:cs="Arial"/>
          <w:sz w:val="20"/>
          <w:szCs w:val="20"/>
        </w:rPr>
        <w:t>einer Beeinträchtigung</w:t>
      </w:r>
      <w:r w:rsidR="00447357" w:rsidRPr="00207748">
        <w:rPr>
          <w:rStyle w:val="Ohne"/>
          <w:rFonts w:ascii="Cambria" w:hAnsi="Cambria" w:cs="Arial"/>
          <w:sz w:val="20"/>
          <w:szCs w:val="20"/>
        </w:rPr>
        <w:t xml:space="preserve"> der </w:t>
      </w:r>
      <w:r w:rsidR="00D61705">
        <w:rPr>
          <w:rStyle w:val="Ohne"/>
          <w:rFonts w:ascii="Cambria" w:hAnsi="Cambria" w:cs="Arial"/>
          <w:sz w:val="20"/>
          <w:szCs w:val="20"/>
        </w:rPr>
        <w:t>protektiven</w:t>
      </w:r>
      <w:r w:rsidR="00447357" w:rsidRPr="00207748">
        <w:rPr>
          <w:rStyle w:val="Ohne"/>
          <w:rFonts w:ascii="Cambria" w:hAnsi="Cambria" w:cs="Arial"/>
          <w:sz w:val="20"/>
          <w:szCs w:val="20"/>
        </w:rPr>
        <w:t xml:space="preserve"> Mechanismen gegen die Magensäure, einer Hypoperfusion der Magenschleimhaut, einer erhöhten Säureproduktion und oxidativen Schädigungen des Verdauungstrakts aus</w:t>
      </w:r>
      <w:r w:rsidR="004C05FB" w:rsidRPr="00207748">
        <w:rPr>
          <w:rStyle w:val="Ohne"/>
          <w:rFonts w:ascii="Cambria" w:hAnsi="Cambria" w:cs="Arial"/>
          <w:sz w:val="20"/>
          <w:szCs w:val="20"/>
        </w:rPr>
        <w:t>.</w:t>
      </w:r>
      <w:r w:rsidR="00447357" w:rsidRPr="00207748">
        <w:rPr>
          <w:rStyle w:val="Ohne"/>
          <w:rFonts w:ascii="Cambria" w:eastAsia="Arial" w:hAnsi="Cambria" w:cs="Arial"/>
          <w:sz w:val="20"/>
          <w:szCs w:val="20"/>
          <w:vertAlign w:val="superscript"/>
        </w:rPr>
        <w:endnoteReference w:id="564"/>
      </w:r>
      <w:r w:rsidR="00447357" w:rsidRPr="00207748">
        <w:rPr>
          <w:rStyle w:val="Ohne"/>
          <w:rFonts w:ascii="Cambria" w:hAnsi="Cambria" w:cs="Arial"/>
          <w:sz w:val="20"/>
          <w:szCs w:val="20"/>
        </w:rPr>
        <w:t xml:space="preserve"> Die stärksten klinischen Prädiktoren des gastrointestinalen Blutungsrisikos bei kritisch </w:t>
      </w:r>
      <w:r w:rsidR="00D61705">
        <w:rPr>
          <w:rStyle w:val="Ohne"/>
          <w:rFonts w:ascii="Cambria" w:hAnsi="Cambria" w:cs="Arial"/>
          <w:sz w:val="20"/>
          <w:szCs w:val="20"/>
        </w:rPr>
        <w:t>kranken</w:t>
      </w:r>
      <w:r w:rsidR="00447357" w:rsidRPr="00207748">
        <w:rPr>
          <w:rStyle w:val="Ohne"/>
          <w:rFonts w:ascii="Cambria" w:hAnsi="Cambria" w:cs="Arial"/>
          <w:sz w:val="20"/>
          <w:szCs w:val="20"/>
        </w:rPr>
        <w:t xml:space="preserve"> Patienten sind eine mechanische Beatmung über einen Zeitraum von &gt; 48 Stunden und eine Koagulopathie</w:t>
      </w:r>
      <w:r w:rsidR="004C05FB" w:rsidRPr="006B2B71">
        <w:rPr>
          <w:rStyle w:val="Ohne"/>
          <w:rFonts w:ascii="Cambria" w:hAnsi="Cambria" w:cs="Arial"/>
          <w:sz w:val="20"/>
          <w:szCs w:val="20"/>
        </w:rPr>
        <w:t>.</w:t>
      </w:r>
      <w:bookmarkStart w:id="477" w:name="_Ref30606022"/>
      <w:r w:rsidR="00447357" w:rsidRPr="006B2B71">
        <w:rPr>
          <w:rStyle w:val="Ohne"/>
          <w:rFonts w:ascii="Cambria" w:eastAsia="Arial" w:hAnsi="Cambria" w:cs="Arial"/>
          <w:sz w:val="20"/>
          <w:szCs w:val="20"/>
          <w:vertAlign w:val="superscript"/>
        </w:rPr>
        <w:endnoteReference w:id="565"/>
      </w:r>
      <w:bookmarkEnd w:id="477"/>
      <w:r w:rsidR="00447357" w:rsidRPr="006B2B71">
        <w:rPr>
          <w:rStyle w:val="Ohne"/>
          <w:rFonts w:ascii="Cambria" w:hAnsi="Cambria" w:cs="Arial"/>
          <w:sz w:val="20"/>
          <w:szCs w:val="20"/>
        </w:rPr>
        <w:t xml:space="preserve"> Eine aktuelle internationale Kohortenstudie ergab, dass eine </w:t>
      </w:r>
      <w:r w:rsidR="00D61705">
        <w:rPr>
          <w:rStyle w:val="Ohne"/>
          <w:rFonts w:ascii="Cambria" w:hAnsi="Cambria" w:cs="Arial"/>
          <w:sz w:val="20"/>
          <w:szCs w:val="20"/>
        </w:rPr>
        <w:t>vorbestehende</w:t>
      </w:r>
      <w:r w:rsidR="002B1061">
        <w:rPr>
          <w:rStyle w:val="Ohne"/>
          <w:rFonts w:ascii="Cambria" w:hAnsi="Cambria" w:cs="Arial"/>
          <w:sz w:val="20"/>
          <w:szCs w:val="20"/>
        </w:rPr>
        <w:t xml:space="preserve"> </w:t>
      </w:r>
      <w:r w:rsidR="00447357" w:rsidRPr="006B2B71">
        <w:rPr>
          <w:rStyle w:val="Ohne"/>
          <w:rFonts w:ascii="Cambria" w:hAnsi="Cambria" w:cs="Arial"/>
          <w:sz w:val="20"/>
          <w:szCs w:val="20"/>
        </w:rPr>
        <w:t xml:space="preserve">Lebererkrankung, die Notwendigkeit einer Nierenersatztherapie und </w:t>
      </w:r>
      <w:r w:rsidR="00D61705">
        <w:rPr>
          <w:rStyle w:val="Ohne"/>
          <w:rFonts w:ascii="Cambria" w:hAnsi="Cambria" w:cs="Arial"/>
          <w:sz w:val="20"/>
          <w:szCs w:val="20"/>
        </w:rPr>
        <w:t xml:space="preserve">ein </w:t>
      </w:r>
      <w:r w:rsidR="00447357" w:rsidRPr="00207748">
        <w:rPr>
          <w:rStyle w:val="Ohne"/>
          <w:rFonts w:ascii="Cambria" w:hAnsi="Cambria" w:cs="Arial"/>
          <w:sz w:val="20"/>
          <w:szCs w:val="20"/>
        </w:rPr>
        <w:t>höhere</w:t>
      </w:r>
      <w:r w:rsidR="00D61705">
        <w:rPr>
          <w:rStyle w:val="Ohne"/>
          <w:rFonts w:ascii="Cambria" w:hAnsi="Cambria" w:cs="Arial"/>
          <w:sz w:val="20"/>
          <w:szCs w:val="20"/>
        </w:rPr>
        <w:t>r Schweregrad eines</w:t>
      </w:r>
      <w:r w:rsidR="002B1061">
        <w:rPr>
          <w:rStyle w:val="Ohne"/>
          <w:rFonts w:ascii="Cambria" w:hAnsi="Cambria" w:cs="Arial"/>
          <w:sz w:val="20"/>
          <w:szCs w:val="20"/>
        </w:rPr>
        <w:t xml:space="preserve"> </w:t>
      </w:r>
      <w:r w:rsidR="00447357" w:rsidRPr="006B2B71">
        <w:rPr>
          <w:rStyle w:val="Ohne"/>
          <w:rFonts w:ascii="Cambria" w:hAnsi="Cambria" w:cs="Arial"/>
          <w:sz w:val="20"/>
          <w:szCs w:val="20"/>
        </w:rPr>
        <w:t xml:space="preserve">Organversagens unabhängige Prädiktoren eines gastrointestinalen Blutungsrisikos </w:t>
      </w:r>
      <w:r w:rsidR="00D61705">
        <w:rPr>
          <w:rStyle w:val="Ohne"/>
          <w:rFonts w:ascii="Cambria" w:hAnsi="Cambria" w:cs="Arial"/>
          <w:sz w:val="20"/>
          <w:szCs w:val="20"/>
        </w:rPr>
        <w:t>sind</w:t>
      </w:r>
      <w:r w:rsidR="004C05FB" w:rsidRPr="006B2B71">
        <w:rPr>
          <w:rStyle w:val="Ohne"/>
          <w:rFonts w:ascii="Cambria" w:hAnsi="Cambria" w:cs="Arial"/>
          <w:sz w:val="20"/>
          <w:szCs w:val="20"/>
        </w:rPr>
        <w:t>.</w:t>
      </w:r>
      <w:bookmarkStart w:id="478" w:name="_Ref31188859"/>
      <w:r w:rsidR="00447357" w:rsidRPr="006B2B71">
        <w:rPr>
          <w:rStyle w:val="Ohne"/>
          <w:rFonts w:ascii="Cambria" w:eastAsia="Arial" w:hAnsi="Cambria" w:cs="Arial"/>
          <w:sz w:val="20"/>
          <w:szCs w:val="20"/>
          <w:vertAlign w:val="superscript"/>
        </w:rPr>
        <w:endnoteReference w:id="566"/>
      </w:r>
      <w:bookmarkEnd w:id="478"/>
      <w:r w:rsidR="00447357" w:rsidRPr="006B2B71">
        <w:rPr>
          <w:rStyle w:val="Ohne"/>
          <w:rFonts w:ascii="Cambria" w:hAnsi="Cambria" w:cs="Arial"/>
          <w:sz w:val="20"/>
          <w:szCs w:val="20"/>
        </w:rPr>
        <w:t xml:space="preserve"> Eine multizentrische prospektive Kohortenstudie ergab, dass die Inzidenz von klinisch bedeutsamen gastrointestinalen Blutungen bei 2,6 % (95 % CI, 1,6 %–3,6 %) bei kritisch </w:t>
      </w:r>
      <w:r w:rsidR="00D61705">
        <w:rPr>
          <w:rStyle w:val="Ohne"/>
          <w:rFonts w:ascii="Cambria" w:hAnsi="Cambria" w:cs="Arial"/>
          <w:sz w:val="20"/>
          <w:szCs w:val="20"/>
        </w:rPr>
        <w:t>kranken</w:t>
      </w:r>
      <w:r w:rsidR="00447357" w:rsidRPr="006B2B71">
        <w:rPr>
          <w:rStyle w:val="Ohne"/>
          <w:rFonts w:ascii="Cambria" w:hAnsi="Cambria" w:cs="Arial"/>
          <w:sz w:val="20"/>
          <w:szCs w:val="20"/>
        </w:rPr>
        <w:t xml:space="preserve"> Patienten lag; andere Beobachtungsstudien wiesen jedoch niedrigere Raten von gastrointestinalen Blutungen nach </w:t>
      </w:r>
      <w:r w:rsidR="00447357" w:rsidRPr="006B2B71">
        <w:rPr>
          <w:rStyle w:val="Ohne"/>
          <w:rFonts w:ascii="Cambria" w:eastAsia="Arial" w:hAnsi="Cambria" w:cs="Arial"/>
          <w:sz w:val="20"/>
          <w:szCs w:val="20"/>
          <w:vertAlign w:val="superscript"/>
        </w:rPr>
        <w:endnoteReference w:id="567"/>
      </w:r>
      <w:r w:rsidR="004C05FB" w:rsidRPr="006B2B71">
        <w:rPr>
          <w:rStyle w:val="Ohne"/>
          <w:rFonts w:ascii="Cambria" w:hAnsi="Cambria" w:cs="Arial"/>
          <w:sz w:val="20"/>
          <w:szCs w:val="20"/>
        </w:rPr>
        <w:t xml:space="preserve"> </w:t>
      </w:r>
      <w:r w:rsidR="00447357" w:rsidRPr="006B2B71">
        <w:rPr>
          <w:rStyle w:val="Ohne"/>
          <w:rFonts w:ascii="Cambria" w:eastAsia="Arial" w:hAnsi="Cambria" w:cs="Arial"/>
          <w:sz w:val="20"/>
          <w:szCs w:val="20"/>
          <w:vertAlign w:val="superscript"/>
        </w:rPr>
        <w:endnoteReference w:id="568"/>
      </w:r>
      <w:r w:rsidR="004C05FB" w:rsidRPr="006B2B71">
        <w:rPr>
          <w:rStyle w:val="Ohne"/>
          <w:rFonts w:ascii="Cambria" w:hAnsi="Cambria" w:cs="Arial"/>
          <w:sz w:val="20"/>
          <w:szCs w:val="20"/>
        </w:rPr>
        <w:t xml:space="preserve"> </w:t>
      </w:r>
      <w:r w:rsidR="00447357" w:rsidRPr="006B2B71">
        <w:rPr>
          <w:rStyle w:val="Ohne"/>
          <w:rFonts w:ascii="Cambria" w:eastAsia="Arial" w:hAnsi="Cambria" w:cs="Arial"/>
          <w:sz w:val="20"/>
          <w:szCs w:val="20"/>
          <w:vertAlign w:val="superscript"/>
        </w:rPr>
        <w:endnoteReference w:id="569"/>
      </w:r>
      <w:r w:rsidR="00447357" w:rsidRPr="006B2B71">
        <w:rPr>
          <w:rStyle w:val="Ohne"/>
          <w:rFonts w:ascii="Cambria" w:hAnsi="Cambria" w:cs="Arial"/>
          <w:sz w:val="20"/>
          <w:szCs w:val="20"/>
        </w:rPr>
        <w:t xml:space="preserve"> </w:t>
      </w:r>
      <w:r w:rsidR="00447357" w:rsidRPr="006B2B71">
        <w:rPr>
          <w:rStyle w:val="Ohne"/>
          <w:rFonts w:ascii="Cambria" w:eastAsia="Arial" w:hAnsi="Cambria" w:cs="Arial"/>
          <w:sz w:val="20"/>
          <w:szCs w:val="20"/>
          <w:vertAlign w:val="superscript"/>
        </w:rPr>
        <w:endnoteReference w:id="570"/>
      </w:r>
      <w:r w:rsidR="00447357" w:rsidRPr="006B2B71">
        <w:rPr>
          <w:rStyle w:val="Ohne"/>
          <w:rFonts w:ascii="Cambria" w:hAnsi="Cambria" w:cs="Arial"/>
          <w:sz w:val="20"/>
          <w:szCs w:val="20"/>
        </w:rPr>
        <w:t>.</w:t>
      </w:r>
      <w:r w:rsidR="00447357" w:rsidRPr="00207748">
        <w:rPr>
          <w:rStyle w:val="Ohne"/>
          <w:rFonts w:ascii="Cambria" w:hAnsi="Cambria" w:cs="Arial"/>
          <w:sz w:val="20"/>
          <w:szCs w:val="20"/>
        </w:rPr>
        <w:t xml:space="preserve"> </w:t>
      </w:r>
    </w:p>
    <w:p w14:paraId="1DC5218E" w14:textId="04FB4DA3" w:rsidR="00E11869" w:rsidRPr="00207748" w:rsidRDefault="006B2B71" w:rsidP="004454B6">
      <w:pPr>
        <w:pStyle w:val="Default"/>
        <w:spacing w:before="240" w:after="200" w:line="276" w:lineRule="auto"/>
        <w:rPr>
          <w:rStyle w:val="Ohne"/>
          <w:rFonts w:ascii="Cambria" w:hAnsi="Cambria" w:cs="Arial"/>
          <w:iCs/>
          <w:sz w:val="20"/>
          <w:szCs w:val="20"/>
        </w:rPr>
      </w:pPr>
      <w:r w:rsidRPr="006B2B71">
        <w:rPr>
          <w:rStyle w:val="Ohne"/>
          <w:rFonts w:ascii="Cambria" w:hAnsi="Cambria" w:cs="Arial"/>
          <w:sz w:val="20"/>
          <w:szCs w:val="20"/>
        </w:rPr>
        <w:t xml:space="preserve">Ein </w:t>
      </w:r>
      <w:r w:rsidR="00447357" w:rsidRPr="006B2B71">
        <w:rPr>
          <w:rStyle w:val="Ohne"/>
          <w:rFonts w:ascii="Cambria" w:hAnsi="Cambria" w:cs="Arial"/>
          <w:sz w:val="20"/>
          <w:szCs w:val="20"/>
        </w:rPr>
        <w:t xml:space="preserve">systematisches Review und eine Meta-Analyse von 20 RCTs untersuchten die Wirksamkeit und Sicherheit der </w:t>
      </w:r>
      <w:r w:rsidR="00447357" w:rsidRPr="006B2B71">
        <w:rPr>
          <w:rStyle w:val="Ohne"/>
          <w:rFonts w:ascii="Cambria" w:hAnsi="Cambria" w:cs="Arial"/>
          <w:sz w:val="20"/>
          <w:szCs w:val="20"/>
        </w:rPr>
        <w:lastRenderedPageBreak/>
        <w:t>Stressulkusprophylaxe</w:t>
      </w:r>
      <w:r w:rsidR="004C05FB" w:rsidRPr="006B2B71">
        <w:rPr>
          <w:rStyle w:val="Ohne"/>
          <w:rFonts w:ascii="Cambria" w:hAnsi="Cambria" w:cs="Arial"/>
          <w:sz w:val="20"/>
          <w:szCs w:val="20"/>
        </w:rPr>
        <w:t>.</w:t>
      </w:r>
      <w:r w:rsidR="00447357" w:rsidRPr="006B2B71">
        <w:rPr>
          <w:rStyle w:val="Ohne"/>
          <w:rFonts w:ascii="Cambria" w:eastAsia="Arial" w:hAnsi="Cambria" w:cs="Arial"/>
          <w:sz w:val="20"/>
          <w:szCs w:val="20"/>
          <w:vertAlign w:val="superscript"/>
        </w:rPr>
        <w:endnoteReference w:id="571"/>
      </w:r>
      <w:r w:rsidR="00447357" w:rsidRPr="006B2B71">
        <w:rPr>
          <w:rStyle w:val="Ohne"/>
          <w:rFonts w:ascii="Cambria" w:hAnsi="Cambria" w:cs="Arial"/>
          <w:sz w:val="20"/>
          <w:szCs w:val="20"/>
        </w:rPr>
        <w:t xml:space="preserve"> </w:t>
      </w:r>
      <w:r w:rsidR="00420A45" w:rsidRPr="006B2B71">
        <w:rPr>
          <w:rStyle w:val="Ohne"/>
          <w:rFonts w:ascii="Cambria" w:hAnsi="Cambria" w:cs="Arial"/>
          <w:sz w:val="20"/>
          <w:szCs w:val="20"/>
        </w:rPr>
        <w:t>D</w:t>
      </w:r>
      <w:r w:rsidR="00447357" w:rsidRPr="006B2B71">
        <w:rPr>
          <w:rStyle w:val="Ohne"/>
          <w:rFonts w:ascii="Cambria" w:hAnsi="Cambria" w:cs="Arial"/>
          <w:sz w:val="20"/>
          <w:szCs w:val="20"/>
        </w:rPr>
        <w:t xml:space="preserve">ie Prophylaxe mit </w:t>
      </w:r>
      <w:r w:rsidR="009C711D" w:rsidRPr="009C711D">
        <w:rPr>
          <w:rStyle w:val="Ohne"/>
          <w:rFonts w:ascii="Cambria" w:hAnsi="Cambria" w:cs="Arial"/>
          <w:sz w:val="20"/>
          <w:szCs w:val="20"/>
        </w:rPr>
        <w:t>Histamin-2-Rezeptor-Antagonisten</w:t>
      </w:r>
      <w:r w:rsidR="002B1061">
        <w:rPr>
          <w:rStyle w:val="Ohne"/>
          <w:rFonts w:ascii="Cambria" w:hAnsi="Cambria" w:cs="Arial"/>
          <w:sz w:val="20"/>
          <w:szCs w:val="20"/>
        </w:rPr>
        <w:t xml:space="preserve"> </w:t>
      </w:r>
      <w:r w:rsidR="009C711D">
        <w:rPr>
          <w:rStyle w:val="Ohne"/>
          <w:rFonts w:ascii="Cambria" w:hAnsi="Cambria" w:cs="Arial"/>
          <w:sz w:val="20"/>
          <w:szCs w:val="20"/>
        </w:rPr>
        <w:t>(</w:t>
      </w:r>
      <w:r w:rsidR="00447357" w:rsidRPr="00207748">
        <w:rPr>
          <w:rStyle w:val="Ohne"/>
          <w:rFonts w:ascii="Cambria" w:hAnsi="Cambria" w:cs="Arial"/>
          <w:sz w:val="20"/>
          <w:szCs w:val="20"/>
        </w:rPr>
        <w:t>H2R</w:t>
      </w:r>
      <w:r w:rsidR="009C711D" w:rsidRPr="00207748">
        <w:rPr>
          <w:rStyle w:val="Ohne"/>
          <w:rFonts w:ascii="Cambria" w:hAnsi="Cambria" w:cs="Arial"/>
          <w:sz w:val="20"/>
          <w:szCs w:val="20"/>
        </w:rPr>
        <w:t>a</w:t>
      </w:r>
      <w:r w:rsidR="00447357" w:rsidRPr="00207748">
        <w:rPr>
          <w:rStyle w:val="Ohne"/>
          <w:rFonts w:ascii="Cambria" w:hAnsi="Cambria" w:cs="Arial"/>
          <w:sz w:val="20"/>
          <w:szCs w:val="20"/>
        </w:rPr>
        <w:t>s</w:t>
      </w:r>
      <w:r w:rsidR="009C711D">
        <w:rPr>
          <w:rStyle w:val="Ohne"/>
          <w:rFonts w:ascii="Cambria" w:hAnsi="Cambria" w:cs="Arial"/>
          <w:sz w:val="20"/>
          <w:szCs w:val="20"/>
        </w:rPr>
        <w:t>)</w:t>
      </w:r>
      <w:r w:rsidR="002B1061">
        <w:rPr>
          <w:rStyle w:val="Ohne"/>
          <w:rFonts w:ascii="Cambria" w:hAnsi="Cambria" w:cs="Arial"/>
          <w:sz w:val="20"/>
          <w:szCs w:val="20"/>
        </w:rPr>
        <w:t xml:space="preserve"> </w:t>
      </w:r>
      <w:r w:rsidR="00447357" w:rsidRPr="006B2B71">
        <w:rPr>
          <w:rStyle w:val="Ohne"/>
          <w:rFonts w:ascii="Cambria" w:hAnsi="Cambria" w:cs="Arial"/>
          <w:sz w:val="20"/>
          <w:szCs w:val="20"/>
        </w:rPr>
        <w:t xml:space="preserve">oder </w:t>
      </w:r>
      <w:r w:rsidR="009C711D" w:rsidRPr="009C711D">
        <w:rPr>
          <w:rStyle w:val="Ohne"/>
          <w:rFonts w:ascii="Cambria" w:hAnsi="Cambria" w:cs="Arial"/>
          <w:sz w:val="20"/>
          <w:szCs w:val="20"/>
        </w:rPr>
        <w:t>Protonenpumpenhemmer</w:t>
      </w:r>
      <w:r w:rsidR="009C711D">
        <w:rPr>
          <w:rStyle w:val="Ohne"/>
          <w:rFonts w:ascii="Cambria" w:hAnsi="Cambria" w:cs="Arial"/>
          <w:sz w:val="20"/>
          <w:szCs w:val="20"/>
        </w:rPr>
        <w:t>n (</w:t>
      </w:r>
      <w:r w:rsidR="00447357" w:rsidRPr="006B2B71">
        <w:rPr>
          <w:rStyle w:val="Ohne"/>
          <w:rFonts w:ascii="Cambria" w:hAnsi="Cambria" w:cs="Arial"/>
          <w:sz w:val="20"/>
          <w:szCs w:val="20"/>
        </w:rPr>
        <w:t>PPIs</w:t>
      </w:r>
      <w:r w:rsidR="009C711D">
        <w:rPr>
          <w:rStyle w:val="Ohne"/>
          <w:rFonts w:ascii="Cambria" w:hAnsi="Cambria" w:cs="Arial"/>
          <w:sz w:val="20"/>
          <w:szCs w:val="20"/>
        </w:rPr>
        <w:t>)</w:t>
      </w:r>
      <w:r w:rsidR="002B1061">
        <w:rPr>
          <w:rStyle w:val="Ohne"/>
          <w:rFonts w:ascii="Cambria" w:hAnsi="Cambria" w:cs="Arial"/>
          <w:sz w:val="20"/>
          <w:szCs w:val="20"/>
        </w:rPr>
        <w:t xml:space="preserve"> </w:t>
      </w:r>
      <w:r w:rsidR="00420A45" w:rsidRPr="006B2B71">
        <w:rPr>
          <w:rStyle w:val="Ohne"/>
          <w:rFonts w:ascii="Cambria" w:hAnsi="Cambria" w:cs="Arial"/>
          <w:sz w:val="20"/>
          <w:szCs w:val="20"/>
        </w:rPr>
        <w:t xml:space="preserve">reduziert </w:t>
      </w:r>
      <w:r w:rsidR="00447357" w:rsidRPr="006B2B71">
        <w:rPr>
          <w:rStyle w:val="Ohne"/>
          <w:rFonts w:ascii="Cambria" w:hAnsi="Cambria" w:cs="Arial"/>
          <w:sz w:val="20"/>
          <w:szCs w:val="20"/>
        </w:rPr>
        <w:t>das Risiko von gastrointestinalen Blutungen im Vergleich zu keiner Prophylaxe (RR, 0,44; 95 % CI, 0,28–0,68; niedrige Evidenzqualität)</w:t>
      </w:r>
      <w:r w:rsidR="00420A45" w:rsidRPr="006B2B71">
        <w:rPr>
          <w:rStyle w:val="Ohne"/>
          <w:rFonts w:ascii="Cambria" w:hAnsi="Cambria" w:cs="Arial"/>
          <w:sz w:val="20"/>
          <w:szCs w:val="20"/>
        </w:rPr>
        <w:t>, führt jedoch</w:t>
      </w:r>
      <w:r w:rsidR="00447357" w:rsidRPr="006B2B71">
        <w:rPr>
          <w:rStyle w:val="Ohne"/>
          <w:rFonts w:ascii="Cambria" w:hAnsi="Cambria" w:cs="Arial"/>
          <w:sz w:val="20"/>
          <w:szCs w:val="20"/>
        </w:rPr>
        <w:t xml:space="preserve"> zu einem nicht-signifikanten Anstieg des Pneumonie-Risikos (RR, 1,23; 95 % CI, 0,86–1,78). Eine große retrospektive Kohortenstudie untersuchte den Effekt einer Stressulkusprophylaxe bei Patienten mit Sepsis und ergab, dass kein signifikanter Unterschied in Bezug auf das Risiko einer </w:t>
      </w:r>
      <w:r w:rsidR="00447357" w:rsidRPr="006B2B71">
        <w:rPr>
          <w:rStyle w:val="Ohne"/>
          <w:rFonts w:ascii="Cambria" w:hAnsi="Cambria" w:cs="Arial"/>
          <w:iCs/>
          <w:sz w:val="20"/>
          <w:szCs w:val="20"/>
        </w:rPr>
        <w:t>C. difficile-</w:t>
      </w:r>
      <w:r w:rsidR="00447357" w:rsidRPr="006B2B71">
        <w:rPr>
          <w:rStyle w:val="Ohne"/>
          <w:rFonts w:ascii="Cambria" w:hAnsi="Cambria" w:cs="Arial"/>
          <w:sz w:val="20"/>
          <w:szCs w:val="20"/>
        </w:rPr>
        <w:t xml:space="preserve">Infektion im Vergleich </w:t>
      </w:r>
      <w:r w:rsidRPr="006B2B71">
        <w:rPr>
          <w:rStyle w:val="Ohne"/>
          <w:rFonts w:ascii="Cambria" w:hAnsi="Cambria" w:cs="Arial"/>
          <w:sz w:val="20"/>
          <w:szCs w:val="20"/>
        </w:rPr>
        <w:t>zu keiner Prophylaxe besteht (</w:t>
      </w:r>
      <w:r w:rsidR="00447357" w:rsidRPr="006B2B71">
        <w:rPr>
          <w:rStyle w:val="Ohne"/>
          <w:rFonts w:ascii="Cambria" w:eastAsia="Arial" w:hAnsi="Cambria" w:cs="Arial"/>
          <w:sz w:val="20"/>
          <w:szCs w:val="20"/>
          <w:vertAlign w:val="superscript"/>
        </w:rPr>
        <w:endnoteReference w:id="572"/>
      </w:r>
      <w:r w:rsidR="00447357" w:rsidRPr="006B2B71">
        <w:rPr>
          <w:rStyle w:val="Ohne"/>
          <w:rFonts w:ascii="Cambria" w:hAnsi="Cambria" w:cs="Arial"/>
          <w:sz w:val="20"/>
          <w:szCs w:val="20"/>
        </w:rPr>
        <w:t xml:space="preserve">). Bei Indikation für eine Stressulkusprophylaxe sollte die Auswahl der eingesetzten Medikamentengruppe in Abhängigkeit von den </w:t>
      </w:r>
      <w:r w:rsidR="00D61705">
        <w:rPr>
          <w:rStyle w:val="Ohne"/>
          <w:rFonts w:ascii="Cambria" w:hAnsi="Cambria" w:cs="Arial"/>
          <w:sz w:val="20"/>
          <w:szCs w:val="20"/>
        </w:rPr>
        <w:t>Patientencharakteristika</w:t>
      </w:r>
      <w:r w:rsidR="00447357" w:rsidRPr="006B2B71">
        <w:rPr>
          <w:rStyle w:val="Ohne"/>
          <w:rFonts w:ascii="Cambria" w:hAnsi="Cambria" w:cs="Arial"/>
          <w:sz w:val="20"/>
          <w:szCs w:val="20"/>
        </w:rPr>
        <w:t xml:space="preserve"> und der lokalen Inzidenz von </w:t>
      </w:r>
      <w:r w:rsidR="00447357" w:rsidRPr="006B2B71">
        <w:rPr>
          <w:rStyle w:val="Ohne"/>
          <w:rFonts w:ascii="Cambria" w:hAnsi="Cambria" w:cs="Arial"/>
          <w:iCs/>
          <w:sz w:val="20"/>
          <w:szCs w:val="20"/>
        </w:rPr>
        <w:t>C. difficile</w:t>
      </w:r>
      <w:r w:rsidR="00447357" w:rsidRPr="006B2B71">
        <w:rPr>
          <w:rStyle w:val="Ohne"/>
          <w:rFonts w:ascii="Cambria" w:hAnsi="Cambria" w:cs="Arial"/>
          <w:sz w:val="20"/>
          <w:szCs w:val="20"/>
        </w:rPr>
        <w:t>-Infektionen und Pneumonien erfolgen.</w:t>
      </w:r>
      <w:r w:rsidR="00447357" w:rsidRPr="00207748">
        <w:rPr>
          <w:rStyle w:val="Ohne"/>
          <w:rFonts w:ascii="Cambria" w:hAnsi="Cambria" w:cs="Arial"/>
          <w:sz w:val="20"/>
          <w:szCs w:val="20"/>
        </w:rPr>
        <w:t xml:space="preserve"> </w:t>
      </w:r>
    </w:p>
    <w:p w14:paraId="2EA51596" w14:textId="34AFA8BD" w:rsidR="00E11869" w:rsidRPr="00207748" w:rsidRDefault="00447357" w:rsidP="004454B6">
      <w:pPr>
        <w:pStyle w:val="Default"/>
        <w:spacing w:before="240" w:after="200" w:line="276" w:lineRule="auto"/>
        <w:rPr>
          <w:rStyle w:val="Ohne"/>
          <w:rFonts w:ascii="Cambria" w:eastAsia="Arial" w:hAnsi="Cambria" w:cs="Arial"/>
          <w:sz w:val="20"/>
          <w:szCs w:val="20"/>
        </w:rPr>
      </w:pPr>
      <w:r w:rsidRPr="00207748">
        <w:rPr>
          <w:rStyle w:val="Ohne"/>
          <w:rFonts w:ascii="Cambria" w:hAnsi="Cambria" w:cs="Arial"/>
          <w:sz w:val="20"/>
          <w:szCs w:val="20"/>
        </w:rPr>
        <w:t>Obwohl die veröffentlichten RCTs nicht ausschließlich septische Patienten beinhalteten, sind Risikofaktoren für gastrointestinale Blutungen häufig bei Patienten mit Sepsis und septischem Schock vorhanden</w:t>
      </w:r>
      <w:r w:rsidR="006B2B71">
        <w:rPr>
          <w:rStyle w:val="Ohne"/>
          <w:rFonts w:ascii="Cambria" w:hAnsi="Cambria" w:cs="Arial"/>
          <w:sz w:val="20"/>
          <w:szCs w:val="20"/>
        </w:rPr>
        <w:t xml:space="preserve"> </w:t>
      </w:r>
      <w:r w:rsidR="006B2B71" w:rsidRPr="006B2B71">
        <w:rPr>
          <w:rStyle w:val="EndnoteRealZchn"/>
        </w:rPr>
        <w:fldChar w:fldCharType="begin"/>
      </w:r>
      <w:r w:rsidR="006B2B71" w:rsidRPr="006B2B71">
        <w:rPr>
          <w:rStyle w:val="EndnoteRealZchn"/>
        </w:rPr>
        <w:instrText xml:space="preserve"> NOTEREF _Ref30606022 \h </w:instrText>
      </w:r>
      <w:r w:rsidR="006B2B71">
        <w:rPr>
          <w:rStyle w:val="EndnoteRealZchn"/>
        </w:rPr>
        <w:instrText xml:space="preserve"> \* MERGEFORMAT </w:instrText>
      </w:r>
      <w:r w:rsidR="006B2B71" w:rsidRPr="006B2B71">
        <w:rPr>
          <w:rStyle w:val="EndnoteRealZchn"/>
        </w:rPr>
      </w:r>
      <w:r w:rsidR="006B2B71" w:rsidRPr="006B2B71">
        <w:rPr>
          <w:rStyle w:val="EndnoteRealZchn"/>
        </w:rPr>
        <w:fldChar w:fldCharType="separate"/>
      </w:r>
      <w:r w:rsidR="001A283B">
        <w:rPr>
          <w:rStyle w:val="EndnoteRealZchn"/>
        </w:rPr>
        <w:t>622</w:t>
      </w:r>
      <w:r w:rsidR="006B2B71" w:rsidRPr="006B2B71">
        <w:rPr>
          <w:rStyle w:val="EndnoteRealZchn"/>
        </w:rPr>
        <w:fldChar w:fldCharType="end"/>
      </w:r>
      <w:r w:rsidRPr="00207748">
        <w:rPr>
          <w:rStyle w:val="Ohne"/>
          <w:rFonts w:ascii="Cambria" w:hAnsi="Cambria" w:cs="Arial"/>
          <w:sz w:val="20"/>
          <w:szCs w:val="20"/>
        </w:rPr>
        <w:t xml:space="preserve">; daher ist die Nutzung dieser </w:t>
      </w:r>
      <w:r w:rsidR="00D61705">
        <w:rPr>
          <w:rStyle w:val="Ohne"/>
          <w:rFonts w:ascii="Cambria" w:hAnsi="Cambria" w:cs="Arial"/>
          <w:sz w:val="20"/>
          <w:szCs w:val="20"/>
        </w:rPr>
        <w:t>Datenbasis</w:t>
      </w:r>
      <w:r w:rsidRPr="00207748">
        <w:rPr>
          <w:rStyle w:val="Ohne"/>
          <w:rFonts w:ascii="Cambria" w:hAnsi="Cambria" w:cs="Arial"/>
          <w:sz w:val="20"/>
          <w:szCs w:val="20"/>
        </w:rPr>
        <w:t xml:space="preserve"> als Informationsgrundlage für unsere Empfehlungen </w:t>
      </w:r>
      <w:r w:rsidR="00D61705">
        <w:rPr>
          <w:rStyle w:val="Ohne"/>
          <w:rFonts w:ascii="Cambria" w:hAnsi="Cambria" w:cs="Arial"/>
          <w:sz w:val="20"/>
          <w:szCs w:val="20"/>
        </w:rPr>
        <w:t>gerechtfertigt</w:t>
      </w:r>
      <w:r w:rsidRPr="00207748">
        <w:rPr>
          <w:rStyle w:val="Ohne"/>
          <w:rFonts w:ascii="Cambria" w:hAnsi="Cambria" w:cs="Arial"/>
          <w:sz w:val="20"/>
          <w:szCs w:val="20"/>
        </w:rPr>
        <w:t xml:space="preserve">. Basierend auf der verfügbaren Evidenz überwiegt der erwünschte Nutzen einer Stressulkusprophylaxe das unerwünschte Risiko; daher haben wir eine starke Empfehlung für die Nutzung einer Stressulkusprophylaxe bei Patienten mit den o.g. Risikofaktoren ausgesprochen. Patienten ohne Risikofaktoren weisen keine große Wahrscheinlichkeit für die Entwicklung klinisch bedeutsamer gastrointestinaler Blutungen während ihres Aufenthalts auf der ITS auf; daher </w:t>
      </w:r>
      <w:r w:rsidR="00D61705">
        <w:rPr>
          <w:rStyle w:val="Ohne"/>
          <w:rFonts w:ascii="Cambria" w:hAnsi="Cambria" w:cs="Arial"/>
          <w:sz w:val="20"/>
          <w:szCs w:val="20"/>
        </w:rPr>
        <w:t>ist</w:t>
      </w:r>
      <w:r w:rsidRPr="00207748">
        <w:rPr>
          <w:rStyle w:val="Ohne"/>
          <w:rFonts w:ascii="Cambria" w:hAnsi="Cambria" w:cs="Arial"/>
          <w:sz w:val="20"/>
          <w:szCs w:val="20"/>
        </w:rPr>
        <w:t xml:space="preserve"> eine Stressulkusprophylaxe nur </w:t>
      </w:r>
      <w:r w:rsidR="00D61705">
        <w:rPr>
          <w:rStyle w:val="Ohne"/>
          <w:rFonts w:ascii="Cambria" w:hAnsi="Cambria" w:cs="Arial"/>
          <w:sz w:val="20"/>
          <w:szCs w:val="20"/>
        </w:rPr>
        <w:t>indiziert</w:t>
      </w:r>
      <w:r w:rsidRPr="00207748">
        <w:rPr>
          <w:rStyle w:val="Ohne"/>
          <w:rFonts w:ascii="Cambria" w:hAnsi="Cambria" w:cs="Arial"/>
          <w:sz w:val="20"/>
          <w:szCs w:val="20"/>
        </w:rPr>
        <w:t xml:space="preserve">, wenn Risikofaktoren vorliegen, und die Patienten sollten in regelmäßigen Abständen dahingehend überprüft werden, ob weiterhin ein Bedarf im Hinblick auf </w:t>
      </w:r>
      <w:r w:rsidR="00D61705">
        <w:rPr>
          <w:rStyle w:val="Ohne"/>
          <w:rFonts w:ascii="Cambria" w:hAnsi="Cambria" w:cs="Arial"/>
          <w:sz w:val="20"/>
          <w:szCs w:val="20"/>
        </w:rPr>
        <w:t xml:space="preserve">die </w:t>
      </w:r>
      <w:r w:rsidRPr="00207748">
        <w:rPr>
          <w:rStyle w:val="Ohne"/>
          <w:rFonts w:ascii="Cambria" w:hAnsi="Cambria" w:cs="Arial"/>
          <w:sz w:val="20"/>
          <w:szCs w:val="20"/>
        </w:rPr>
        <w:t xml:space="preserve">Nutzen-Risiko-Relation für die Prophylaxe besteht. </w:t>
      </w:r>
    </w:p>
    <w:p w14:paraId="0E39DC89" w14:textId="0E52913C" w:rsidR="00E11869" w:rsidRPr="00207748" w:rsidRDefault="00447357" w:rsidP="004454B6">
      <w:pPr>
        <w:pStyle w:val="Default"/>
        <w:spacing w:before="240" w:after="200" w:line="276" w:lineRule="auto"/>
        <w:rPr>
          <w:rStyle w:val="Ohne"/>
          <w:rFonts w:ascii="Cambria" w:eastAsia="Arial" w:hAnsi="Cambria" w:cs="Arial"/>
          <w:sz w:val="20"/>
          <w:szCs w:val="20"/>
        </w:rPr>
      </w:pPr>
      <w:r w:rsidRPr="00207748">
        <w:rPr>
          <w:rStyle w:val="Ohne"/>
          <w:rFonts w:ascii="Cambria" w:hAnsi="Cambria" w:cs="Arial"/>
          <w:sz w:val="20"/>
          <w:szCs w:val="20"/>
        </w:rPr>
        <w:t xml:space="preserve">Während es Unterschiede in der weltweiten Praxis gibt, haben diverse Umfragen ergeben, dass PPIs die am häufigsten genutzten Wirkstoffe in Nordamerika, Australien und </w:t>
      </w:r>
      <w:r w:rsidRPr="00207748">
        <w:rPr>
          <w:rStyle w:val="Ohne"/>
          <w:rFonts w:ascii="Cambria" w:hAnsi="Cambria" w:cs="Arial"/>
          <w:sz w:val="20"/>
          <w:szCs w:val="20"/>
        </w:rPr>
        <w:lastRenderedPageBreak/>
        <w:t>Europa sind, gefolgt von H2R</w:t>
      </w:r>
      <w:r w:rsidR="00973E1F" w:rsidRPr="00207748">
        <w:rPr>
          <w:rStyle w:val="Ohne"/>
          <w:rFonts w:ascii="Cambria" w:hAnsi="Cambria" w:cs="Arial"/>
          <w:sz w:val="20"/>
          <w:szCs w:val="20"/>
        </w:rPr>
        <w:t>a</w:t>
      </w:r>
      <w:r w:rsidRPr="00207748">
        <w:rPr>
          <w:rStyle w:val="Ohne"/>
          <w:rFonts w:ascii="Cambria" w:hAnsi="Cambria" w:cs="Arial"/>
          <w:sz w:val="20"/>
          <w:szCs w:val="20"/>
        </w:rPr>
        <w:t>s</w:t>
      </w:r>
      <w:r w:rsidR="00973E1F" w:rsidRPr="00207748">
        <w:rPr>
          <w:rStyle w:val="Ohne"/>
          <w:rFonts w:ascii="Cambria" w:hAnsi="Cambria" w:cs="Arial"/>
          <w:sz w:val="20"/>
          <w:szCs w:val="20"/>
        </w:rPr>
        <w:t>.</w:t>
      </w:r>
      <w:r w:rsidRPr="00207748">
        <w:rPr>
          <w:rStyle w:val="Ohne"/>
          <w:rFonts w:ascii="Cambria" w:eastAsia="Arial" w:hAnsi="Cambria" w:cs="Arial"/>
          <w:sz w:val="20"/>
          <w:szCs w:val="20"/>
          <w:vertAlign w:val="superscript"/>
        </w:rPr>
        <w:endnoteReference w:id="573"/>
      </w:r>
      <w:r w:rsidR="00973E1F" w:rsidRPr="00207748">
        <w:rPr>
          <w:rStyle w:val="Ohne"/>
          <w:rFonts w:ascii="Cambria" w:hAnsi="Cambria" w:cs="Arial"/>
          <w:sz w:val="20"/>
          <w:szCs w:val="20"/>
        </w:rPr>
        <w:t xml:space="preserve"> </w:t>
      </w:r>
      <w:r w:rsidR="00EF1A9E" w:rsidRPr="00EF1A9E">
        <w:rPr>
          <w:rStyle w:val="EndnoteRealZchn"/>
        </w:rPr>
        <w:fldChar w:fldCharType="begin"/>
      </w:r>
      <w:r w:rsidR="00EF1A9E" w:rsidRPr="00EF1A9E">
        <w:rPr>
          <w:rStyle w:val="EndnoteRealZchn"/>
        </w:rPr>
        <w:instrText xml:space="preserve"> NOTEREF _Ref31188859 \h </w:instrText>
      </w:r>
      <w:r w:rsidR="00EF1A9E">
        <w:rPr>
          <w:rStyle w:val="EndnoteRealZchn"/>
        </w:rPr>
        <w:instrText xml:space="preserve"> \* MERGEFORMAT </w:instrText>
      </w:r>
      <w:r w:rsidR="00EF1A9E" w:rsidRPr="00EF1A9E">
        <w:rPr>
          <w:rStyle w:val="EndnoteRealZchn"/>
        </w:rPr>
      </w:r>
      <w:r w:rsidR="00EF1A9E" w:rsidRPr="00EF1A9E">
        <w:rPr>
          <w:rStyle w:val="EndnoteRealZchn"/>
        </w:rPr>
        <w:fldChar w:fldCharType="separate"/>
      </w:r>
      <w:r w:rsidR="00EF1A9E" w:rsidRPr="00EF1A9E">
        <w:rPr>
          <w:rStyle w:val="EndnoteRealZchn"/>
        </w:rPr>
        <w:t>575</w:t>
      </w:r>
      <w:r w:rsidR="00EF1A9E" w:rsidRPr="00EF1A9E">
        <w:rPr>
          <w:rStyle w:val="EndnoteRealZchn"/>
        </w:rPr>
        <w:fldChar w:fldCharType="end"/>
      </w:r>
      <w:r w:rsidRPr="00207748">
        <w:rPr>
          <w:rStyle w:val="Ohne"/>
          <w:rFonts w:ascii="Cambria" w:hAnsi="Cambria" w:cs="Arial"/>
          <w:sz w:val="20"/>
          <w:szCs w:val="20"/>
        </w:rPr>
        <w:t xml:space="preserve"> </w:t>
      </w:r>
      <w:r w:rsidRPr="00207748">
        <w:rPr>
          <w:rStyle w:val="Ohne"/>
          <w:rFonts w:ascii="Cambria" w:eastAsia="Arial" w:hAnsi="Cambria" w:cs="Arial"/>
          <w:sz w:val="20"/>
          <w:szCs w:val="20"/>
          <w:vertAlign w:val="superscript"/>
        </w:rPr>
        <w:endnoteReference w:id="574"/>
      </w:r>
      <w:r w:rsidR="00973E1F" w:rsidRPr="00207748">
        <w:rPr>
          <w:rStyle w:val="Ohne"/>
          <w:rFonts w:ascii="Cambria" w:hAnsi="Cambria" w:cs="Arial"/>
          <w:sz w:val="20"/>
          <w:szCs w:val="20"/>
        </w:rPr>
        <w:t xml:space="preserve"> </w:t>
      </w:r>
      <w:r w:rsidRPr="00207748">
        <w:rPr>
          <w:rStyle w:val="Ohne"/>
          <w:rFonts w:ascii="Cambria" w:eastAsia="Arial" w:hAnsi="Cambria" w:cs="Arial"/>
          <w:sz w:val="20"/>
          <w:szCs w:val="20"/>
          <w:vertAlign w:val="superscript"/>
        </w:rPr>
        <w:endnoteReference w:id="575"/>
      </w:r>
      <w:r w:rsidRPr="00207748">
        <w:rPr>
          <w:rStyle w:val="Ohne"/>
          <w:rFonts w:ascii="Cambria" w:hAnsi="Cambria" w:cs="Arial"/>
          <w:sz w:val="20"/>
          <w:szCs w:val="20"/>
        </w:rPr>
        <w:t xml:space="preserve"> </w:t>
      </w:r>
      <w:bookmarkStart w:id="479" w:name="_Ref30606138"/>
      <w:r w:rsidRPr="00207748">
        <w:rPr>
          <w:rStyle w:val="Ohne"/>
          <w:rFonts w:ascii="Cambria" w:eastAsia="Arial" w:hAnsi="Cambria" w:cs="Arial"/>
          <w:sz w:val="20"/>
          <w:szCs w:val="20"/>
          <w:vertAlign w:val="superscript"/>
        </w:rPr>
        <w:endnoteReference w:id="576"/>
      </w:r>
      <w:bookmarkEnd w:id="479"/>
      <w:r w:rsidRPr="00207748">
        <w:rPr>
          <w:rStyle w:val="Ohne"/>
          <w:rFonts w:ascii="Cambria" w:hAnsi="Cambria" w:cs="Arial"/>
          <w:sz w:val="20"/>
          <w:szCs w:val="20"/>
        </w:rPr>
        <w:t xml:space="preserve"> Eine vor kurzem durchgeführte Meta-Analyse von 19 RCTs (n = 2.177) ergab, dass PPIs zwar wirksamer als H2RAs bei der Prävention von klinisch bedeutsamen gastrointestinalen Blutungen waren (RR, 0,39; 95 % CI, 0,21–0,71; </w:t>
      </w:r>
      <w:r w:rsidRPr="00207748">
        <w:rPr>
          <w:rStyle w:val="Ohne"/>
          <w:rFonts w:ascii="Cambria" w:hAnsi="Cambria" w:cs="Arial"/>
          <w:iCs/>
          <w:sz w:val="20"/>
          <w:szCs w:val="20"/>
        </w:rPr>
        <w:t xml:space="preserve">p </w:t>
      </w:r>
      <w:r w:rsidRPr="00207748">
        <w:rPr>
          <w:rStyle w:val="Ohne"/>
          <w:rFonts w:ascii="Cambria" w:hAnsi="Cambria" w:cs="Arial"/>
          <w:sz w:val="20"/>
          <w:szCs w:val="20"/>
        </w:rPr>
        <w:t xml:space="preserve">= 0,002; mittlere Evidenzqualität) aber zu einer nicht-signifikanten Zunahme des Risikos von Pneumonien führten (RR, 1,17; 95 % CI, 0,88–1,56; </w:t>
      </w:r>
      <w:r w:rsidRPr="00207748">
        <w:rPr>
          <w:rStyle w:val="Ohne"/>
          <w:rFonts w:ascii="Cambria" w:hAnsi="Cambria" w:cs="Arial"/>
          <w:iCs/>
          <w:sz w:val="20"/>
          <w:szCs w:val="20"/>
        </w:rPr>
        <w:t xml:space="preserve">p </w:t>
      </w:r>
      <w:r w:rsidRPr="00207748">
        <w:rPr>
          <w:rStyle w:val="Ohne"/>
          <w:rFonts w:ascii="Cambria" w:hAnsi="Cambria" w:cs="Arial"/>
          <w:sz w:val="20"/>
          <w:szCs w:val="20"/>
        </w:rPr>
        <w:t>= 0,28; niedrige Evidenzqualität)</w:t>
      </w:r>
      <w:r w:rsidR="00973E1F" w:rsidRPr="00207748">
        <w:rPr>
          <w:rStyle w:val="Ohne"/>
          <w:rFonts w:ascii="Cambria" w:hAnsi="Cambria" w:cs="Arial"/>
          <w:sz w:val="20"/>
          <w:szCs w:val="20"/>
        </w:rPr>
        <w:t>.</w:t>
      </w:r>
      <w:r w:rsidRPr="00207748">
        <w:rPr>
          <w:rStyle w:val="Ohne"/>
          <w:rFonts w:ascii="Cambria" w:hAnsi="Cambria" w:cs="Arial"/>
          <w:sz w:val="20"/>
          <w:szCs w:val="20"/>
        </w:rPr>
        <w:t xml:space="preserve"> </w:t>
      </w:r>
      <w:r w:rsidR="006B2B71" w:rsidRPr="006B2B71">
        <w:rPr>
          <w:rStyle w:val="EndnoteRealZchn"/>
        </w:rPr>
        <w:fldChar w:fldCharType="begin"/>
      </w:r>
      <w:r w:rsidR="006B2B71" w:rsidRPr="006B2B71">
        <w:rPr>
          <w:rStyle w:val="EndnoteRealZchn"/>
        </w:rPr>
        <w:instrText xml:space="preserve"> NOTEREF _Ref30606138 \h </w:instrText>
      </w:r>
      <w:r w:rsidR="006B2B71">
        <w:rPr>
          <w:rStyle w:val="EndnoteRealZchn"/>
        </w:rPr>
        <w:instrText xml:space="preserve"> \* MERGEFORMAT </w:instrText>
      </w:r>
      <w:r w:rsidR="006B2B71" w:rsidRPr="006B2B71">
        <w:rPr>
          <w:rStyle w:val="EndnoteRealZchn"/>
        </w:rPr>
      </w:r>
      <w:r w:rsidR="006B2B71" w:rsidRPr="006B2B71">
        <w:rPr>
          <w:rStyle w:val="EndnoteRealZchn"/>
        </w:rPr>
        <w:fldChar w:fldCharType="separate"/>
      </w:r>
      <w:r w:rsidR="001A283B">
        <w:rPr>
          <w:rStyle w:val="EndnoteRealZchn"/>
        </w:rPr>
        <w:t>636</w:t>
      </w:r>
      <w:r w:rsidR="006B2B71" w:rsidRPr="006B2B71">
        <w:rPr>
          <w:rStyle w:val="EndnoteRealZchn"/>
        </w:rPr>
        <w:fldChar w:fldCharType="end"/>
      </w:r>
      <w:r w:rsidR="006B2B71">
        <w:rPr>
          <w:rStyle w:val="Ohne"/>
          <w:rFonts w:ascii="Cambria" w:eastAsia="Arial" w:hAnsi="Cambria" w:cs="Arial"/>
          <w:sz w:val="20"/>
          <w:szCs w:val="20"/>
          <w:vertAlign w:val="superscript"/>
        </w:rPr>
        <w:t xml:space="preserve"> </w:t>
      </w:r>
      <w:r w:rsidRPr="00207748">
        <w:rPr>
          <w:rStyle w:val="Ohne"/>
          <w:rFonts w:ascii="Cambria" w:hAnsi="Cambria" w:cs="Arial"/>
          <w:sz w:val="20"/>
          <w:szCs w:val="20"/>
        </w:rPr>
        <w:t>Frühere Meta-Analysen</w:t>
      </w:r>
      <w:r w:rsidRPr="00207748">
        <w:rPr>
          <w:rStyle w:val="Ohne"/>
          <w:rFonts w:ascii="Cambria" w:eastAsia="Arial" w:hAnsi="Cambria" w:cs="Arial"/>
          <w:sz w:val="20"/>
          <w:szCs w:val="20"/>
          <w:vertAlign w:val="superscript"/>
        </w:rPr>
        <w:endnoteReference w:id="577"/>
      </w:r>
      <w:r w:rsidRPr="00207748">
        <w:rPr>
          <w:rStyle w:val="Ohne"/>
          <w:rFonts w:ascii="Cambria" w:hAnsi="Cambria" w:cs="Arial"/>
          <w:sz w:val="20"/>
          <w:szCs w:val="20"/>
        </w:rPr>
        <w:t xml:space="preserve"> </w:t>
      </w:r>
      <w:r w:rsidRPr="00207748">
        <w:rPr>
          <w:rStyle w:val="Ohne"/>
          <w:rFonts w:ascii="Cambria" w:eastAsia="Arial" w:hAnsi="Cambria" w:cs="Arial"/>
          <w:sz w:val="20"/>
          <w:szCs w:val="20"/>
          <w:vertAlign w:val="superscript"/>
        </w:rPr>
        <w:endnoteReference w:id="578"/>
      </w:r>
      <w:r w:rsidRPr="00207748">
        <w:rPr>
          <w:rStyle w:val="Ohne"/>
          <w:rFonts w:ascii="Cambria" w:hAnsi="Cambria" w:cs="Arial"/>
          <w:sz w:val="20"/>
          <w:szCs w:val="20"/>
        </w:rPr>
        <w:t xml:space="preserve"> </w:t>
      </w:r>
      <w:r w:rsidRPr="00207748">
        <w:rPr>
          <w:rFonts w:ascii="Cambria" w:hAnsi="Cambria"/>
          <w:spacing w:val="1"/>
          <w:sz w:val="20"/>
          <w:szCs w:val="20"/>
          <w14:textOutline w14:w="0" w14:cap="flat" w14:cmpd="sng" w14:algn="ctr">
            <w14:noFill/>
            <w14:prstDash w14:val="solid"/>
            <w14:bevel/>
          </w14:textOutline>
        </w:rPr>
        <w:t xml:space="preserve">und eine aktuelle methodologisch hochwertige sog. Netzwerk-Meta-Analyse von 57 RCTs (N= 7.293 Patienten) </w:t>
      </w:r>
      <w:r w:rsidRPr="00207748">
        <w:rPr>
          <w:rStyle w:val="Ohne"/>
          <w:rFonts w:ascii="Cambria" w:eastAsia="Arial" w:hAnsi="Cambria" w:cs="Arial"/>
          <w:sz w:val="20"/>
          <w:szCs w:val="20"/>
          <w:vertAlign w:val="superscript"/>
        </w:rPr>
        <w:endnoteReference w:id="579"/>
      </w:r>
      <w:r w:rsidR="00973E1F" w:rsidRPr="00207748">
        <w:rPr>
          <w:rStyle w:val="Ohne"/>
          <w:rFonts w:ascii="Cambria" w:hAnsi="Cambria" w:cs="Arial"/>
          <w:sz w:val="20"/>
          <w:szCs w:val="20"/>
        </w:rPr>
        <w:t xml:space="preserve"> </w:t>
      </w:r>
      <w:r w:rsidRPr="00207748">
        <w:rPr>
          <w:rStyle w:val="Ohne"/>
          <w:rFonts w:ascii="Cambria" w:hAnsi="Cambria" w:cs="Arial"/>
          <w:sz w:val="20"/>
          <w:szCs w:val="20"/>
        </w:rPr>
        <w:t>waren zu einer ähnlichen Schlussfolgerung ge</w:t>
      </w:r>
      <w:r w:rsidR="009C711D">
        <w:rPr>
          <w:rStyle w:val="Ohne"/>
          <w:rFonts w:ascii="Cambria" w:hAnsi="Cambria" w:cs="Arial"/>
          <w:sz w:val="20"/>
          <w:szCs w:val="20"/>
        </w:rPr>
        <w:t>langt</w:t>
      </w:r>
      <w:r w:rsidRPr="00207748">
        <w:rPr>
          <w:rStyle w:val="Ohne"/>
          <w:rFonts w:ascii="Cambria" w:hAnsi="Cambria" w:cs="Arial"/>
          <w:sz w:val="20"/>
          <w:szCs w:val="20"/>
        </w:rPr>
        <w:t>.</w:t>
      </w:r>
    </w:p>
    <w:p w14:paraId="5CCE1A5B" w14:textId="590848AF" w:rsidR="00E11869" w:rsidRPr="00207748" w:rsidRDefault="00447357" w:rsidP="004454B6">
      <w:pPr>
        <w:pStyle w:val="Default"/>
        <w:spacing w:before="240" w:after="200" w:line="276" w:lineRule="auto"/>
        <w:rPr>
          <w:rStyle w:val="Ohne"/>
          <w:rFonts w:ascii="Cambria" w:eastAsia="Arial" w:hAnsi="Cambria" w:cs="Arial"/>
          <w:sz w:val="20"/>
          <w:szCs w:val="20"/>
        </w:rPr>
      </w:pPr>
      <w:r w:rsidRPr="00207748">
        <w:rPr>
          <w:rStyle w:val="Ohne"/>
          <w:rFonts w:ascii="Cambria" w:hAnsi="Cambria" w:cs="Arial"/>
          <w:sz w:val="20"/>
          <w:szCs w:val="20"/>
        </w:rPr>
        <w:t xml:space="preserve">Keine der RCTs </w:t>
      </w:r>
      <w:r w:rsidR="009C711D">
        <w:rPr>
          <w:rStyle w:val="Ohne"/>
          <w:rFonts w:ascii="Cambria" w:hAnsi="Cambria" w:cs="Arial"/>
          <w:sz w:val="20"/>
          <w:szCs w:val="20"/>
        </w:rPr>
        <w:t>berichteten über</w:t>
      </w:r>
      <w:r w:rsidRPr="00207748">
        <w:rPr>
          <w:rStyle w:val="Ohne"/>
          <w:rFonts w:ascii="Cambria" w:hAnsi="Cambria" w:cs="Arial"/>
          <w:sz w:val="20"/>
          <w:szCs w:val="20"/>
        </w:rPr>
        <w:t xml:space="preserve"> ein </w:t>
      </w:r>
      <w:r w:rsidR="009C711D">
        <w:rPr>
          <w:rStyle w:val="Ohne"/>
          <w:rFonts w:ascii="Cambria" w:hAnsi="Cambria" w:cs="Arial"/>
          <w:sz w:val="20"/>
          <w:szCs w:val="20"/>
        </w:rPr>
        <w:t xml:space="preserve">erhöhtes </w:t>
      </w:r>
      <w:r w:rsidRPr="00207748">
        <w:rPr>
          <w:rStyle w:val="Ohne"/>
          <w:rFonts w:ascii="Cambria" w:hAnsi="Cambria" w:cs="Arial"/>
          <w:sz w:val="20"/>
          <w:szCs w:val="20"/>
        </w:rPr>
        <w:t xml:space="preserve">Risiko </w:t>
      </w:r>
      <w:r w:rsidR="009C711D">
        <w:rPr>
          <w:rStyle w:val="Ohne"/>
          <w:rFonts w:ascii="Cambria" w:hAnsi="Cambria" w:cs="Arial"/>
          <w:sz w:val="20"/>
          <w:szCs w:val="20"/>
        </w:rPr>
        <w:t>für das Auftreten einer</w:t>
      </w:r>
      <w:r w:rsidR="002B1061">
        <w:rPr>
          <w:rStyle w:val="Ohne"/>
          <w:rFonts w:ascii="Cambria" w:hAnsi="Cambria" w:cs="Arial"/>
          <w:sz w:val="20"/>
          <w:szCs w:val="20"/>
        </w:rPr>
        <w:t xml:space="preserve"> </w:t>
      </w:r>
      <w:r w:rsidRPr="00207748">
        <w:rPr>
          <w:rStyle w:val="Ohne"/>
          <w:rFonts w:ascii="Cambria" w:hAnsi="Cambria" w:cs="Arial"/>
          <w:iCs/>
          <w:sz w:val="20"/>
          <w:szCs w:val="20"/>
        </w:rPr>
        <w:t>C. difficile-</w:t>
      </w:r>
      <w:r w:rsidRPr="00207748">
        <w:rPr>
          <w:rStyle w:val="Ohne"/>
          <w:rFonts w:ascii="Cambria" w:hAnsi="Cambria" w:cs="Arial"/>
          <w:sz w:val="20"/>
          <w:szCs w:val="20"/>
        </w:rPr>
        <w:t xml:space="preserve">Infektion; wobei eine große retrospektive Kohortenstudie einen kleinen Anstieg des Risikos </w:t>
      </w:r>
      <w:r w:rsidR="009C711D">
        <w:rPr>
          <w:rStyle w:val="Ohne"/>
          <w:rFonts w:ascii="Cambria" w:hAnsi="Cambria" w:cs="Arial"/>
          <w:sz w:val="20"/>
          <w:szCs w:val="20"/>
        </w:rPr>
        <w:t>für</w:t>
      </w:r>
      <w:r w:rsidRPr="00207748">
        <w:rPr>
          <w:rStyle w:val="Ohne"/>
          <w:rFonts w:ascii="Cambria" w:hAnsi="Cambria" w:cs="Arial"/>
          <w:sz w:val="20"/>
          <w:szCs w:val="20"/>
        </w:rPr>
        <w:t xml:space="preserve"> eine </w:t>
      </w:r>
      <w:r w:rsidRPr="00207748">
        <w:rPr>
          <w:rStyle w:val="Ohne"/>
          <w:rFonts w:ascii="Cambria" w:hAnsi="Cambria" w:cs="Arial"/>
          <w:iCs/>
          <w:sz w:val="20"/>
          <w:szCs w:val="20"/>
        </w:rPr>
        <w:t>C. difficile-</w:t>
      </w:r>
      <w:r w:rsidRPr="00207748">
        <w:rPr>
          <w:rStyle w:val="Ohne"/>
          <w:rFonts w:ascii="Cambria" w:hAnsi="Cambria" w:cs="Arial"/>
          <w:sz w:val="20"/>
          <w:szCs w:val="20"/>
        </w:rPr>
        <w:t>Infektion mit PPIs im Ve</w:t>
      </w:r>
      <w:r w:rsidR="009159D7" w:rsidRPr="00207748">
        <w:rPr>
          <w:rStyle w:val="Ohne"/>
          <w:rFonts w:ascii="Cambria" w:hAnsi="Cambria" w:cs="Arial"/>
          <w:sz w:val="20"/>
          <w:szCs w:val="20"/>
        </w:rPr>
        <w:t>rgleich zu H2RAs feststellte (2,</w:t>
      </w:r>
      <w:r w:rsidRPr="00207748">
        <w:rPr>
          <w:rStyle w:val="Ohne"/>
          <w:rFonts w:ascii="Cambria" w:hAnsi="Cambria" w:cs="Arial"/>
          <w:sz w:val="20"/>
          <w:szCs w:val="20"/>
        </w:rPr>
        <w:t xml:space="preserve">2 % vs. 3,8 %; </w:t>
      </w:r>
      <w:r w:rsidRPr="00207748">
        <w:rPr>
          <w:rStyle w:val="Ohne"/>
          <w:rFonts w:ascii="Cambria" w:hAnsi="Cambria" w:cs="Arial"/>
          <w:iCs/>
          <w:sz w:val="20"/>
          <w:szCs w:val="20"/>
        </w:rPr>
        <w:t xml:space="preserve">p </w:t>
      </w:r>
      <w:r w:rsidRPr="00207748">
        <w:rPr>
          <w:rStyle w:val="Ohne"/>
          <w:rFonts w:ascii="Cambria" w:hAnsi="Cambria" w:cs="Arial"/>
          <w:sz w:val="20"/>
          <w:szCs w:val="20"/>
        </w:rPr>
        <w:t xml:space="preserve">&lt; 0,001; sehr niedrige Evidenzqualität). Im Wesentlichen mangelt es bislang an prospektiven Studien, die einen kausalen Zusammenhang zwischen einer medikamentösen Prophylaxe sowohl für PPIs als auch H2Ras und dem Auftreten einer </w:t>
      </w:r>
      <w:r w:rsidR="00420A45" w:rsidRPr="00207748">
        <w:rPr>
          <w:rStyle w:val="Ohne"/>
          <w:rFonts w:ascii="Cambria" w:hAnsi="Cambria" w:cs="Arial"/>
          <w:sz w:val="20"/>
          <w:szCs w:val="20"/>
        </w:rPr>
        <w:t>C. difficile</w:t>
      </w:r>
      <w:r w:rsidRPr="00207748">
        <w:rPr>
          <w:rStyle w:val="Ohne"/>
          <w:rFonts w:ascii="Cambria" w:hAnsi="Cambria" w:cs="Arial"/>
          <w:sz w:val="20"/>
          <w:szCs w:val="20"/>
        </w:rPr>
        <w:t xml:space="preserve"> Infektion zeigen. Außerdem kamen Kosten-Nutzen-Analysen zu unterschiedlichen Schlussfolgerungen</w:t>
      </w:r>
      <w:r w:rsidR="00973E1F" w:rsidRPr="00207748">
        <w:rPr>
          <w:rStyle w:val="Ohne"/>
          <w:rFonts w:ascii="Cambria" w:hAnsi="Cambria" w:cs="Arial"/>
          <w:sz w:val="20"/>
          <w:szCs w:val="20"/>
        </w:rPr>
        <w:t>.</w:t>
      </w:r>
      <w:r w:rsidRPr="00207748">
        <w:rPr>
          <w:rStyle w:val="Ohne"/>
          <w:rFonts w:ascii="Cambria" w:eastAsia="Arial" w:hAnsi="Cambria" w:cs="Arial"/>
          <w:sz w:val="20"/>
          <w:szCs w:val="20"/>
          <w:vertAlign w:val="superscript"/>
        </w:rPr>
        <w:endnoteReference w:id="580"/>
      </w:r>
      <w:r w:rsidR="00973E1F" w:rsidRPr="00207748">
        <w:rPr>
          <w:rStyle w:val="Ohne"/>
          <w:rFonts w:ascii="Cambria" w:hAnsi="Cambria" w:cs="Arial"/>
          <w:sz w:val="20"/>
          <w:szCs w:val="20"/>
        </w:rPr>
        <w:t xml:space="preserve"> </w:t>
      </w:r>
      <w:r w:rsidRPr="00207748">
        <w:rPr>
          <w:rStyle w:val="Ohne"/>
          <w:rFonts w:ascii="Cambria" w:eastAsia="Arial" w:hAnsi="Cambria" w:cs="Arial"/>
          <w:sz w:val="20"/>
          <w:szCs w:val="20"/>
          <w:vertAlign w:val="superscript"/>
        </w:rPr>
        <w:endnoteReference w:id="581"/>
      </w:r>
      <w:r w:rsidRPr="00207748">
        <w:rPr>
          <w:rStyle w:val="Ohne"/>
          <w:rFonts w:ascii="Cambria" w:hAnsi="Cambria" w:cs="Arial"/>
          <w:sz w:val="20"/>
          <w:szCs w:val="20"/>
        </w:rPr>
        <w:t xml:space="preserve"> </w:t>
      </w:r>
    </w:p>
    <w:p w14:paraId="69D603CD" w14:textId="6A3AF528" w:rsidR="00E11869" w:rsidRPr="00207748" w:rsidRDefault="00447357" w:rsidP="004454B6">
      <w:pPr>
        <w:pStyle w:val="Default"/>
        <w:spacing w:before="240" w:after="200" w:line="276" w:lineRule="auto"/>
        <w:rPr>
          <w:rStyle w:val="Ohne"/>
          <w:rFonts w:ascii="Cambria" w:eastAsia="Arial" w:hAnsi="Cambria" w:cs="Arial"/>
          <w:sz w:val="20"/>
          <w:szCs w:val="20"/>
        </w:rPr>
      </w:pPr>
      <w:r w:rsidRPr="00207748">
        <w:rPr>
          <w:rStyle w:val="Ohne"/>
          <w:rFonts w:ascii="Cambria" w:hAnsi="Cambria" w:cs="Arial"/>
          <w:sz w:val="20"/>
          <w:szCs w:val="20"/>
        </w:rPr>
        <w:t xml:space="preserve">Dementsprechend muss der Nutzen einer Prävention von gastrointestinalen Blutungen (mittlere Evidenzqualität) gegen eine potenzielle Zunahme der infektiösen Komplikationen (sehr niedrige bis niedrige Evidenzqualität) abgewogen werden. Die Auswahl des prophylaktischen Wirkstoffs wird weitgehend von den individuellen Charakteristika des betreffenden Patienten abhängen, sowie von der lokalen Prävalenz der gastrointestinalen Blutungen, Pneumonien und </w:t>
      </w:r>
      <w:r w:rsidRPr="00207748">
        <w:rPr>
          <w:rStyle w:val="Ohne"/>
          <w:rFonts w:ascii="Cambria" w:hAnsi="Cambria" w:cs="Arial"/>
          <w:iCs/>
          <w:sz w:val="20"/>
          <w:szCs w:val="20"/>
        </w:rPr>
        <w:t>C</w:t>
      </w:r>
      <w:r w:rsidR="00701487" w:rsidRPr="00207748">
        <w:rPr>
          <w:rStyle w:val="Ohne"/>
          <w:rFonts w:ascii="Cambria" w:hAnsi="Cambria" w:cs="Arial"/>
          <w:iCs/>
          <w:sz w:val="20"/>
          <w:szCs w:val="20"/>
        </w:rPr>
        <w:t>.</w:t>
      </w:r>
      <w:r w:rsidRPr="00207748">
        <w:rPr>
          <w:rStyle w:val="Ohne"/>
          <w:rFonts w:ascii="Cambria" w:hAnsi="Cambria" w:cs="Arial"/>
          <w:iCs/>
          <w:sz w:val="20"/>
          <w:szCs w:val="20"/>
        </w:rPr>
        <w:t xml:space="preserve"> difficile-</w:t>
      </w:r>
      <w:r w:rsidRPr="00207748">
        <w:rPr>
          <w:rStyle w:val="Ohne"/>
          <w:rFonts w:ascii="Cambria" w:hAnsi="Cambria" w:cs="Arial"/>
          <w:sz w:val="20"/>
          <w:szCs w:val="20"/>
        </w:rPr>
        <w:t>Infektionen. Aufgrund der Unsicherheiten sprechen wir keine bevorzugte Empfehlung für einen Wirkstoff gegenüber dem anderen Wirkstoff aus.</w:t>
      </w:r>
    </w:p>
    <w:p w14:paraId="525CBB25" w14:textId="77777777" w:rsidR="00E11869" w:rsidRPr="00207748" w:rsidRDefault="00447357" w:rsidP="004454B6">
      <w:pPr>
        <w:pStyle w:val="Default"/>
        <w:spacing w:before="240" w:after="200" w:line="276" w:lineRule="auto"/>
        <w:rPr>
          <w:rStyle w:val="Ohne"/>
          <w:rFonts w:ascii="Cambria" w:hAnsi="Cambria" w:cs="Arial"/>
          <w:sz w:val="20"/>
          <w:szCs w:val="20"/>
        </w:rPr>
      </w:pPr>
      <w:r w:rsidRPr="00207748">
        <w:rPr>
          <w:rStyle w:val="Ohne"/>
          <w:rFonts w:ascii="Cambria" w:hAnsi="Cambria" w:cs="Arial"/>
          <w:sz w:val="20"/>
          <w:szCs w:val="20"/>
        </w:rPr>
        <w:t xml:space="preserve">Eine multizentrische Pilotstudie und Meta-Analyse (5 RCTs, N=604 Patienten) zeigte keine </w:t>
      </w:r>
      <w:r w:rsidRPr="00207748">
        <w:rPr>
          <w:rStyle w:val="Ohne"/>
          <w:rFonts w:ascii="Cambria" w:hAnsi="Cambria" w:cs="Arial"/>
          <w:sz w:val="20"/>
          <w:szCs w:val="20"/>
        </w:rPr>
        <w:lastRenderedPageBreak/>
        <w:t xml:space="preserve">signifikanten Unterschiede zwischen einer SUP mit </w:t>
      </w:r>
      <w:r w:rsidR="00420A45" w:rsidRPr="00207748">
        <w:rPr>
          <w:rStyle w:val="Ohne"/>
          <w:rFonts w:ascii="Cambria" w:hAnsi="Cambria" w:cs="Arial"/>
          <w:sz w:val="20"/>
          <w:szCs w:val="20"/>
        </w:rPr>
        <w:t xml:space="preserve">Pantoprazol </w:t>
      </w:r>
      <w:r w:rsidRPr="00207748">
        <w:rPr>
          <w:rStyle w:val="Ohne"/>
          <w:rFonts w:ascii="Cambria" w:hAnsi="Cambria" w:cs="Arial"/>
          <w:sz w:val="20"/>
          <w:szCs w:val="20"/>
        </w:rPr>
        <w:t>vs. keine SUP in den Endpunkten klinische bedeutsame Blutung, Pneumonie und C. difficile Infektionen.</w:t>
      </w:r>
      <w:r w:rsidR="00973E1F" w:rsidRPr="006B2B71">
        <w:rPr>
          <w:rStyle w:val="EndnoteRealZchn"/>
        </w:rPr>
        <w:endnoteReference w:id="582"/>
      </w:r>
      <w:r w:rsidRPr="00207748">
        <w:rPr>
          <w:rStyle w:val="Ohne"/>
          <w:rFonts w:ascii="Cambria" w:hAnsi="Cambria" w:cs="Arial"/>
          <w:sz w:val="20"/>
          <w:szCs w:val="20"/>
        </w:rPr>
        <w:t xml:space="preserve"> Auch die Pilotstudie von Selvanderan et al. an 241 kritisch kranken beatmeten und enteral ernährten Patienten kam zu übereinstimmenden Ergebnissen</w:t>
      </w:r>
      <w:r w:rsidR="00973E1F" w:rsidRPr="00207748">
        <w:rPr>
          <w:rStyle w:val="Ohne"/>
          <w:rFonts w:ascii="Cambria" w:hAnsi="Cambria" w:cs="Arial"/>
          <w:sz w:val="20"/>
          <w:szCs w:val="20"/>
        </w:rPr>
        <w:t>.</w:t>
      </w:r>
      <w:r w:rsidR="00973E1F" w:rsidRPr="006B2B71">
        <w:rPr>
          <w:rStyle w:val="EndnoteZchn"/>
        </w:rPr>
        <w:endnoteReference w:id="583"/>
      </w:r>
      <w:r w:rsidRPr="00207748">
        <w:rPr>
          <w:rStyle w:val="Ohne"/>
          <w:rFonts w:ascii="Cambria" w:hAnsi="Cambria" w:cs="Arial"/>
          <w:sz w:val="20"/>
          <w:szCs w:val="20"/>
        </w:rPr>
        <w:t xml:space="preserve"> </w:t>
      </w:r>
    </w:p>
    <w:p w14:paraId="51BBFEAA" w14:textId="71CB9614" w:rsidR="00E11869" w:rsidRPr="00DA3A66" w:rsidRDefault="00447357" w:rsidP="00DA3A66">
      <w:pPr>
        <w:pStyle w:val="Default"/>
        <w:spacing w:before="240" w:after="200" w:line="276" w:lineRule="auto"/>
        <w:rPr>
          <w:rStyle w:val="Ohne"/>
          <w:rFonts w:ascii="Cambria" w:hAnsi="Cambria" w:cs="Arial"/>
          <w:sz w:val="20"/>
          <w:szCs w:val="20"/>
        </w:rPr>
      </w:pPr>
      <w:r w:rsidRPr="00207748">
        <w:rPr>
          <w:rStyle w:val="Ohne"/>
          <w:rFonts w:ascii="Cambria" w:hAnsi="Cambria" w:cs="Arial"/>
          <w:sz w:val="20"/>
          <w:szCs w:val="20"/>
        </w:rPr>
        <w:t>Die methodisch hochwertig konzipierte multizentrische sog. SUPICU-RCT zeigte keinen signifikanten Unterschied im primären Endpunkt 90</w:t>
      </w:r>
      <w:r w:rsidR="00973E1F" w:rsidRPr="00207748">
        <w:rPr>
          <w:rStyle w:val="Ohne"/>
          <w:rFonts w:ascii="Cambria" w:hAnsi="Cambria" w:cs="Arial"/>
          <w:sz w:val="20"/>
          <w:szCs w:val="20"/>
        </w:rPr>
        <w:t>-</w:t>
      </w:r>
      <w:r w:rsidRPr="00207748">
        <w:rPr>
          <w:rStyle w:val="Ohne"/>
          <w:rFonts w:ascii="Cambria" w:hAnsi="Cambria" w:cs="Arial"/>
          <w:sz w:val="20"/>
          <w:szCs w:val="20"/>
        </w:rPr>
        <w:t>Tage-Mortalität zwi</w:t>
      </w:r>
      <w:r w:rsidR="009C711D">
        <w:rPr>
          <w:rStyle w:val="Ohne"/>
          <w:rFonts w:ascii="Cambria" w:hAnsi="Cambria" w:cs="Arial"/>
          <w:sz w:val="20"/>
          <w:szCs w:val="20"/>
        </w:rPr>
        <w:t>s</w:t>
      </w:r>
      <w:r w:rsidRPr="00207748">
        <w:rPr>
          <w:rStyle w:val="Ohne"/>
          <w:rFonts w:ascii="Cambria" w:hAnsi="Cambria" w:cs="Arial"/>
          <w:sz w:val="20"/>
          <w:szCs w:val="20"/>
        </w:rPr>
        <w:t xml:space="preserve">chen einer SUP mit </w:t>
      </w:r>
      <w:r w:rsidR="00420A45" w:rsidRPr="00207748">
        <w:rPr>
          <w:rStyle w:val="Ohne"/>
          <w:rFonts w:ascii="Cambria" w:hAnsi="Cambria" w:cs="Arial"/>
          <w:sz w:val="20"/>
          <w:szCs w:val="20"/>
        </w:rPr>
        <w:t>Pantoprazol</w:t>
      </w:r>
      <w:r w:rsidRPr="00207748">
        <w:rPr>
          <w:rStyle w:val="Ohne"/>
          <w:rFonts w:ascii="Cambria" w:hAnsi="Cambria" w:cs="Arial"/>
          <w:sz w:val="20"/>
          <w:szCs w:val="20"/>
        </w:rPr>
        <w:t xml:space="preserve"> und Placebo in einem heterogenen Kollektiv von 3</w:t>
      </w:r>
      <w:r w:rsidR="00973E1F" w:rsidRPr="00207748">
        <w:rPr>
          <w:rStyle w:val="Ohne"/>
          <w:rFonts w:ascii="Cambria" w:hAnsi="Cambria" w:cs="Arial"/>
          <w:sz w:val="20"/>
          <w:szCs w:val="20"/>
        </w:rPr>
        <w:t>.</w:t>
      </w:r>
      <w:r w:rsidRPr="00207748">
        <w:rPr>
          <w:rStyle w:val="Ohne"/>
          <w:rFonts w:ascii="Cambria" w:hAnsi="Cambria" w:cs="Arial"/>
          <w:sz w:val="20"/>
          <w:szCs w:val="20"/>
        </w:rPr>
        <w:t xml:space="preserve">298 Intensivpatienten, auch wenn die Patienten in der </w:t>
      </w:r>
      <w:r w:rsidR="00420A45" w:rsidRPr="00207748">
        <w:rPr>
          <w:rStyle w:val="Ohne"/>
          <w:rFonts w:ascii="Cambria" w:hAnsi="Cambria" w:cs="Arial"/>
          <w:sz w:val="20"/>
          <w:szCs w:val="20"/>
        </w:rPr>
        <w:t>Pantoprazol</w:t>
      </w:r>
      <w:r w:rsidRPr="00207748">
        <w:rPr>
          <w:rStyle w:val="Ohne"/>
          <w:rFonts w:ascii="Cambria" w:hAnsi="Cambria" w:cs="Arial"/>
          <w:sz w:val="20"/>
          <w:szCs w:val="20"/>
        </w:rPr>
        <w:t>-Gruppe signifikant weniger klinisch bedeutsame gastrointestinale Blutungen hatten (2,5 % vs. 4,2 %; Relatives Risiko 0,58; (0,40–0,86)</w:t>
      </w:r>
      <w:r w:rsidR="00973E1F" w:rsidRPr="00207748">
        <w:rPr>
          <w:rStyle w:val="Ohne"/>
          <w:rFonts w:ascii="Cambria" w:hAnsi="Cambria" w:cs="Arial"/>
          <w:sz w:val="20"/>
          <w:szCs w:val="20"/>
        </w:rPr>
        <w:t>.</w:t>
      </w:r>
      <w:r w:rsidRPr="006B2B71">
        <w:rPr>
          <w:rStyle w:val="EndnoteRealZchn"/>
        </w:rPr>
        <w:endnoteReference w:id="584"/>
      </w:r>
      <w:r w:rsidRPr="006B2B71">
        <w:rPr>
          <w:rStyle w:val="EndnoteRealZchn"/>
        </w:rPr>
        <w:t xml:space="preserve"> </w:t>
      </w:r>
      <w:r w:rsidRPr="00207748">
        <w:rPr>
          <w:rStyle w:val="Ohne"/>
          <w:rFonts w:ascii="Cambria" w:hAnsi="Cambria" w:cs="Arial"/>
          <w:sz w:val="20"/>
          <w:szCs w:val="20"/>
        </w:rPr>
        <w:t xml:space="preserve">Auch in der Subgruppe der Patienten mit Schock zeigte sich kein </w:t>
      </w:r>
      <w:r w:rsidR="001A58EF" w:rsidRPr="00207748">
        <w:rPr>
          <w:rStyle w:val="Ohne"/>
          <w:rFonts w:ascii="Cambria" w:hAnsi="Cambria" w:cs="Arial"/>
          <w:sz w:val="20"/>
          <w:szCs w:val="20"/>
        </w:rPr>
        <w:t>U</w:t>
      </w:r>
      <w:r w:rsidRPr="00207748">
        <w:rPr>
          <w:rStyle w:val="Ohne"/>
          <w:rFonts w:ascii="Cambria" w:hAnsi="Cambria" w:cs="Arial"/>
          <w:sz w:val="20"/>
          <w:szCs w:val="20"/>
        </w:rPr>
        <w:t>nterschied im primären Endpunkt, allerdings bleibt der Anteil von Patienten mit septische</w:t>
      </w:r>
      <w:r w:rsidR="001A58EF" w:rsidRPr="00207748">
        <w:rPr>
          <w:rStyle w:val="Ohne"/>
          <w:rFonts w:ascii="Cambria" w:hAnsi="Cambria" w:cs="Arial"/>
          <w:sz w:val="20"/>
          <w:szCs w:val="20"/>
        </w:rPr>
        <w:t>m</w:t>
      </w:r>
      <w:r w:rsidRPr="00207748">
        <w:rPr>
          <w:rStyle w:val="Ohne"/>
          <w:rFonts w:ascii="Cambria" w:hAnsi="Cambria" w:cs="Arial"/>
          <w:sz w:val="20"/>
          <w:szCs w:val="20"/>
        </w:rPr>
        <w:t xml:space="preserve"> Schock unklar. Derzeit laufende weitere multizentrische Studien zum Effekt einer SUP stehen zum jetzigen Zeitpunkt noch aus (clinicaltrials.gov Registrierungsnummer NCT02467621; NCT02718261 </w:t>
      </w:r>
      <w:r w:rsidR="00420A45" w:rsidRPr="00207748">
        <w:rPr>
          <w:rStyle w:val="Ohne"/>
          <w:rFonts w:ascii="Cambria" w:hAnsi="Cambria" w:cs="Arial"/>
          <w:sz w:val="20"/>
          <w:szCs w:val="20"/>
        </w:rPr>
        <w:t>und ANZICS</w:t>
      </w:r>
      <w:r w:rsidRPr="00207748">
        <w:rPr>
          <w:rStyle w:val="Ohne"/>
          <w:rFonts w:ascii="Cambria" w:hAnsi="Cambria" w:cs="Arial"/>
          <w:sz w:val="20"/>
          <w:szCs w:val="20"/>
        </w:rPr>
        <w:t xml:space="preserve"> CTG Studiennummer: 1415-01). </w:t>
      </w:r>
    </w:p>
    <w:p w14:paraId="34259A6C" w14:textId="77777777" w:rsidR="00E11869" w:rsidRPr="00182D07" w:rsidRDefault="00447357" w:rsidP="00182D07">
      <w:pPr>
        <w:pStyle w:val="berschrift2"/>
        <w:rPr>
          <w:rStyle w:val="Ohne"/>
          <w:b w:val="0"/>
        </w:rPr>
      </w:pPr>
      <w:bookmarkStart w:id="480" w:name="_Toc25845128"/>
      <w:bookmarkStart w:id="481" w:name="_Toc25845129"/>
      <w:bookmarkStart w:id="482" w:name="_Toc437861475"/>
      <w:bookmarkStart w:id="483" w:name="_Toc31278513"/>
      <w:bookmarkEnd w:id="480"/>
      <w:r w:rsidRPr="00182D07">
        <w:rPr>
          <w:rStyle w:val="Ohne"/>
        </w:rPr>
        <w:t>T. Ernährung</w:t>
      </w:r>
      <w:bookmarkEnd w:id="481"/>
      <w:bookmarkEnd w:id="482"/>
      <w:bookmarkEnd w:id="483"/>
    </w:p>
    <w:p w14:paraId="21A1F2D5" w14:textId="77777777" w:rsidR="00E11869" w:rsidRPr="00207748" w:rsidRDefault="00E11869" w:rsidP="004454B6">
      <w:pPr>
        <w:spacing w:after="0"/>
        <w:ind w:right="288"/>
        <w:rPr>
          <w:rStyle w:val="Ohne"/>
          <w:rFonts w:ascii="Cambria" w:hAnsi="Cambria" w:cs="Arial"/>
          <w:sz w:val="20"/>
          <w:szCs w:val="20"/>
        </w:rPr>
      </w:pPr>
    </w:p>
    <w:p w14:paraId="5CEDA7CC" w14:textId="6B351D7D" w:rsidR="00C94C56" w:rsidRPr="00207748" w:rsidRDefault="00447357" w:rsidP="004454B6">
      <w:pPr>
        <w:spacing w:after="0"/>
        <w:ind w:right="288"/>
        <w:rPr>
          <w:rStyle w:val="Ohne"/>
          <w:rFonts w:ascii="Cambria" w:hAnsi="Cambria" w:cs="Arial"/>
          <w:sz w:val="20"/>
          <w:szCs w:val="20"/>
        </w:rPr>
      </w:pPr>
      <w:r w:rsidRPr="00207748">
        <w:rPr>
          <w:rStyle w:val="Ohne"/>
          <w:rFonts w:ascii="Cambria" w:hAnsi="Cambria" w:cs="Arial"/>
          <w:sz w:val="20"/>
          <w:szCs w:val="20"/>
        </w:rPr>
        <w:t>Zu</w:t>
      </w:r>
      <w:r w:rsidR="001A58EF" w:rsidRPr="00207748">
        <w:rPr>
          <w:rStyle w:val="Ohne"/>
          <w:rFonts w:ascii="Cambria" w:hAnsi="Cambria" w:cs="Arial"/>
          <w:sz w:val="20"/>
          <w:szCs w:val="20"/>
        </w:rPr>
        <w:t xml:space="preserve"> G</w:t>
      </w:r>
      <w:r w:rsidRPr="00207748">
        <w:rPr>
          <w:rStyle w:val="Ohne"/>
          <w:rFonts w:ascii="Cambria" w:hAnsi="Cambria" w:cs="Arial"/>
          <w:sz w:val="20"/>
          <w:szCs w:val="20"/>
        </w:rPr>
        <w:t>runde</w:t>
      </w:r>
      <w:r w:rsidR="001A58EF" w:rsidRPr="00207748">
        <w:rPr>
          <w:rStyle w:val="Ohne"/>
          <w:rFonts w:ascii="Cambria" w:hAnsi="Cambria" w:cs="Arial"/>
          <w:sz w:val="20"/>
          <w:szCs w:val="20"/>
        </w:rPr>
        <w:t xml:space="preserve"> </w:t>
      </w:r>
      <w:r w:rsidRPr="00207748">
        <w:rPr>
          <w:rStyle w:val="Ohne"/>
          <w:rFonts w:ascii="Cambria" w:hAnsi="Cambria" w:cs="Arial"/>
          <w:sz w:val="20"/>
          <w:szCs w:val="20"/>
        </w:rPr>
        <w:t xml:space="preserve">gelegt wurden die Empfehlungen der SSC-Leitlinie 2016, welche anhand der S3-Leitlinie der Deutschen Gesellschaft für Ernährungsmedizin e.V. „Besonderheiten der Überwachung bei künstlicher Ernährung“ </w:t>
      </w:r>
      <w:r w:rsidRPr="006B2B71">
        <w:rPr>
          <w:rStyle w:val="EndnoteRealZchn"/>
        </w:rPr>
        <w:endnoteReference w:id="585"/>
      </w:r>
      <w:r w:rsidR="00973E1F" w:rsidRPr="00207748">
        <w:rPr>
          <w:rStyle w:val="Ohne"/>
          <w:rFonts w:ascii="Cambria" w:hAnsi="Cambria" w:cs="Arial"/>
          <w:sz w:val="20"/>
          <w:szCs w:val="20"/>
        </w:rPr>
        <w:t xml:space="preserve"> </w:t>
      </w:r>
      <w:r w:rsidRPr="00207748">
        <w:rPr>
          <w:rStyle w:val="Ohne"/>
          <w:rFonts w:ascii="Cambria" w:hAnsi="Cambria" w:cs="Arial"/>
          <w:sz w:val="20"/>
          <w:szCs w:val="20"/>
        </w:rPr>
        <w:t xml:space="preserve">und unter Berücksichtigung der S2k-Leitlinie „Klinische Ernährung in der Intensivmedizin“ der </w:t>
      </w:r>
      <w:r w:rsidRPr="00207748">
        <w:rPr>
          <w:rStyle w:val="Ohne"/>
          <w:rFonts w:ascii="Cambria" w:hAnsi="Cambria"/>
          <w:sz w:val="20"/>
          <w:szCs w:val="20"/>
        </w:rPr>
        <w:t>Deutsche Gesellschaft für Ernährungsmedizin e.V. (</w:t>
      </w:r>
      <w:r w:rsidRPr="00207748">
        <w:rPr>
          <w:rStyle w:val="Ohne"/>
          <w:rFonts w:ascii="Cambria" w:hAnsi="Cambria" w:cs="Arial"/>
          <w:sz w:val="20"/>
          <w:szCs w:val="20"/>
        </w:rPr>
        <w:t>DGEM)</w:t>
      </w:r>
      <w:r w:rsidR="00973E1F" w:rsidRPr="00207748">
        <w:rPr>
          <w:rStyle w:val="Ohne"/>
          <w:rFonts w:ascii="Cambria" w:hAnsi="Cambria" w:cs="Arial"/>
          <w:sz w:val="20"/>
          <w:szCs w:val="20"/>
        </w:rPr>
        <w:t xml:space="preserve"> </w:t>
      </w:r>
      <w:bookmarkStart w:id="484" w:name="_Ref30663944"/>
      <w:r w:rsidRPr="006B2B71">
        <w:rPr>
          <w:rStyle w:val="EndnoteRealZchn"/>
        </w:rPr>
        <w:endnoteReference w:id="586"/>
      </w:r>
      <w:bookmarkEnd w:id="484"/>
      <w:r w:rsidRPr="006B2B71">
        <w:rPr>
          <w:rStyle w:val="EndnoteRealZchn"/>
        </w:rPr>
        <w:t>,</w:t>
      </w:r>
      <w:r w:rsidRPr="00207748">
        <w:rPr>
          <w:rStyle w:val="Ohne"/>
          <w:rFonts w:ascii="Cambria" w:hAnsi="Cambria" w:cs="Arial"/>
          <w:sz w:val="20"/>
          <w:szCs w:val="20"/>
        </w:rPr>
        <w:t xml:space="preserve"> der ESICM Leitlinie "Frühe Enterale Ernährung" </w:t>
      </w:r>
      <w:bookmarkStart w:id="485" w:name="_Ref30664097"/>
      <w:r w:rsidRPr="006B2B71">
        <w:rPr>
          <w:rStyle w:val="EndnoteRealZchn"/>
        </w:rPr>
        <w:endnoteReference w:id="587"/>
      </w:r>
      <w:bookmarkEnd w:id="485"/>
      <w:r w:rsidRPr="00207748">
        <w:rPr>
          <w:rStyle w:val="Ohne"/>
          <w:rFonts w:ascii="Cambria" w:hAnsi="Cambria" w:cs="Arial"/>
          <w:sz w:val="20"/>
          <w:szCs w:val="20"/>
        </w:rPr>
        <w:t xml:space="preserve"> und der ESPEN (The European Society for Clinical Nutrition and Metabolism)-Leitlinie "Clinical Nutrition in the intensive care unit" </w:t>
      </w:r>
      <w:bookmarkStart w:id="486" w:name="_Ref30664204"/>
      <w:r w:rsidRPr="006B2B71">
        <w:rPr>
          <w:rStyle w:val="EndnoteRealZchn"/>
        </w:rPr>
        <w:endnoteReference w:id="588"/>
      </w:r>
      <w:bookmarkEnd w:id="486"/>
      <w:r w:rsidR="00973E1F" w:rsidRPr="006B2B71">
        <w:rPr>
          <w:rStyle w:val="EndnoteRealZchn"/>
        </w:rPr>
        <w:t xml:space="preserve"> </w:t>
      </w:r>
      <w:r w:rsidRPr="00207748">
        <w:rPr>
          <w:rStyle w:val="Ohne"/>
          <w:rFonts w:ascii="Cambria" w:hAnsi="Cambria" w:cs="Arial"/>
          <w:sz w:val="20"/>
          <w:szCs w:val="20"/>
        </w:rPr>
        <w:t>aktualisiert und ggf. modifiziert wurden. Da nur wenig</w:t>
      </w:r>
      <w:r w:rsidR="00973E1F" w:rsidRPr="00207748">
        <w:rPr>
          <w:rStyle w:val="Ohne"/>
          <w:rFonts w:ascii="Cambria" w:hAnsi="Cambria" w:cs="Arial"/>
          <w:sz w:val="20"/>
          <w:szCs w:val="20"/>
        </w:rPr>
        <w:t>e</w:t>
      </w:r>
      <w:r w:rsidRPr="00207748">
        <w:rPr>
          <w:rStyle w:val="Ohne"/>
          <w:rFonts w:ascii="Cambria" w:hAnsi="Cambria" w:cs="Arial"/>
          <w:sz w:val="20"/>
          <w:szCs w:val="20"/>
        </w:rPr>
        <w:t xml:space="preserve"> Daten insbesondere aus randomisierten Studien bei ausschließlich septischen Patienten vorliegen, stellen die meisten Empfehlungen einen </w:t>
      </w:r>
      <w:r w:rsidRPr="00207748">
        <w:rPr>
          <w:rStyle w:val="Ohne"/>
          <w:rFonts w:ascii="Cambria" w:hAnsi="Cambria" w:cs="Arial"/>
          <w:sz w:val="20"/>
          <w:szCs w:val="20"/>
        </w:rPr>
        <w:lastRenderedPageBreak/>
        <w:t>Expertenkonsens anhand der Daten aus Studien mit nicht-septischen Patienten dar.</w:t>
      </w:r>
    </w:p>
    <w:p w14:paraId="244B35D2" w14:textId="77777777" w:rsidR="00E11869" w:rsidRPr="00207748" w:rsidRDefault="00C94C56" w:rsidP="004454B6">
      <w:pPr>
        <w:spacing w:after="0"/>
        <w:ind w:right="288"/>
        <w:rPr>
          <w:rStyle w:val="Ohne"/>
          <w:rFonts w:ascii="Cambria" w:eastAsia="Arial" w:hAnsi="Cambria" w:cs="Arial"/>
          <w:spacing w:val="-3"/>
          <w:sz w:val="20"/>
          <w:szCs w:val="20"/>
        </w:rPr>
      </w:pPr>
      <w:r w:rsidRPr="00207748">
        <w:rPr>
          <w:rStyle w:val="Ohne"/>
          <w:rFonts w:ascii="Cambria" w:eastAsia="Arial" w:hAnsi="Cambria" w:cs="Arial"/>
          <w:spacing w:val="-3"/>
          <w:sz w:val="20"/>
          <w:szCs w:val="20"/>
        </w:rPr>
        <w:t xml:space="preserve"> </w:t>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18"/>
        <w:gridCol w:w="834"/>
      </w:tblGrid>
      <w:tr w:rsidR="00E11869" w:rsidRPr="00207748" w14:paraId="429B4BFB"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745C84AA"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T.1</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1C5A639F"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2AC99F6"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3D3348F6" w14:textId="77777777" w:rsidTr="00334AF5">
        <w:trPr>
          <w:trHeight w:val="235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EBF50" w14:textId="77777777" w:rsidR="00E11869" w:rsidRPr="00207748" w:rsidRDefault="00447357" w:rsidP="004454B6">
            <w:pPr>
              <w:rPr>
                <w:rStyle w:val="Ohne"/>
                <w:rFonts w:ascii="Cambria" w:eastAsia="Arial" w:hAnsi="Cambria" w:cs="Arial"/>
                <w:sz w:val="20"/>
                <w:szCs w:val="20"/>
              </w:rPr>
            </w:pPr>
            <w:r w:rsidRPr="00207748">
              <w:rPr>
                <w:rStyle w:val="Ohne"/>
                <w:rFonts w:ascii="Cambria" w:hAnsi="Cambria" w:cs="Arial"/>
                <w:sz w:val="20"/>
                <w:szCs w:val="20"/>
              </w:rPr>
              <w:t>Empfehlungsgrad</w:t>
            </w:r>
          </w:p>
          <w:p w14:paraId="62BE45D0" w14:textId="77777777" w:rsidR="00E11869" w:rsidRPr="00207748" w:rsidRDefault="00447357" w:rsidP="004454B6">
            <w:pPr>
              <w:rPr>
                <w:rStyle w:val="Ohne"/>
                <w:rFonts w:ascii="Cambria" w:eastAsia="Arial" w:hAnsi="Cambria" w:cs="Arial"/>
                <w:b/>
                <w:bCs/>
                <w:sz w:val="20"/>
                <w:szCs w:val="20"/>
              </w:rPr>
            </w:pPr>
            <w:r w:rsidRPr="00207748">
              <w:rPr>
                <w:rStyle w:val="Ohne"/>
                <w:rFonts w:ascii="Cambria" w:hAnsi="Cambria" w:cs="Arial"/>
                <w:b/>
                <w:bCs/>
                <w:sz w:val="20"/>
                <w:szCs w:val="20"/>
              </w:rPr>
              <w:t>stark</w:t>
            </w:r>
          </w:p>
          <w:p w14:paraId="38893007" w14:textId="77777777" w:rsidR="00E11869" w:rsidRPr="00207748" w:rsidRDefault="00447357" w:rsidP="004454B6">
            <w:pPr>
              <w:rPr>
                <w:rStyle w:val="Ohne"/>
                <w:rFonts w:ascii="Cambria" w:eastAsia="Arial" w:hAnsi="Cambria" w:cs="Arial"/>
                <w:sz w:val="20"/>
                <w:szCs w:val="20"/>
              </w:rPr>
            </w:pPr>
            <w:r w:rsidRPr="00207748">
              <w:rPr>
                <w:rStyle w:val="Ohne"/>
                <w:rFonts w:ascii="Cambria" w:hAnsi="Cambria" w:cs="Arial"/>
                <w:sz w:val="20"/>
                <w:szCs w:val="20"/>
              </w:rPr>
              <w:t>Evidenzgrad</w:t>
            </w:r>
          </w:p>
          <w:p w14:paraId="020452DD" w14:textId="77777777" w:rsidR="00E11869" w:rsidRPr="00207748" w:rsidRDefault="001A58EF" w:rsidP="004454B6">
            <w:pPr>
              <w:spacing w:after="0"/>
              <w:rPr>
                <w:rFonts w:ascii="Cambria" w:hAnsi="Cambria" w:cs="Arial"/>
                <w:sz w:val="20"/>
                <w:szCs w:val="20"/>
              </w:rPr>
            </w:pPr>
            <w:r w:rsidRPr="00207748">
              <w:rPr>
                <w:rStyle w:val="Ohne"/>
                <w:rFonts w:ascii="Cambria" w:hAnsi="Cambria" w:cs="Arial"/>
                <w:b/>
                <w:bCs/>
                <w:sz w:val="20"/>
                <w:szCs w:val="20"/>
              </w:rPr>
              <w:t>moderat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BA559"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pacing w:val="-4"/>
                <w:sz w:val="20"/>
                <w:szCs w:val="20"/>
              </w:rPr>
              <w:t>Wir empfehlen, bei kritisch erkrankten Patienten mit Sepsis oder septischem Schock, die enteral ernährt werden können, bevorzugt den frühzeitigen Beginn einer enteralen Ernährung.</w:t>
            </w:r>
          </w:p>
        </w:tc>
      </w:tr>
      <w:tr w:rsidR="00E11869" w:rsidRPr="00207748" w14:paraId="655D0373" w14:textId="77777777" w:rsidTr="00342FB3">
        <w:trPr>
          <w:trHeight w:val="603"/>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7382D90F"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E1087"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SSC</w:t>
            </w:r>
            <w:r w:rsidR="001A58EF" w:rsidRPr="00207748">
              <w:rPr>
                <w:rStyle w:val="Ohne"/>
                <w:rFonts w:ascii="Cambria" w:hAnsi="Cambria" w:cs="Arial"/>
                <w:b/>
                <w:bCs/>
                <w:sz w:val="20"/>
                <w:szCs w:val="20"/>
              </w:rPr>
              <w:t>-</w:t>
            </w:r>
            <w:r w:rsidRPr="00207748">
              <w:rPr>
                <w:rStyle w:val="Ohne"/>
                <w:rFonts w:ascii="Cambria" w:hAnsi="Cambria" w:cs="Arial"/>
                <w:b/>
                <w:bCs/>
                <w:sz w:val="20"/>
                <w:szCs w:val="20"/>
              </w:rPr>
              <w:t>Leitlinien</w:t>
            </w:r>
            <w:r w:rsidR="00E873A9" w:rsidRPr="00207748">
              <w:rPr>
                <w:rStyle w:val="Ohne"/>
                <w:rFonts w:ascii="Cambria" w:hAnsi="Cambria" w:cs="Arial"/>
                <w:b/>
                <w:bCs/>
                <w:sz w:val="20"/>
                <w:szCs w:val="20"/>
              </w:rPr>
              <w:t>adaptation</w:t>
            </w:r>
            <w:r w:rsidRPr="00207748">
              <w:rPr>
                <w:rStyle w:val="Ohne"/>
                <w:rFonts w:ascii="Cambria" w:hAnsi="Cambria" w:cs="Arial"/>
                <w:b/>
                <w:bCs/>
                <w:sz w:val="20"/>
                <w:szCs w:val="20"/>
              </w:rPr>
              <w:t xml:space="preserve"> </w:t>
            </w:r>
          </w:p>
        </w:tc>
      </w:tr>
      <w:tr w:rsidR="00E11869" w:rsidRPr="00207748" w14:paraId="51FA80A2" w14:textId="77777777" w:rsidTr="00342FB3">
        <w:trPr>
          <w:trHeight w:val="92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A4F15"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6A6DD" w14:textId="77777777" w:rsidR="00B26F79" w:rsidRDefault="00447357" w:rsidP="004454B6">
            <w:pPr>
              <w:spacing w:after="0"/>
              <w:rPr>
                <w:rStyle w:val="Ohne"/>
                <w:rFonts w:ascii="Cambria" w:hAnsi="Cambria" w:cs="Arial"/>
                <w:sz w:val="20"/>
                <w:szCs w:val="20"/>
              </w:rPr>
            </w:pPr>
            <w:r w:rsidRPr="00207748">
              <w:rPr>
                <w:rStyle w:val="Ohne"/>
                <w:rFonts w:ascii="Cambria" w:hAnsi="Cambria" w:cs="Arial"/>
                <w:sz w:val="20"/>
                <w:szCs w:val="20"/>
              </w:rPr>
              <w:t xml:space="preserve">Konsensstärke bei Doppelabstimmung: </w:t>
            </w:r>
          </w:p>
          <w:p w14:paraId="6F98BF94" w14:textId="47D8558C"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100 %</w:t>
            </w:r>
          </w:p>
        </w:tc>
      </w:tr>
    </w:tbl>
    <w:p w14:paraId="1225A809" w14:textId="69A322AD" w:rsidR="00E11869" w:rsidRPr="006B2B71" w:rsidRDefault="00420A45" w:rsidP="004454B6">
      <w:pPr>
        <w:spacing w:before="240"/>
        <w:rPr>
          <w:rStyle w:val="EndnoteRealZchn"/>
        </w:rPr>
      </w:pPr>
      <w:r w:rsidRPr="00207748">
        <w:rPr>
          <w:rStyle w:val="Ohne"/>
          <w:rFonts w:ascii="Cambria" w:hAnsi="Cambria" w:cs="Arial"/>
          <w:b/>
          <w:bCs/>
          <w:sz w:val="20"/>
          <w:szCs w:val="20"/>
        </w:rPr>
        <w:t>Begründung:</w:t>
      </w:r>
      <w:r w:rsidR="00447357" w:rsidRPr="00207748">
        <w:rPr>
          <w:rStyle w:val="Ohne"/>
          <w:rFonts w:ascii="Cambria" w:hAnsi="Cambria" w:cs="Arial"/>
          <w:sz w:val="20"/>
          <w:szCs w:val="20"/>
        </w:rPr>
        <w:t xml:space="preserve"> Die Bereitstellung einer totalen oder supplementierenden parenteralen Ernährung kann sehr rasch auch bei eingeschränkter gastrointestinaler Toleranz das Erreichen eines angestrebten Kalorien- und Proteinziels gewährleisten. Dies stellt theoretisch einen Vorteil gegenüber der reinen enteralen Ernährung dar, insbesondere für die Patienten, die aufgrund einer eingeschränkten gastrointestinalen Toleranz nicht "voll" enteral ernährt werden können, was in den ersten Tagen der Behandlung auf der ITS relevant sein kann. Die Bereitstellung einer parenteralen Ernährung ist jedoch invasiver und bedeutet zugangsbedingt potenzielle Komplikationen, einschließlich eines erhöhten Infektionsrisikos. Es besteht allgemeiner Konsens, auch aufgrund anzunehmender physiologischer Vorteile, der enteralen Zufuhr beim kritisch kranken Patienten den Vorzug zu geben</w:t>
      </w:r>
      <w:r w:rsidR="00973E1F" w:rsidRPr="006B2B71">
        <w:rPr>
          <w:rStyle w:val="EndnoteRealZchn"/>
        </w:rPr>
        <w:t>.</w:t>
      </w:r>
      <w:r w:rsidR="00447357" w:rsidRPr="006B2B71">
        <w:rPr>
          <w:rStyle w:val="EndnoteRealZchn"/>
        </w:rPr>
        <w:endnoteReference w:id="589"/>
      </w:r>
      <w:r w:rsidR="00447357" w:rsidRPr="006B2B71">
        <w:rPr>
          <w:rStyle w:val="EndnoteRealZchn"/>
        </w:rPr>
        <w:t xml:space="preserve"> </w:t>
      </w:r>
      <w:r w:rsidR="00D60A69">
        <w:rPr>
          <w:rStyle w:val="EndnoteRealZchn"/>
        </w:rPr>
        <w:fldChar w:fldCharType="begin"/>
      </w:r>
      <w:r w:rsidR="00D60A69">
        <w:rPr>
          <w:rStyle w:val="EndnoteRealZchn"/>
        </w:rPr>
        <w:instrText xml:space="preserve"> NOTEREF _Ref30664097 \h </w:instrText>
      </w:r>
      <w:r w:rsidR="00D60A69">
        <w:rPr>
          <w:rStyle w:val="EndnoteRealZchn"/>
        </w:rPr>
      </w:r>
      <w:r w:rsidR="00D60A69">
        <w:rPr>
          <w:rStyle w:val="EndnoteRealZchn"/>
        </w:rPr>
        <w:fldChar w:fldCharType="separate"/>
      </w:r>
      <w:r w:rsidR="001A283B">
        <w:rPr>
          <w:rStyle w:val="EndnoteRealZchn"/>
        </w:rPr>
        <w:t>647</w:t>
      </w:r>
      <w:r w:rsidR="00D60A69">
        <w:rPr>
          <w:rStyle w:val="EndnoteRealZchn"/>
        </w:rPr>
        <w:fldChar w:fldCharType="end"/>
      </w:r>
      <w:r w:rsidR="00D60A69">
        <w:rPr>
          <w:rStyle w:val="EndnoteRealZchn"/>
        </w:rPr>
        <w:t xml:space="preserve"> </w:t>
      </w:r>
      <w:r w:rsidR="00D60A69">
        <w:rPr>
          <w:rStyle w:val="EndnoteRealZchn"/>
        </w:rPr>
        <w:fldChar w:fldCharType="begin"/>
      </w:r>
      <w:r w:rsidR="00D60A69">
        <w:rPr>
          <w:rStyle w:val="EndnoteRealZchn"/>
        </w:rPr>
        <w:instrText xml:space="preserve"> NOTEREF _Ref30663944 \h </w:instrText>
      </w:r>
      <w:r w:rsidR="00D60A69">
        <w:rPr>
          <w:rStyle w:val="EndnoteRealZchn"/>
        </w:rPr>
      </w:r>
      <w:r w:rsidR="00D60A69">
        <w:rPr>
          <w:rStyle w:val="EndnoteRealZchn"/>
        </w:rPr>
        <w:fldChar w:fldCharType="separate"/>
      </w:r>
      <w:r w:rsidR="001A283B">
        <w:rPr>
          <w:rStyle w:val="EndnoteRealZchn"/>
        </w:rPr>
        <w:t>646</w:t>
      </w:r>
      <w:r w:rsidR="00D60A69">
        <w:rPr>
          <w:rStyle w:val="EndnoteRealZchn"/>
        </w:rPr>
        <w:fldChar w:fldCharType="end"/>
      </w:r>
      <w:r w:rsidR="00447357" w:rsidRPr="006B2B71">
        <w:rPr>
          <w:rStyle w:val="EndnoteRealZchn"/>
        </w:rPr>
        <w:t xml:space="preserve"> </w:t>
      </w:r>
      <w:r w:rsidR="00D60A69">
        <w:rPr>
          <w:rStyle w:val="EndnoteRealZchn"/>
        </w:rPr>
        <w:fldChar w:fldCharType="begin"/>
      </w:r>
      <w:r w:rsidR="00D60A69">
        <w:rPr>
          <w:rStyle w:val="EndnoteRealZchn"/>
        </w:rPr>
        <w:instrText xml:space="preserve"> NOTEREF _Ref30664204 \h </w:instrText>
      </w:r>
      <w:r w:rsidR="00D60A69">
        <w:rPr>
          <w:rStyle w:val="EndnoteRealZchn"/>
        </w:rPr>
      </w:r>
      <w:r w:rsidR="00D60A69">
        <w:rPr>
          <w:rStyle w:val="EndnoteRealZchn"/>
        </w:rPr>
        <w:fldChar w:fldCharType="separate"/>
      </w:r>
      <w:r w:rsidR="001A283B">
        <w:rPr>
          <w:rStyle w:val="EndnoteRealZchn"/>
        </w:rPr>
        <w:t>648</w:t>
      </w:r>
      <w:r w:rsidR="00D60A69">
        <w:rPr>
          <w:rStyle w:val="EndnoteRealZchn"/>
        </w:rPr>
        <w:fldChar w:fldCharType="end"/>
      </w:r>
    </w:p>
    <w:p w14:paraId="49AC2B4C" w14:textId="346A8063" w:rsidR="00E11869" w:rsidRPr="00207748" w:rsidRDefault="00447357" w:rsidP="004454B6">
      <w:pPr>
        <w:spacing w:before="240"/>
        <w:rPr>
          <w:rStyle w:val="Ohne"/>
          <w:rFonts w:ascii="Cambria" w:eastAsia="Arial" w:hAnsi="Cambria" w:cs="Arial"/>
          <w:sz w:val="20"/>
          <w:szCs w:val="20"/>
        </w:rPr>
      </w:pPr>
      <w:r w:rsidRPr="00207748">
        <w:rPr>
          <w:rStyle w:val="Ohne"/>
          <w:rFonts w:ascii="Cambria" w:hAnsi="Cambria" w:cs="Arial"/>
          <w:sz w:val="20"/>
          <w:szCs w:val="20"/>
        </w:rPr>
        <w:t>Um die Frage der Überlegenheit einer parenteralen Ernährung bei Patienten mit Sepsis und septischem Schock anzugehen, wurde die Evidenz für Patienten evaluiert, die frühzeitig enteral ernährt werden konnten, im Vergleich zu Patienten, bei denen eine frühzeitige enterale Ernährung nicht realisierbar war</w:t>
      </w:r>
      <w:r w:rsidRPr="00207748">
        <w:rPr>
          <w:rStyle w:val="Ohne"/>
          <w:rFonts w:ascii="Cambria" w:hAnsi="Cambria" w:cs="Arial"/>
          <w:spacing w:val="-1"/>
          <w:sz w:val="20"/>
          <w:szCs w:val="20"/>
        </w:rPr>
        <w:t xml:space="preserve">. Der erste </w:t>
      </w:r>
      <w:r w:rsidRPr="00207748">
        <w:rPr>
          <w:rStyle w:val="Ohne"/>
          <w:rFonts w:ascii="Cambria" w:hAnsi="Cambria" w:cs="Arial"/>
          <w:spacing w:val="-1"/>
          <w:sz w:val="20"/>
          <w:szCs w:val="20"/>
        </w:rPr>
        <w:lastRenderedPageBreak/>
        <w:t xml:space="preserve">systematische SSC Review untersuchte die Auswirkung einer frühzeitigen parenteralen Ernährung allein oder in Kombination mit einer enteralen Ernährung im Vergleich zu einer ausschließlich enteralen Zufuhr auf die </w:t>
      </w:r>
      <w:r w:rsidR="009C711D">
        <w:rPr>
          <w:rStyle w:val="Ohne"/>
          <w:rFonts w:ascii="Cambria" w:hAnsi="Cambria" w:cs="Arial"/>
          <w:spacing w:val="-1"/>
          <w:sz w:val="20"/>
          <w:szCs w:val="20"/>
        </w:rPr>
        <w:t>Mortalität</w:t>
      </w:r>
      <w:r w:rsidRPr="00207748">
        <w:rPr>
          <w:rStyle w:val="Ohne"/>
          <w:rFonts w:ascii="Cambria" w:hAnsi="Cambria" w:cs="Arial"/>
          <w:spacing w:val="-1"/>
          <w:sz w:val="20"/>
          <w:szCs w:val="20"/>
        </w:rPr>
        <w:t xml:space="preserve"> bei enteral ernährbaren Patienten. Identifiziert wurden insgesamt 10 Studien mit 2.888 Intensivpatienten mit verschiedenen Krankheitsbildern, postoperativ, nach Polytrauma einschließlich Schädel-Hirn-Trauma sowie mit akuter Pankreatitis</w:t>
      </w:r>
      <w:r w:rsidR="00F65C3A" w:rsidRPr="00207748">
        <w:rPr>
          <w:rStyle w:val="Ohne"/>
          <w:rFonts w:ascii="Cambria" w:hAnsi="Cambria" w:cs="Arial"/>
          <w:spacing w:val="-1"/>
          <w:sz w:val="20"/>
          <w:szCs w:val="20"/>
        </w:rPr>
        <w:t>.</w:t>
      </w:r>
      <w:r w:rsidR="00D60A69">
        <w:rPr>
          <w:rStyle w:val="Endnotenzeichen"/>
          <w:rFonts w:ascii="Cambria" w:hAnsi="Cambria" w:cs="Arial"/>
          <w:spacing w:val="-1"/>
          <w:sz w:val="20"/>
          <w:szCs w:val="20"/>
        </w:rPr>
        <w:endnoteReference w:id="590"/>
      </w:r>
      <w:r w:rsidR="00D60A69">
        <w:rPr>
          <w:rStyle w:val="Ohne"/>
          <w:rFonts w:ascii="Cambria" w:hAnsi="Cambria" w:cs="Arial"/>
          <w:spacing w:val="-1"/>
          <w:sz w:val="20"/>
          <w:szCs w:val="20"/>
        </w:rPr>
        <w:t xml:space="preserve"> </w:t>
      </w:r>
      <w:r w:rsidRPr="00207748">
        <w:rPr>
          <w:rStyle w:val="Ohne"/>
          <w:rFonts w:ascii="Cambria" w:eastAsia="Arial" w:hAnsi="Cambria" w:cs="Arial"/>
          <w:spacing w:val="-1"/>
          <w:sz w:val="20"/>
          <w:szCs w:val="20"/>
          <w:vertAlign w:val="superscript"/>
        </w:rPr>
        <w:endnoteReference w:id="591"/>
      </w:r>
      <w:r w:rsidR="00D60A69">
        <w:rPr>
          <w:rStyle w:val="Ohne"/>
          <w:rFonts w:ascii="Cambria" w:hAnsi="Cambria" w:cs="Arial"/>
          <w:spacing w:val="-1"/>
          <w:sz w:val="20"/>
          <w:szCs w:val="20"/>
        </w:rPr>
        <w:t xml:space="preserve"> </w:t>
      </w:r>
      <w:r w:rsidR="00D60A69">
        <w:rPr>
          <w:rStyle w:val="Endnotenzeichen"/>
          <w:rFonts w:ascii="Cambria" w:hAnsi="Cambria" w:cs="Arial"/>
          <w:spacing w:val="-1"/>
          <w:sz w:val="20"/>
          <w:szCs w:val="20"/>
        </w:rPr>
        <w:endnoteReference w:id="592"/>
      </w:r>
      <w:r w:rsidR="00F65C3A" w:rsidRPr="00207748">
        <w:rPr>
          <w:rStyle w:val="Ohne"/>
          <w:rFonts w:ascii="Cambria" w:hAnsi="Cambria" w:cs="Arial"/>
          <w:spacing w:val="-1"/>
          <w:sz w:val="20"/>
          <w:szCs w:val="20"/>
        </w:rPr>
        <w:t xml:space="preserve"> </w:t>
      </w:r>
      <w:r w:rsidR="00D60A69">
        <w:rPr>
          <w:rStyle w:val="Endnotenzeichen"/>
          <w:rFonts w:ascii="Cambria" w:hAnsi="Cambria" w:cs="Arial"/>
          <w:spacing w:val="-1"/>
          <w:sz w:val="20"/>
          <w:szCs w:val="20"/>
        </w:rPr>
        <w:endnoteReference w:id="593"/>
      </w:r>
      <w:r w:rsidR="00D60A69">
        <w:rPr>
          <w:rStyle w:val="Ohne"/>
          <w:rFonts w:ascii="Cambria" w:hAnsi="Cambria" w:cs="Arial"/>
          <w:spacing w:val="-1"/>
          <w:sz w:val="20"/>
          <w:szCs w:val="20"/>
        </w:rPr>
        <w:t xml:space="preserve"> </w:t>
      </w:r>
      <w:r w:rsidR="00D60A69">
        <w:rPr>
          <w:rStyle w:val="Endnotenzeichen"/>
          <w:rFonts w:ascii="Cambria" w:hAnsi="Cambria" w:cs="Arial"/>
          <w:spacing w:val="-1"/>
          <w:sz w:val="20"/>
          <w:szCs w:val="20"/>
        </w:rPr>
        <w:endnoteReference w:id="594"/>
      </w:r>
      <w:r w:rsidR="00D60A69">
        <w:rPr>
          <w:rStyle w:val="Ohne"/>
          <w:rFonts w:ascii="Cambria" w:hAnsi="Cambria" w:cs="Arial"/>
          <w:spacing w:val="-1"/>
          <w:sz w:val="20"/>
          <w:szCs w:val="20"/>
        </w:rPr>
        <w:t xml:space="preserve"> </w:t>
      </w:r>
      <w:r w:rsidR="00D60A69">
        <w:rPr>
          <w:rStyle w:val="Endnotenzeichen"/>
          <w:rFonts w:ascii="Cambria" w:hAnsi="Cambria" w:cs="Arial"/>
          <w:spacing w:val="-1"/>
          <w:sz w:val="20"/>
          <w:szCs w:val="20"/>
        </w:rPr>
        <w:endnoteReference w:id="595"/>
      </w:r>
      <w:r w:rsidR="00D60A69">
        <w:rPr>
          <w:rStyle w:val="Ohne"/>
          <w:rFonts w:ascii="Cambria" w:hAnsi="Cambria" w:cs="Arial"/>
          <w:spacing w:val="-1"/>
          <w:sz w:val="20"/>
          <w:szCs w:val="20"/>
        </w:rPr>
        <w:t xml:space="preserve"> </w:t>
      </w:r>
      <w:r w:rsidR="00D60A69">
        <w:rPr>
          <w:rStyle w:val="Endnotenzeichen"/>
          <w:rFonts w:ascii="Cambria" w:hAnsi="Cambria" w:cs="Arial"/>
          <w:spacing w:val="-1"/>
          <w:sz w:val="20"/>
          <w:szCs w:val="20"/>
        </w:rPr>
        <w:endnoteReference w:id="596"/>
      </w:r>
      <w:r w:rsidR="00D60A69">
        <w:rPr>
          <w:rStyle w:val="Ohne"/>
          <w:rFonts w:ascii="Cambria" w:hAnsi="Cambria" w:cs="Arial"/>
          <w:spacing w:val="-1"/>
          <w:sz w:val="20"/>
          <w:szCs w:val="20"/>
        </w:rPr>
        <w:t xml:space="preserve"> </w:t>
      </w:r>
      <w:r w:rsidR="00D60A69">
        <w:rPr>
          <w:rStyle w:val="Endnotenzeichen"/>
          <w:rFonts w:ascii="Cambria" w:hAnsi="Cambria" w:cs="Arial"/>
          <w:spacing w:val="-1"/>
          <w:sz w:val="20"/>
          <w:szCs w:val="20"/>
        </w:rPr>
        <w:endnoteReference w:id="597"/>
      </w:r>
      <w:r w:rsidR="00D60A69">
        <w:rPr>
          <w:rStyle w:val="Ohne"/>
          <w:rFonts w:ascii="Cambria" w:hAnsi="Cambria" w:cs="Arial"/>
          <w:spacing w:val="-1"/>
          <w:sz w:val="20"/>
          <w:szCs w:val="20"/>
        </w:rPr>
        <w:t xml:space="preserve"> </w:t>
      </w:r>
      <w:r w:rsidR="00D60A69">
        <w:rPr>
          <w:rStyle w:val="Endnotenzeichen"/>
          <w:rFonts w:ascii="Cambria" w:hAnsi="Cambria" w:cs="Arial"/>
          <w:spacing w:val="-1"/>
          <w:sz w:val="20"/>
          <w:szCs w:val="20"/>
        </w:rPr>
        <w:endnoteReference w:id="598"/>
      </w:r>
      <w:r w:rsidR="00D60A69">
        <w:rPr>
          <w:rStyle w:val="Ohne"/>
          <w:rFonts w:ascii="Cambria" w:hAnsi="Cambria" w:cs="Arial"/>
          <w:spacing w:val="-1"/>
          <w:sz w:val="20"/>
          <w:szCs w:val="20"/>
        </w:rPr>
        <w:t xml:space="preserve"> </w:t>
      </w:r>
      <w:r w:rsidR="00D60A69">
        <w:rPr>
          <w:rStyle w:val="Endnotenzeichen"/>
          <w:rFonts w:ascii="Cambria" w:hAnsi="Cambria" w:cs="Arial"/>
          <w:spacing w:val="-1"/>
          <w:sz w:val="20"/>
          <w:szCs w:val="20"/>
        </w:rPr>
        <w:endnoteReference w:id="599"/>
      </w:r>
      <w:r w:rsidR="00D60A69">
        <w:rPr>
          <w:rStyle w:val="Ohne"/>
          <w:rFonts w:ascii="Cambria" w:hAnsi="Cambria" w:cs="Arial"/>
          <w:spacing w:val="-1"/>
          <w:sz w:val="20"/>
          <w:szCs w:val="20"/>
        </w:rPr>
        <w:t xml:space="preserve"> </w:t>
      </w:r>
      <w:r w:rsidRPr="00207748">
        <w:rPr>
          <w:rStyle w:val="Ohne"/>
          <w:rFonts w:ascii="Cambria" w:hAnsi="Cambria" w:cs="Arial"/>
          <w:spacing w:val="-1"/>
          <w:sz w:val="20"/>
          <w:szCs w:val="20"/>
        </w:rPr>
        <w:t xml:space="preserve">Hierbei zeigte sich, dass eine frühzeitige parenterale Ernährung weder die </w:t>
      </w:r>
      <w:r w:rsidR="009C711D">
        <w:rPr>
          <w:rStyle w:val="Ohne"/>
          <w:rFonts w:ascii="Cambria" w:hAnsi="Cambria" w:cs="Arial"/>
          <w:spacing w:val="-1"/>
          <w:sz w:val="20"/>
          <w:szCs w:val="20"/>
        </w:rPr>
        <w:t>Mortaltät</w:t>
      </w:r>
      <w:r w:rsidRPr="00207748">
        <w:rPr>
          <w:rStyle w:val="Ohne"/>
          <w:rFonts w:ascii="Cambria" w:hAnsi="Cambria" w:cs="Arial"/>
          <w:spacing w:val="-1"/>
          <w:sz w:val="20"/>
          <w:szCs w:val="20"/>
        </w:rPr>
        <w:t xml:space="preserve"> (RR 0,97; 95 % CI, 0,87–1,08; n = 2.745) noch das Infektionsrisiko reduzieren würde (RR, 1,52; 95 % CI, 0,88–2,62; n = 2.526), allerdings war die Aufenthaltsdauer auf der ITS erhöht (</w:t>
      </w:r>
      <w:r w:rsidR="009C711D">
        <w:rPr>
          <w:rStyle w:val="Ohne"/>
          <w:rFonts w:ascii="Cambria" w:hAnsi="Cambria" w:cs="Arial"/>
          <w:spacing w:val="-1"/>
          <w:sz w:val="20"/>
          <w:szCs w:val="20"/>
        </w:rPr>
        <w:t>RR</w:t>
      </w:r>
      <w:r w:rsidRPr="00207748">
        <w:rPr>
          <w:rStyle w:val="Ohne"/>
          <w:rFonts w:ascii="Cambria" w:hAnsi="Cambria" w:cs="Arial"/>
          <w:spacing w:val="-1"/>
          <w:sz w:val="20"/>
          <w:szCs w:val="20"/>
        </w:rPr>
        <w:t>, 0,90; 95 % CI, 0,38–1,42; n = 46).</w:t>
      </w:r>
      <w:r w:rsidR="00E15D93" w:rsidRPr="00E15D93">
        <w:rPr>
          <w:rStyle w:val="Endnotenzeichen"/>
          <w:rFonts w:ascii="Cambria" w:hAnsi="Cambria" w:cs="Arial"/>
          <w:spacing w:val="-1"/>
          <w:sz w:val="20"/>
          <w:szCs w:val="20"/>
        </w:rPr>
        <w:t xml:space="preserve"> </w:t>
      </w:r>
      <w:r w:rsidR="00E15D93" w:rsidRPr="00207748">
        <w:rPr>
          <w:rStyle w:val="Endnotenzeichen"/>
          <w:rFonts w:ascii="Cambria" w:hAnsi="Cambria" w:cs="Arial"/>
          <w:spacing w:val="-1"/>
          <w:sz w:val="20"/>
          <w:szCs w:val="20"/>
        </w:rPr>
        <w:endnoteReference w:id="600"/>
      </w:r>
      <w:r w:rsidRPr="00207748">
        <w:rPr>
          <w:rStyle w:val="Ohne"/>
          <w:rFonts w:ascii="Cambria" w:hAnsi="Cambria" w:cs="Arial"/>
          <w:spacing w:val="-1"/>
          <w:sz w:val="20"/>
          <w:szCs w:val="20"/>
        </w:rPr>
        <w:t xml:space="preserve"> Die Evidenzqualität wurde als mittel bis sehr niedrig eingestuft. In der größten randomisierten Studie, die sich mit dieser </w:t>
      </w:r>
      <w:r w:rsidR="00EE710E">
        <w:rPr>
          <w:rStyle w:val="Ohne"/>
          <w:rFonts w:ascii="Cambria" w:hAnsi="Cambria" w:cs="Arial"/>
          <w:spacing w:val="-1"/>
          <w:sz w:val="20"/>
          <w:szCs w:val="20"/>
        </w:rPr>
        <w:t>F</w:t>
      </w:r>
      <w:r w:rsidRPr="00207748">
        <w:rPr>
          <w:rStyle w:val="Ohne"/>
          <w:rFonts w:ascii="Cambria" w:hAnsi="Cambria" w:cs="Arial"/>
          <w:spacing w:val="-1"/>
          <w:sz w:val="20"/>
          <w:szCs w:val="20"/>
        </w:rPr>
        <w:t xml:space="preserve">rage befasste (CALORIES, n = 2.400), traten weniger Episoden einer Hypoglykämie oder Erbrechen in der Gruppe mit einer frühzeitigen parenteralen Ernährung auf. Es wurden jedoch keine Unterschiede in Bezug auf die </w:t>
      </w:r>
      <w:r w:rsidR="00EE710E">
        <w:rPr>
          <w:rStyle w:val="Ohne"/>
          <w:rFonts w:ascii="Cambria" w:hAnsi="Cambria" w:cs="Arial"/>
          <w:spacing w:val="-1"/>
          <w:sz w:val="20"/>
          <w:szCs w:val="20"/>
        </w:rPr>
        <w:t>Mortalität</w:t>
      </w:r>
      <w:r w:rsidRPr="00207748">
        <w:rPr>
          <w:rStyle w:val="Ohne"/>
          <w:rFonts w:ascii="Cambria" w:hAnsi="Cambria" w:cs="Arial"/>
          <w:spacing w:val="-1"/>
          <w:sz w:val="20"/>
          <w:szCs w:val="20"/>
        </w:rPr>
        <w:t xml:space="preserve"> zwischen den Studiengruppen festgestellt</w:t>
      </w:r>
      <w:r w:rsidR="00F65C3A" w:rsidRPr="00207748">
        <w:rPr>
          <w:rStyle w:val="Ohne"/>
          <w:rFonts w:ascii="Cambria" w:hAnsi="Cambria" w:cs="Arial"/>
          <w:spacing w:val="-1"/>
          <w:sz w:val="20"/>
          <w:szCs w:val="20"/>
        </w:rPr>
        <w:t>.</w:t>
      </w:r>
      <w:r w:rsidRPr="00207748">
        <w:rPr>
          <w:rStyle w:val="Ohne"/>
          <w:rFonts w:ascii="Cambria" w:eastAsia="Arial" w:hAnsi="Cambria" w:cs="Arial"/>
          <w:spacing w:val="-1"/>
          <w:sz w:val="20"/>
          <w:szCs w:val="20"/>
          <w:vertAlign w:val="superscript"/>
        </w:rPr>
        <w:endnoteReference w:id="601"/>
      </w:r>
      <w:r w:rsidRPr="00207748">
        <w:rPr>
          <w:rStyle w:val="Ohne"/>
          <w:rFonts w:ascii="Cambria" w:hAnsi="Cambria" w:cs="Arial"/>
          <w:spacing w:val="-1"/>
          <w:sz w:val="20"/>
          <w:szCs w:val="20"/>
        </w:rPr>
        <w:t xml:space="preserve"> </w:t>
      </w:r>
    </w:p>
    <w:p w14:paraId="6E70F1C7" w14:textId="029AF9BE" w:rsidR="00D60A69" w:rsidRDefault="00447357" w:rsidP="004454B6">
      <w:pPr>
        <w:spacing w:before="240"/>
        <w:rPr>
          <w:rStyle w:val="Ohne"/>
          <w:rFonts w:ascii="Cambria" w:hAnsi="Cambria" w:cs="Arial"/>
          <w:spacing w:val="-1"/>
          <w:sz w:val="20"/>
          <w:szCs w:val="20"/>
        </w:rPr>
      </w:pPr>
      <w:r w:rsidRPr="00207748">
        <w:rPr>
          <w:rStyle w:val="Ohne"/>
          <w:rFonts w:ascii="Cambria" w:hAnsi="Cambria" w:cs="Arial"/>
          <w:spacing w:val="-1"/>
          <w:sz w:val="20"/>
          <w:szCs w:val="20"/>
        </w:rPr>
        <w:t xml:space="preserve">Seit der systematischen SSC-Übersicht sind zur Frage enteral versus parenteral vier aktuelle Meta-Analysen erschienen. In einer ersten Meta-Analyse zum Vergleich einer enteralen mit einer parenteralen Ernährung bei Intensivpatienten wurden 18 RCTs mit 3.347 Patienten eingeschlossen. Ein Einfluss der enteralen Ernährung auf die Letalität konnte nicht </w:t>
      </w:r>
      <w:r w:rsidR="00EE710E">
        <w:rPr>
          <w:rStyle w:val="Ohne"/>
          <w:rFonts w:ascii="Cambria" w:hAnsi="Cambria" w:cs="Arial"/>
          <w:spacing w:val="-1"/>
          <w:sz w:val="20"/>
          <w:szCs w:val="20"/>
        </w:rPr>
        <w:t>auf</w:t>
      </w:r>
      <w:r w:rsidRPr="00207748">
        <w:rPr>
          <w:rStyle w:val="Ohne"/>
          <w:rFonts w:ascii="Cambria" w:hAnsi="Cambria" w:cs="Arial"/>
          <w:spacing w:val="-1"/>
          <w:sz w:val="20"/>
          <w:szCs w:val="20"/>
        </w:rPr>
        <w:t>gezeigt werden</w:t>
      </w:r>
      <w:r w:rsidR="00F65C3A" w:rsidRPr="00207748">
        <w:rPr>
          <w:rStyle w:val="Ohne"/>
          <w:rFonts w:ascii="Cambria" w:hAnsi="Cambria" w:cs="Arial"/>
          <w:spacing w:val="-1"/>
          <w:sz w:val="20"/>
          <w:szCs w:val="20"/>
        </w:rPr>
        <w:t>.</w:t>
      </w:r>
      <w:r w:rsidRPr="006B2B71">
        <w:rPr>
          <w:rStyle w:val="EndnoteRealZchn"/>
        </w:rPr>
        <w:endnoteReference w:id="602"/>
      </w:r>
      <w:r w:rsidRPr="00207748">
        <w:rPr>
          <w:rStyle w:val="Ohne"/>
          <w:rFonts w:ascii="Cambria" w:hAnsi="Cambria" w:cs="Arial"/>
          <w:spacing w:val="-1"/>
          <w:sz w:val="20"/>
          <w:szCs w:val="20"/>
        </w:rPr>
        <w:t xml:space="preserve"> Es fand sich jedoch eine niedrigere Rate an infektiösen Komplikationen (RR 0.64, 95 % CI 0.48. 0.87. p=0.004). Dieser Effekt war ausgeprägter in </w:t>
      </w:r>
      <w:r w:rsidR="00B2739A">
        <w:rPr>
          <w:rStyle w:val="Ohne"/>
          <w:rFonts w:ascii="Cambria" w:hAnsi="Cambria" w:cs="Arial"/>
          <w:spacing w:val="-1"/>
          <w:sz w:val="20"/>
          <w:szCs w:val="20"/>
        </w:rPr>
        <w:t>einer</w:t>
      </w:r>
      <w:r w:rsidRPr="00207748">
        <w:rPr>
          <w:rStyle w:val="Ohne"/>
          <w:rFonts w:ascii="Cambria" w:hAnsi="Cambria" w:cs="Arial"/>
          <w:spacing w:val="-1"/>
          <w:sz w:val="20"/>
          <w:szCs w:val="20"/>
        </w:rPr>
        <w:t xml:space="preserve"> Subgruppe, </w:t>
      </w:r>
      <w:r w:rsidR="00B2739A">
        <w:rPr>
          <w:rStyle w:val="Ohne"/>
          <w:rFonts w:ascii="Cambria" w:hAnsi="Cambria" w:cs="Arial"/>
          <w:spacing w:val="-1"/>
          <w:sz w:val="20"/>
          <w:szCs w:val="20"/>
        </w:rPr>
        <w:t xml:space="preserve">in </w:t>
      </w:r>
      <w:r w:rsidRPr="00207748">
        <w:rPr>
          <w:rStyle w:val="Ohne"/>
          <w:rFonts w:ascii="Cambria" w:hAnsi="Cambria" w:cs="Arial"/>
          <w:spacing w:val="-1"/>
          <w:sz w:val="20"/>
          <w:szCs w:val="20"/>
        </w:rPr>
        <w:t>der</w:t>
      </w:r>
      <w:r w:rsidR="002B1061">
        <w:rPr>
          <w:rStyle w:val="Ohne"/>
          <w:rFonts w:ascii="Cambria" w:hAnsi="Cambria" w:cs="Arial"/>
          <w:spacing w:val="-1"/>
          <w:sz w:val="20"/>
          <w:szCs w:val="20"/>
        </w:rPr>
        <w:t xml:space="preserve"> </w:t>
      </w:r>
      <w:r w:rsidRPr="00207748">
        <w:rPr>
          <w:rStyle w:val="Ohne"/>
          <w:rFonts w:ascii="Cambria" w:hAnsi="Cambria" w:cs="Arial"/>
          <w:spacing w:val="-1"/>
          <w:sz w:val="20"/>
          <w:szCs w:val="20"/>
        </w:rPr>
        <w:t xml:space="preserve">die parenteral ernährten Patienten mehr Kalorien erhalten hatten (RR 0.55, 95 % </w:t>
      </w:r>
      <w:r w:rsidR="00342FB3" w:rsidRPr="00207748">
        <w:rPr>
          <w:rStyle w:val="Ohne"/>
          <w:rFonts w:ascii="Cambria" w:hAnsi="Cambria" w:cs="Arial"/>
          <w:spacing w:val="-1"/>
          <w:sz w:val="20"/>
          <w:szCs w:val="20"/>
        </w:rPr>
        <w:t>CI 0.37</w:t>
      </w:r>
      <w:r w:rsidRPr="00207748">
        <w:rPr>
          <w:rStyle w:val="Ohne"/>
          <w:rFonts w:ascii="Cambria" w:hAnsi="Cambria" w:cs="Arial"/>
          <w:spacing w:val="-1"/>
          <w:sz w:val="20"/>
          <w:szCs w:val="20"/>
        </w:rPr>
        <w:t>, 0.82, p=0.003). Der Effekt fehlte, wenn die Kalorienzufuhr in beiden Gruppen gleich gewesen war. Auch wurde ein signifikant kürzerer Intensivaufenthalt beobachtet. (-0.8, 95 % CI – 1.23-0.37. p=0.0003). Insgesamt wurden die Vorteile der enteralen Ernährung vor allem durch die niedrigere Kalorienzufuhr und weniger durc</w:t>
      </w:r>
      <w:r w:rsidR="00B2005D" w:rsidRPr="00207748">
        <w:rPr>
          <w:rStyle w:val="Ohne"/>
          <w:rFonts w:ascii="Cambria" w:hAnsi="Cambria" w:cs="Arial"/>
          <w:spacing w:val="-1"/>
          <w:sz w:val="20"/>
          <w:szCs w:val="20"/>
        </w:rPr>
        <w:t>h den Zufuhrweg selbst erklärt.</w:t>
      </w:r>
    </w:p>
    <w:p w14:paraId="6D05EE21" w14:textId="78829145" w:rsidR="00E11869" w:rsidRPr="00207748" w:rsidRDefault="00447357" w:rsidP="004454B6">
      <w:pPr>
        <w:spacing w:before="240"/>
        <w:rPr>
          <w:rStyle w:val="Ohne"/>
          <w:rFonts w:ascii="Cambria" w:hAnsi="Cambria" w:cs="Arial"/>
          <w:spacing w:val="-1"/>
          <w:sz w:val="20"/>
          <w:szCs w:val="20"/>
        </w:rPr>
      </w:pPr>
      <w:r w:rsidRPr="00207748">
        <w:rPr>
          <w:rStyle w:val="Ohne"/>
          <w:rFonts w:ascii="Cambria" w:hAnsi="Cambria" w:cs="Arial"/>
          <w:spacing w:val="-1"/>
          <w:sz w:val="20"/>
          <w:szCs w:val="20"/>
        </w:rPr>
        <w:lastRenderedPageBreak/>
        <w:t xml:space="preserve">In einer weiteren von der Arbeitsgruppe als qualitativ gut bewerteten Meta-Analyse wurden 16 randomisierte Studien mit 3.325 Intensivpatienten eingeschlossen. Hier wurde eine frühe (innerhalb von 24 h) begonnene enterale Standardernährung mit allen anderen Formen einer Ernährung verglichen. Eine allgemeine Senkung der </w:t>
      </w:r>
      <w:r w:rsidR="00B2739A">
        <w:rPr>
          <w:rStyle w:val="Ohne"/>
          <w:rFonts w:ascii="Cambria" w:hAnsi="Cambria" w:cs="Arial"/>
          <w:spacing w:val="-1"/>
          <w:sz w:val="20"/>
          <w:szCs w:val="20"/>
        </w:rPr>
        <w:t>Mortalität</w:t>
      </w:r>
      <w:r w:rsidRPr="00207748">
        <w:rPr>
          <w:rStyle w:val="Ohne"/>
          <w:rFonts w:ascii="Cambria" w:hAnsi="Cambria" w:cs="Arial"/>
          <w:spacing w:val="-1"/>
          <w:sz w:val="20"/>
          <w:szCs w:val="20"/>
        </w:rPr>
        <w:t xml:space="preserve"> konnte bei früher enteraler Ernährung nicht festgestellt werden und fand sich auch nicht im Vergleich mit einer parenteralen Ernährung. In vorher definierten Subgruppen zeigte sich im Vergleich mit einem verzögerten Ernährungsbeginn (&gt;24h) eine signifikant niedrigere </w:t>
      </w:r>
      <w:r w:rsidR="00B2739A">
        <w:rPr>
          <w:rStyle w:val="Ohne"/>
          <w:rFonts w:ascii="Cambria" w:hAnsi="Cambria" w:cs="Arial"/>
          <w:spacing w:val="-1"/>
          <w:sz w:val="20"/>
          <w:szCs w:val="20"/>
        </w:rPr>
        <w:t>Mortalität</w:t>
      </w:r>
      <w:r w:rsidRPr="00207748">
        <w:rPr>
          <w:rStyle w:val="Ohne"/>
          <w:rFonts w:ascii="Cambria" w:hAnsi="Cambria" w:cs="Arial"/>
          <w:spacing w:val="-1"/>
          <w:sz w:val="20"/>
          <w:szCs w:val="20"/>
        </w:rPr>
        <w:t xml:space="preserve"> (OR 0.45; 95%CI 0.21-0.95. p=0.038, I=0%). Insgesamt entwickelten Patienten mit früh</w:t>
      </w:r>
      <w:r w:rsidR="00B2739A">
        <w:rPr>
          <w:rStyle w:val="Ohne"/>
          <w:rFonts w:ascii="Cambria" w:hAnsi="Cambria" w:cs="Arial"/>
          <w:spacing w:val="-1"/>
          <w:sz w:val="20"/>
          <w:szCs w:val="20"/>
        </w:rPr>
        <w:t>er</w:t>
      </w:r>
      <w:r w:rsidRPr="00207748">
        <w:rPr>
          <w:rStyle w:val="Ohne"/>
          <w:rFonts w:ascii="Cambria" w:hAnsi="Cambria" w:cs="Arial"/>
          <w:spacing w:val="-1"/>
          <w:sz w:val="20"/>
          <w:szCs w:val="20"/>
        </w:rPr>
        <w:t xml:space="preserve"> enteraler Ernährung weniger Pneumonien (0R 0.75; 95 %</w:t>
      </w:r>
      <w:r w:rsidR="00B2005D" w:rsidRPr="00207748">
        <w:rPr>
          <w:rStyle w:val="Ohne"/>
          <w:rFonts w:ascii="Cambria" w:hAnsi="Cambria" w:cs="Arial"/>
          <w:spacing w:val="-1"/>
          <w:sz w:val="20"/>
          <w:szCs w:val="20"/>
        </w:rPr>
        <w:t>CI, 0.60-0.94; p=0.012; I=48 %).</w:t>
      </w:r>
      <w:r w:rsidR="00B2005D" w:rsidRPr="006B2B71">
        <w:rPr>
          <w:rStyle w:val="EndnoteRealZchn"/>
        </w:rPr>
        <w:endnoteReference w:id="603"/>
      </w:r>
    </w:p>
    <w:p w14:paraId="178D5AEE" w14:textId="67DEB1D1" w:rsidR="00E11869" w:rsidRPr="00207748" w:rsidRDefault="00447357" w:rsidP="004454B6">
      <w:pPr>
        <w:spacing w:before="240"/>
        <w:rPr>
          <w:rStyle w:val="Ohne"/>
          <w:rFonts w:ascii="Cambria" w:hAnsi="Cambria" w:cs="Arial"/>
          <w:spacing w:val="-1"/>
          <w:sz w:val="20"/>
          <w:szCs w:val="20"/>
        </w:rPr>
      </w:pPr>
      <w:r w:rsidRPr="00207748">
        <w:rPr>
          <w:rStyle w:val="Ohne"/>
          <w:rFonts w:ascii="Cambria" w:hAnsi="Cambria" w:cs="Arial"/>
          <w:spacing w:val="-1"/>
          <w:sz w:val="20"/>
          <w:szCs w:val="20"/>
        </w:rPr>
        <w:t>In eine</w:t>
      </w:r>
      <w:r w:rsidR="004A16B7" w:rsidRPr="00207748">
        <w:rPr>
          <w:rStyle w:val="Ohne"/>
          <w:rFonts w:ascii="Cambria" w:hAnsi="Cambria" w:cs="Arial"/>
          <w:spacing w:val="-1"/>
          <w:sz w:val="20"/>
          <w:szCs w:val="20"/>
        </w:rPr>
        <w:t>r</w:t>
      </w:r>
      <w:r w:rsidRPr="00207748">
        <w:rPr>
          <w:rStyle w:val="Ohne"/>
          <w:rFonts w:ascii="Cambria" w:hAnsi="Cambria" w:cs="Arial"/>
          <w:spacing w:val="-1"/>
          <w:sz w:val="20"/>
          <w:szCs w:val="20"/>
        </w:rPr>
        <w:t xml:space="preserve"> aktuelle Cochrane</w:t>
      </w:r>
      <w:r w:rsidR="00264D62" w:rsidRPr="00207748">
        <w:rPr>
          <w:rStyle w:val="Ohne"/>
          <w:rFonts w:ascii="Cambria" w:hAnsi="Cambria" w:cs="Arial"/>
          <w:spacing w:val="-1"/>
          <w:sz w:val="20"/>
          <w:szCs w:val="20"/>
        </w:rPr>
        <w:t>-</w:t>
      </w:r>
      <w:r w:rsidRPr="00207748">
        <w:rPr>
          <w:rStyle w:val="Ohne"/>
          <w:rFonts w:ascii="Cambria" w:hAnsi="Cambria" w:cs="Arial"/>
          <w:spacing w:val="-1"/>
          <w:sz w:val="20"/>
          <w:szCs w:val="20"/>
        </w:rPr>
        <w:t>Meta-Analyse wurden 25 Studien mit 8.816 Patienten eingeschlossen. 23 Studien waren randomisiert, zwei quasi-randomisiert. Als Ergebnis zur Frage enterale versus parenterale versus kombinierte enteral-parenterale Ernährung war die Evidenz bezüglich der Krankenhaus</w:t>
      </w:r>
      <w:r w:rsidR="00B2739A">
        <w:rPr>
          <w:rStyle w:val="Ohne"/>
          <w:rFonts w:ascii="Cambria" w:hAnsi="Cambria" w:cs="Arial"/>
          <w:spacing w:val="-1"/>
          <w:sz w:val="20"/>
          <w:szCs w:val="20"/>
        </w:rPr>
        <w:t>mortalität</w:t>
      </w:r>
      <w:r w:rsidRPr="00207748">
        <w:rPr>
          <w:rStyle w:val="Ohne"/>
          <w:rFonts w:ascii="Cambria" w:hAnsi="Cambria" w:cs="Arial"/>
          <w:spacing w:val="-1"/>
          <w:sz w:val="20"/>
          <w:szCs w:val="20"/>
        </w:rPr>
        <w:t>, 10- und 90-Tage</w:t>
      </w:r>
      <w:r w:rsidR="00F65C3A" w:rsidRPr="00207748">
        <w:rPr>
          <w:rStyle w:val="Ohne"/>
          <w:rFonts w:ascii="Cambria" w:hAnsi="Cambria" w:cs="Arial"/>
          <w:spacing w:val="-1"/>
          <w:sz w:val="20"/>
          <w:szCs w:val="20"/>
        </w:rPr>
        <w:t>-</w:t>
      </w:r>
      <w:r w:rsidR="00B2739A">
        <w:rPr>
          <w:rStyle w:val="Ohne"/>
          <w:rFonts w:ascii="Cambria" w:hAnsi="Cambria" w:cs="Arial"/>
          <w:spacing w:val="-1"/>
          <w:sz w:val="20"/>
          <w:szCs w:val="20"/>
        </w:rPr>
        <w:t>Mortalität</w:t>
      </w:r>
      <w:r w:rsidRPr="00207748">
        <w:rPr>
          <w:rStyle w:val="Ohne"/>
          <w:rFonts w:ascii="Cambria" w:hAnsi="Cambria" w:cs="Arial"/>
          <w:spacing w:val="-1"/>
          <w:sz w:val="20"/>
          <w:szCs w:val="20"/>
        </w:rPr>
        <w:t>, der Zahl an beatmungsfreien Tagen und unerwünschten Ereignissen unzureichend. Jedoch war die 30-Tage-</w:t>
      </w:r>
      <w:r w:rsidR="00B2739A">
        <w:rPr>
          <w:rStyle w:val="Ohne"/>
          <w:rFonts w:ascii="Cambria" w:hAnsi="Cambria" w:cs="Arial"/>
          <w:spacing w:val="-1"/>
          <w:sz w:val="20"/>
          <w:szCs w:val="20"/>
        </w:rPr>
        <w:t>Mortalität</w:t>
      </w:r>
      <w:r w:rsidRPr="00207748">
        <w:rPr>
          <w:rStyle w:val="Ohne"/>
          <w:rFonts w:ascii="Cambria" w:hAnsi="Cambria" w:cs="Arial"/>
          <w:spacing w:val="-1"/>
          <w:sz w:val="20"/>
          <w:szCs w:val="20"/>
        </w:rPr>
        <w:t xml:space="preserve"> niedriger bei kombiniert enteral-parenteraler Ernährung. Bei enteraler Ernährung kam es seltener zu einer Sepsis als bei parenteraler Ernährun</w:t>
      </w:r>
      <w:r w:rsidR="00B2005D" w:rsidRPr="00207748">
        <w:rPr>
          <w:rStyle w:val="Ohne"/>
          <w:rFonts w:ascii="Cambria" w:hAnsi="Cambria" w:cs="Arial"/>
          <w:spacing w:val="-1"/>
          <w:sz w:val="20"/>
          <w:szCs w:val="20"/>
        </w:rPr>
        <w:t>g.</w:t>
      </w:r>
      <w:r w:rsidRPr="00207748">
        <w:rPr>
          <w:rStyle w:val="Ohne"/>
          <w:rFonts w:ascii="Cambria" w:hAnsi="Cambria" w:cs="Arial"/>
          <w:spacing w:val="-1"/>
          <w:sz w:val="20"/>
          <w:szCs w:val="20"/>
        </w:rPr>
        <w:t xml:space="preserve"> In die vierte Meta-Analyse, deren Qualität von der Arbeitsgruppe als gut bewertet wurde, wurden 23 Studien mit 6.478 Patienten eingeschlossen. Im Ergebnis zeigte sich kein Unterschied in der </w:t>
      </w:r>
      <w:r w:rsidR="00B2739A">
        <w:rPr>
          <w:rStyle w:val="Ohne"/>
          <w:rFonts w:ascii="Cambria" w:hAnsi="Cambria" w:cs="Arial"/>
          <w:spacing w:val="-1"/>
          <w:sz w:val="20"/>
          <w:szCs w:val="20"/>
        </w:rPr>
        <w:t>Mortalität</w:t>
      </w:r>
      <w:r w:rsidRPr="00207748">
        <w:rPr>
          <w:rStyle w:val="Ohne"/>
          <w:rFonts w:ascii="Cambria" w:hAnsi="Cambria" w:cs="Arial"/>
          <w:spacing w:val="-1"/>
          <w:sz w:val="20"/>
          <w:szCs w:val="20"/>
        </w:rPr>
        <w:t xml:space="preserve"> und dem Auftreten einer Organdysfunktion. Im Vergleich kam es bei enteraler Ernährung zu weniger Bakteriämien (OR 0.59, 95 %CI 0.43 – 0.82, p=0.001, I2=27 %). Dies galt vor allem für chirurgische Intensivpatienten (OR 0.36 CI 0.22-0.59, p&lt;0.0001, I2=0 %). Bei enteraler Ernährung war die Krankenhausverweildauer tendenziell kürzer (MD -0.90, 95 % CI -1.63 - -0.17, p=0.21, I2=0 %), wobei gastrointestinale Probleme signifikant</w:t>
      </w:r>
      <w:r w:rsidRPr="00207748">
        <w:rPr>
          <w:rStyle w:val="Ohne"/>
          <w:rFonts w:ascii="Cambria" w:hAnsi="Cambria" w:cs="Arial"/>
          <w:sz w:val="20"/>
          <w:szCs w:val="20"/>
          <w:shd w:val="clear" w:color="auto" w:fill="C0C0C0"/>
        </w:rPr>
        <w:t xml:space="preserve"> </w:t>
      </w:r>
      <w:r w:rsidR="00537477">
        <w:rPr>
          <w:rStyle w:val="Ohne"/>
          <w:rFonts w:ascii="Cambria" w:hAnsi="Cambria" w:cs="Arial"/>
          <w:spacing w:val="-1"/>
          <w:sz w:val="20"/>
          <w:szCs w:val="20"/>
        </w:rPr>
        <w:t>häufiger auftraten (</w:t>
      </w:r>
      <w:r w:rsidRPr="00207748">
        <w:rPr>
          <w:rStyle w:val="Ohne"/>
          <w:rFonts w:ascii="Cambria" w:hAnsi="Cambria" w:cs="Arial"/>
          <w:spacing w:val="-1"/>
          <w:sz w:val="20"/>
          <w:szCs w:val="20"/>
        </w:rPr>
        <w:t>OR 2.00, 95 %CI</w:t>
      </w:r>
      <w:r w:rsidR="00B2005D" w:rsidRPr="00207748">
        <w:rPr>
          <w:rStyle w:val="Ohne"/>
          <w:rFonts w:ascii="Cambria" w:hAnsi="Cambria" w:cs="Arial"/>
          <w:spacing w:val="-1"/>
          <w:sz w:val="20"/>
          <w:szCs w:val="20"/>
        </w:rPr>
        <w:t xml:space="preserve"> 1.76-2.27, p=0.00001, I2=0 %).</w:t>
      </w:r>
      <w:r w:rsidR="00B2005D" w:rsidRPr="006B2B71">
        <w:rPr>
          <w:rStyle w:val="EndnoteRealZchn"/>
        </w:rPr>
        <w:endnoteReference w:id="604"/>
      </w:r>
    </w:p>
    <w:p w14:paraId="24E62884" w14:textId="52F71379" w:rsidR="00E11869" w:rsidRPr="00207748" w:rsidRDefault="00447357" w:rsidP="004454B6">
      <w:pPr>
        <w:tabs>
          <w:tab w:val="left" w:pos="4111"/>
        </w:tabs>
        <w:spacing w:before="240"/>
        <w:rPr>
          <w:rStyle w:val="Ohne"/>
          <w:rFonts w:ascii="Cambria" w:hAnsi="Cambria" w:cs="Arial"/>
          <w:spacing w:val="-1"/>
          <w:sz w:val="20"/>
          <w:szCs w:val="20"/>
        </w:rPr>
      </w:pPr>
      <w:r w:rsidRPr="00207748">
        <w:rPr>
          <w:rStyle w:val="Ohne"/>
          <w:rFonts w:ascii="Cambria" w:hAnsi="Cambria" w:cs="Arial"/>
          <w:spacing w:val="-1"/>
          <w:sz w:val="20"/>
          <w:szCs w:val="20"/>
        </w:rPr>
        <w:lastRenderedPageBreak/>
        <w:t>N</w:t>
      </w:r>
      <w:r w:rsidR="00B2739A">
        <w:rPr>
          <w:rStyle w:val="Ohne"/>
          <w:rFonts w:ascii="Cambria" w:hAnsi="Cambria" w:cs="Arial"/>
          <w:spacing w:val="-1"/>
          <w:sz w:val="20"/>
          <w:szCs w:val="20"/>
        </w:rPr>
        <w:t>icht berücksichtigt</w:t>
      </w:r>
      <w:r w:rsidR="002B1061">
        <w:rPr>
          <w:rStyle w:val="Ohne"/>
          <w:rFonts w:ascii="Cambria" w:hAnsi="Cambria" w:cs="Arial"/>
          <w:spacing w:val="-1"/>
          <w:sz w:val="20"/>
          <w:szCs w:val="20"/>
        </w:rPr>
        <w:t xml:space="preserve"> </w:t>
      </w:r>
      <w:r w:rsidRPr="00207748">
        <w:rPr>
          <w:rStyle w:val="Ohne"/>
          <w:rFonts w:ascii="Cambria" w:hAnsi="Cambria" w:cs="Arial"/>
          <w:spacing w:val="-1"/>
          <w:sz w:val="20"/>
          <w:szCs w:val="20"/>
        </w:rPr>
        <w:t>war ferner ein RCT, d</w:t>
      </w:r>
      <w:r w:rsidR="00B2739A">
        <w:rPr>
          <w:rStyle w:val="Ohne"/>
          <w:rFonts w:ascii="Cambria" w:hAnsi="Cambria" w:cs="Arial"/>
          <w:spacing w:val="-1"/>
          <w:sz w:val="20"/>
          <w:szCs w:val="20"/>
        </w:rPr>
        <w:t>as</w:t>
      </w:r>
      <w:r w:rsidRPr="00207748">
        <w:rPr>
          <w:rStyle w:val="Ohne"/>
          <w:rFonts w:ascii="Cambria" w:hAnsi="Cambria" w:cs="Arial"/>
          <w:spacing w:val="-1"/>
          <w:sz w:val="20"/>
          <w:szCs w:val="20"/>
        </w:rPr>
        <w:t xml:space="preserve"> bei 2.410 Intensivpatienten mit Schock keinen Vorteil einer frühen isokalorischen enteralen (n=1.202) gegenüber einer parenteralen (n=1.208) Ernährung bezüglich einer Senkung der </w:t>
      </w:r>
      <w:r w:rsidR="00B2739A">
        <w:rPr>
          <w:rStyle w:val="Ohne"/>
          <w:rFonts w:ascii="Cambria" w:hAnsi="Cambria" w:cs="Arial"/>
          <w:spacing w:val="-1"/>
          <w:sz w:val="20"/>
          <w:szCs w:val="20"/>
        </w:rPr>
        <w:t>Mortalität</w:t>
      </w:r>
      <w:r w:rsidRPr="00207748">
        <w:rPr>
          <w:rStyle w:val="Ohne"/>
          <w:rFonts w:ascii="Cambria" w:hAnsi="Cambria" w:cs="Arial"/>
          <w:spacing w:val="-1"/>
          <w:sz w:val="20"/>
          <w:szCs w:val="20"/>
        </w:rPr>
        <w:t xml:space="preserve"> oder anderer sekundärer Komplikationen gezeigt hat (NUTRIREA-2</w:t>
      </w:r>
      <w:r w:rsidR="00B2005D" w:rsidRPr="00207748">
        <w:rPr>
          <w:rStyle w:val="Ohne"/>
          <w:rFonts w:ascii="Cambria" w:hAnsi="Cambria" w:cs="Arial"/>
          <w:spacing w:val="-1"/>
          <w:sz w:val="20"/>
          <w:szCs w:val="20"/>
        </w:rPr>
        <w:t>.</w:t>
      </w:r>
      <w:r w:rsidR="00B2005D" w:rsidRPr="006B2B71">
        <w:rPr>
          <w:rStyle w:val="EndnoteRealZchn"/>
        </w:rPr>
        <w:endnoteReference w:id="605"/>
      </w:r>
      <w:r w:rsidR="00D71FFE" w:rsidRPr="006B2B71">
        <w:rPr>
          <w:rStyle w:val="EndnoteRealZchn"/>
        </w:rPr>
        <w:t xml:space="preserve"> </w:t>
      </w:r>
      <w:r w:rsidRPr="00207748">
        <w:rPr>
          <w:rStyle w:val="Ohne"/>
          <w:rFonts w:ascii="Cambria" w:hAnsi="Cambria" w:cs="Arial"/>
          <w:spacing w:val="-1"/>
          <w:sz w:val="20"/>
          <w:szCs w:val="20"/>
        </w:rPr>
        <w:t>Am Tag 28 waren 443 (37 %) der 1202 Patienten in der enteralen Gruppe und 422 (35 %) der 1.208 Patienten in der parenteralen Gruppe verstorben (absoluter Unterschied [95 % CI -1.9-5.8; p=0·33). Die</w:t>
      </w:r>
      <w:r w:rsidR="00D71FFE" w:rsidRPr="006B2B71">
        <w:rPr>
          <w:rStyle w:val="EndnoteRealZchn"/>
        </w:rPr>
        <w:t xml:space="preserve"> </w:t>
      </w:r>
      <w:r w:rsidRPr="00207748">
        <w:rPr>
          <w:rStyle w:val="Ohne"/>
          <w:rFonts w:ascii="Cambria" w:hAnsi="Cambria" w:cs="Arial"/>
          <w:spacing w:val="-1"/>
          <w:sz w:val="20"/>
          <w:szCs w:val="20"/>
        </w:rPr>
        <w:t>kumulative Inzidenz von auf der ITS erworbenen Infektionen war nicht unterschiedlich (enteral: 173 [14 %], parenteral</w:t>
      </w:r>
      <w:r w:rsidR="00733E27">
        <w:rPr>
          <w:rStyle w:val="Ohne"/>
          <w:rFonts w:ascii="Cambria" w:hAnsi="Cambria" w:cs="Arial"/>
          <w:spacing w:val="-1"/>
          <w:sz w:val="20"/>
          <w:szCs w:val="20"/>
        </w:rPr>
        <w:t>:</w:t>
      </w:r>
      <w:r w:rsidRPr="00207748">
        <w:rPr>
          <w:rStyle w:val="Ohne"/>
          <w:rFonts w:ascii="Cambria" w:hAnsi="Cambria" w:cs="Arial"/>
          <w:spacing w:val="-1"/>
          <w:sz w:val="20"/>
          <w:szCs w:val="20"/>
        </w:rPr>
        <w:t xml:space="preserve"> 194 [16 %]; HR 0·89 [95 % CI 0·72-1·09]; p=0·25). Verglichen mit der parenteralen Gruppe zeigte sich bei den enteral ernährten Patienten jedoch eine höhere Inzidenz an Erbrechen (406 [34 %] vs 246 [20 %]; HR 1.89 [1.62-2.20]; p&lt;0·0001), Diarrhoe (432 [36 %] vs 393 [33 %]; 1.20 [1.05-1.37]; p=0·009), Darmischämien (19 [2 %] vs fünf [&lt;1 %]; 3.84 [1.43-10.3]; p=0·007), und dem Auftreten einer akuten Kolon-Pseudoobstruktion (11 [1 %] vs drei [&lt;1 %]; 3.7 [1.03-13.2; p=0·04)</w:t>
      </w:r>
      <w:r w:rsidR="00D71FFE" w:rsidRPr="00207748">
        <w:rPr>
          <w:rStyle w:val="Ohne"/>
          <w:rFonts w:ascii="Cambria" w:hAnsi="Cambria" w:cs="Arial"/>
          <w:spacing w:val="-1"/>
          <w:sz w:val="20"/>
          <w:szCs w:val="20"/>
        </w:rPr>
        <w:t>.</w:t>
      </w:r>
    </w:p>
    <w:p w14:paraId="2CAD1171" w14:textId="0667224E" w:rsidR="00E11869" w:rsidRPr="00207748" w:rsidRDefault="00447357" w:rsidP="004454B6">
      <w:pPr>
        <w:spacing w:before="240"/>
        <w:rPr>
          <w:rStyle w:val="Ohne"/>
          <w:rFonts w:ascii="Cambria" w:hAnsi="Cambria" w:cs="Arial"/>
          <w:spacing w:val="-1"/>
          <w:sz w:val="20"/>
          <w:szCs w:val="20"/>
        </w:rPr>
      </w:pPr>
      <w:r w:rsidRPr="00207748">
        <w:rPr>
          <w:rStyle w:val="Ohne"/>
          <w:rFonts w:ascii="Cambria" w:hAnsi="Cambria" w:cs="Arial"/>
          <w:spacing w:val="-1"/>
          <w:sz w:val="20"/>
          <w:szCs w:val="20"/>
        </w:rPr>
        <w:t>Als Kontraindikationen zur frühzeitigen enteralen Ernährung werden in den neuen ESICM-Leitlinien (2017) genannt: unkontrollierter Schock, metabolische Entgleisung mit unkontrollierter Hypoxämie und Azidose, unkontrollierte obere Gastrointestinalblutung, Magenresidualvolumen &gt;500ml/6 h, mesenteriale Ischämie, Darmobstruktion, Kompartment-Syndrom, High-Output-Fistel ohne distalen Zugang zur Ernährung</w:t>
      </w:r>
      <w:r w:rsidR="00264D62" w:rsidRPr="00207748">
        <w:rPr>
          <w:rStyle w:val="Ohne"/>
          <w:rFonts w:ascii="Cambria" w:hAnsi="Cambria" w:cs="Arial"/>
          <w:spacing w:val="-1"/>
          <w:sz w:val="20"/>
          <w:szCs w:val="20"/>
        </w:rPr>
        <w:t>.</w:t>
      </w:r>
      <w:r w:rsidR="00D60A69" w:rsidRPr="00D60A69">
        <w:rPr>
          <w:rStyle w:val="EndnoteRealZchn"/>
        </w:rPr>
        <w:fldChar w:fldCharType="begin"/>
      </w:r>
      <w:r w:rsidR="00D60A69" w:rsidRPr="00D60A69">
        <w:rPr>
          <w:rStyle w:val="EndnoteRealZchn"/>
        </w:rPr>
        <w:instrText xml:space="preserve"> NOTEREF _Ref30664097 \h </w:instrText>
      </w:r>
      <w:r w:rsidR="00D60A69">
        <w:rPr>
          <w:rStyle w:val="EndnoteRealZchn"/>
        </w:rPr>
        <w:instrText xml:space="preserve"> \* MERGEFORMAT </w:instrText>
      </w:r>
      <w:r w:rsidR="00D60A69" w:rsidRPr="00D60A69">
        <w:rPr>
          <w:rStyle w:val="EndnoteRealZchn"/>
        </w:rPr>
      </w:r>
      <w:r w:rsidR="00D60A69" w:rsidRPr="00D60A69">
        <w:rPr>
          <w:rStyle w:val="EndnoteRealZchn"/>
        </w:rPr>
        <w:fldChar w:fldCharType="separate"/>
      </w:r>
      <w:r w:rsidR="001A283B">
        <w:rPr>
          <w:rStyle w:val="EndnoteRealZchn"/>
        </w:rPr>
        <w:t>647</w:t>
      </w:r>
      <w:r w:rsidR="00D60A69" w:rsidRPr="00D60A69">
        <w:rPr>
          <w:rStyle w:val="EndnoteRealZchn"/>
        </w:rPr>
        <w:fldChar w:fldCharType="end"/>
      </w:r>
      <w:r w:rsidR="00D60A69">
        <w:rPr>
          <w:rStyle w:val="EndnoteRealZchn"/>
        </w:rPr>
        <w:t xml:space="preserve"> </w:t>
      </w:r>
      <w:r w:rsidRPr="00207748">
        <w:rPr>
          <w:rStyle w:val="Ohne"/>
          <w:rFonts w:ascii="Cambria" w:hAnsi="Cambria" w:cs="Arial"/>
          <w:spacing w:val="-1"/>
          <w:sz w:val="20"/>
          <w:szCs w:val="20"/>
        </w:rPr>
        <w:t>Eine gastrale Ernährung kann kontinuierlich oder als Bolusgabe erfolgen, die jejunale Zufuhr bedarf der kontinu</w:t>
      </w:r>
      <w:r w:rsidR="001A58EF" w:rsidRPr="00207748">
        <w:rPr>
          <w:rStyle w:val="Ohne"/>
          <w:rFonts w:ascii="Cambria" w:hAnsi="Cambria" w:cs="Arial"/>
          <w:spacing w:val="-1"/>
          <w:sz w:val="20"/>
          <w:szCs w:val="20"/>
        </w:rPr>
        <w:t>i</w:t>
      </w:r>
      <w:r w:rsidRPr="00207748">
        <w:rPr>
          <w:rStyle w:val="Ohne"/>
          <w:rFonts w:ascii="Cambria" w:hAnsi="Cambria" w:cs="Arial"/>
          <w:spacing w:val="-1"/>
          <w:sz w:val="20"/>
          <w:szCs w:val="20"/>
        </w:rPr>
        <w:t>erlichen</w:t>
      </w:r>
      <w:r w:rsidR="002B1061">
        <w:rPr>
          <w:rStyle w:val="Ohne"/>
          <w:rFonts w:ascii="Cambria" w:hAnsi="Cambria" w:cs="Arial"/>
          <w:spacing w:val="-1"/>
          <w:sz w:val="20"/>
          <w:szCs w:val="20"/>
        </w:rPr>
        <w:t xml:space="preserve"> </w:t>
      </w:r>
      <w:r w:rsidRPr="00207748">
        <w:rPr>
          <w:rStyle w:val="Ohne"/>
          <w:rFonts w:ascii="Cambria" w:hAnsi="Cambria" w:cs="Arial"/>
          <w:spacing w:val="-1"/>
          <w:sz w:val="20"/>
          <w:szCs w:val="20"/>
        </w:rPr>
        <w:t>Applikation</w:t>
      </w:r>
      <w:r w:rsidR="00264D62" w:rsidRPr="00207748">
        <w:rPr>
          <w:rStyle w:val="Ohne"/>
          <w:rFonts w:ascii="Cambria" w:hAnsi="Cambria" w:cs="Arial"/>
          <w:spacing w:val="-1"/>
          <w:sz w:val="20"/>
          <w:szCs w:val="20"/>
        </w:rPr>
        <w:t>.</w:t>
      </w:r>
      <w:r w:rsidR="00D60A69" w:rsidRPr="00D60A69">
        <w:rPr>
          <w:rStyle w:val="EndnoteRealZchn"/>
        </w:rPr>
        <w:fldChar w:fldCharType="begin"/>
      </w:r>
      <w:r w:rsidR="00D60A69" w:rsidRPr="00D60A69">
        <w:rPr>
          <w:rStyle w:val="EndnoteRealZchn"/>
        </w:rPr>
        <w:instrText xml:space="preserve"> NOTEREF _Ref30663944 \h </w:instrText>
      </w:r>
      <w:r w:rsidR="00D60A69">
        <w:rPr>
          <w:rStyle w:val="EndnoteRealZchn"/>
        </w:rPr>
        <w:instrText xml:space="preserve"> \* MERGEFORMAT </w:instrText>
      </w:r>
      <w:r w:rsidR="00D60A69" w:rsidRPr="00D60A69">
        <w:rPr>
          <w:rStyle w:val="EndnoteRealZchn"/>
        </w:rPr>
      </w:r>
      <w:r w:rsidR="00D60A69" w:rsidRPr="00D60A69">
        <w:rPr>
          <w:rStyle w:val="EndnoteRealZchn"/>
        </w:rPr>
        <w:fldChar w:fldCharType="separate"/>
      </w:r>
      <w:r w:rsidR="001A283B">
        <w:rPr>
          <w:rStyle w:val="EndnoteRealZchn"/>
        </w:rPr>
        <w:t>646</w:t>
      </w:r>
      <w:r w:rsidR="00D60A69" w:rsidRPr="00D60A69">
        <w:rPr>
          <w:rStyle w:val="EndnoteRealZchn"/>
        </w:rPr>
        <w:fldChar w:fldCharType="end"/>
      </w:r>
      <w:r w:rsidRPr="006B2B71">
        <w:rPr>
          <w:rStyle w:val="EndnoteRealZchn"/>
        </w:rPr>
        <w:t xml:space="preserve"> </w:t>
      </w:r>
    </w:p>
    <w:p w14:paraId="0682EC74" w14:textId="385EFEF0" w:rsidR="00E11869" w:rsidRPr="00207748" w:rsidRDefault="00447357" w:rsidP="004454B6">
      <w:pPr>
        <w:spacing w:before="240"/>
        <w:ind w:right="288"/>
        <w:rPr>
          <w:rStyle w:val="Ohne"/>
          <w:rFonts w:ascii="Cambria" w:hAnsi="Cambria" w:cs="Arial"/>
          <w:spacing w:val="-1"/>
          <w:sz w:val="20"/>
          <w:szCs w:val="20"/>
        </w:rPr>
      </w:pPr>
      <w:r w:rsidRPr="00207748">
        <w:rPr>
          <w:rStyle w:val="Ohne"/>
          <w:rFonts w:ascii="Cambria" w:hAnsi="Cambria" w:cs="Arial"/>
          <w:spacing w:val="-1"/>
          <w:sz w:val="20"/>
          <w:szCs w:val="20"/>
        </w:rPr>
        <w:t xml:space="preserve">Zusammenfassend wird bei ungenügender Evidenz für die Zielpopulation dieser Leitlinie und in Bezug auf einen </w:t>
      </w:r>
      <w:r w:rsidR="00733E27">
        <w:rPr>
          <w:rStyle w:val="Ohne"/>
          <w:rFonts w:ascii="Cambria" w:hAnsi="Cambria" w:cs="Arial"/>
          <w:spacing w:val="-1"/>
          <w:sz w:val="20"/>
          <w:szCs w:val="20"/>
        </w:rPr>
        <w:t>Mortalitäts</w:t>
      </w:r>
      <w:r w:rsidR="00733E27" w:rsidRPr="00207748">
        <w:rPr>
          <w:rStyle w:val="Ohne"/>
          <w:rFonts w:ascii="Cambria" w:hAnsi="Cambria" w:cs="Arial"/>
          <w:spacing w:val="-1"/>
          <w:sz w:val="20"/>
          <w:szCs w:val="20"/>
        </w:rPr>
        <w:t>vorteil</w:t>
      </w:r>
      <w:r w:rsidRPr="00207748">
        <w:rPr>
          <w:rStyle w:val="Ohne"/>
          <w:rFonts w:ascii="Cambria" w:hAnsi="Cambria" w:cs="Arial"/>
          <w:spacing w:val="-1"/>
          <w:sz w:val="20"/>
          <w:szCs w:val="20"/>
        </w:rPr>
        <w:t xml:space="preserve"> sowie mögliche zusätzliche Kosten einer parenteralen Ernährung in Abwesenheit eines klinischen Nutzens</w:t>
      </w:r>
      <w:r w:rsidR="00264D62" w:rsidRPr="00207748">
        <w:rPr>
          <w:rStyle w:val="Ohne"/>
          <w:rFonts w:ascii="Cambria" w:hAnsi="Cambria" w:cs="Arial"/>
          <w:spacing w:val="-1"/>
          <w:sz w:val="20"/>
          <w:szCs w:val="20"/>
        </w:rPr>
        <w:t xml:space="preserve"> </w:t>
      </w:r>
      <w:r w:rsidRPr="00207748">
        <w:rPr>
          <w:rStyle w:val="Ohne"/>
          <w:rFonts w:ascii="Cambria" w:hAnsi="Cambria" w:cs="Arial"/>
          <w:spacing w:val="-1"/>
          <w:sz w:val="20"/>
          <w:szCs w:val="20"/>
        </w:rPr>
        <w:t xml:space="preserve">bevorzugt auch bei Patienten mit Sepsis und septischem Schock (nach hämodynamischer Stabilisierung) der frühzeitige Beginn einer enteralen Ernährung </w:t>
      </w:r>
      <w:r w:rsidRPr="00207748">
        <w:rPr>
          <w:rStyle w:val="Ohne"/>
          <w:rFonts w:ascii="Cambria" w:hAnsi="Cambria" w:cs="Arial"/>
          <w:spacing w:val="-1"/>
          <w:sz w:val="20"/>
          <w:szCs w:val="20"/>
        </w:rPr>
        <w:lastRenderedPageBreak/>
        <w:t>empfohlen, sofern nicht die oben genannten Kontraindikationen vorliegen.</w:t>
      </w:r>
      <w:r w:rsidR="00264D62" w:rsidRPr="006B2B71">
        <w:rPr>
          <w:rStyle w:val="EndnoteRealZchn"/>
        </w:rPr>
        <w:endnoteReference w:id="606"/>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762"/>
        <w:gridCol w:w="1680"/>
        <w:gridCol w:w="783"/>
      </w:tblGrid>
      <w:tr w:rsidR="00E11869" w:rsidRPr="00207748" w14:paraId="6D83C958"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7B5CDCB"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T.2</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44A4D2AA"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0232AF82"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4D24F47C" w14:textId="77777777" w:rsidTr="00342FB3">
        <w:trPr>
          <w:trHeight w:val="388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D01ADF" w14:textId="77777777" w:rsidR="00E11869" w:rsidRPr="00B26F79" w:rsidRDefault="00447357" w:rsidP="004454B6">
            <w:pPr>
              <w:rPr>
                <w:rFonts w:ascii="Cambria" w:hAnsi="Cambria" w:cs="Arial"/>
                <w:b/>
                <w:sz w:val="20"/>
                <w:szCs w:val="20"/>
              </w:rPr>
            </w:pPr>
            <w:r w:rsidRPr="00B26F79">
              <w:rPr>
                <w:rStyle w:val="Ohne"/>
                <w:rFonts w:ascii="Cambria" w:hAnsi="Cambria" w:cs="Arial"/>
                <w:b/>
                <w:sz w:val="20"/>
                <w:szCs w:val="20"/>
              </w:rPr>
              <w:t>Expertenkonsens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3CF21" w14:textId="77777777" w:rsidR="00E11869" w:rsidRPr="00207748" w:rsidRDefault="00447357" w:rsidP="004454B6">
            <w:pPr>
              <w:spacing w:after="0"/>
              <w:rPr>
                <w:rStyle w:val="Ohne"/>
                <w:rFonts w:ascii="Cambria" w:hAnsi="Cambria" w:cs="Arial"/>
                <w:b/>
                <w:bCs/>
                <w:sz w:val="20"/>
                <w:szCs w:val="20"/>
              </w:rPr>
            </w:pPr>
            <w:r w:rsidRPr="00207748">
              <w:rPr>
                <w:rStyle w:val="Ohne"/>
                <w:rFonts w:ascii="Cambria" w:hAnsi="Cambria" w:cs="Arial"/>
                <w:b/>
                <w:bCs/>
                <w:sz w:val="20"/>
                <w:szCs w:val="20"/>
              </w:rPr>
              <w:t xml:space="preserve">Wir empfehlen eine frühzeitige minimale „trophische“ enterale Ernährung möglichst innerhalb der ersten 48 Stunden nach Beginn der Sepsis. </w:t>
            </w:r>
          </w:p>
          <w:p w14:paraId="544DF10A" w14:textId="4BC15A9B"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Wir empfehlen, die enterale Ernährung innerhalb der ersten 7 Tage entsprechend der metabolischen und gastrointestinalen Toleranz zu steigern.</w:t>
            </w:r>
            <w:r w:rsidR="002B1061">
              <w:rPr>
                <w:rStyle w:val="Ohne"/>
                <w:rFonts w:ascii="Cambria" w:hAnsi="Cambria" w:cs="Arial"/>
                <w:b/>
                <w:bCs/>
                <w:spacing w:val="-4"/>
                <w:sz w:val="20"/>
                <w:szCs w:val="20"/>
              </w:rPr>
              <w:t xml:space="preserve"> </w:t>
            </w:r>
            <w:r w:rsidRPr="00207748">
              <w:rPr>
                <w:rStyle w:val="Ohne"/>
                <w:rFonts w:ascii="Cambria" w:hAnsi="Cambria" w:cs="Arial"/>
                <w:b/>
                <w:bCs/>
                <w:spacing w:val="-4"/>
                <w:sz w:val="20"/>
                <w:szCs w:val="20"/>
              </w:rPr>
              <w:t xml:space="preserve"> </w:t>
            </w:r>
          </w:p>
        </w:tc>
      </w:tr>
      <w:tr w:rsidR="00E11869" w:rsidRPr="00207748" w14:paraId="366DD9E2" w14:textId="77777777" w:rsidTr="00182D07">
        <w:trPr>
          <w:trHeight w:val="586"/>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1DC40973"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B3070"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SSC-Leitlinienmodifikation</w:t>
            </w:r>
          </w:p>
        </w:tc>
      </w:tr>
      <w:tr w:rsidR="00E11869" w:rsidRPr="00207748" w14:paraId="40B536F2"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C787D"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70E88" w14:textId="294D0724"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Konsensstärke:</w:t>
            </w:r>
            <w:r w:rsidR="00B26F79">
              <w:rPr>
                <w:rStyle w:val="Ohne"/>
                <w:rFonts w:ascii="Cambria" w:hAnsi="Cambria" w:cs="Arial"/>
                <w:sz w:val="20"/>
                <w:szCs w:val="20"/>
              </w:rPr>
              <w:t xml:space="preserve"> </w:t>
            </w:r>
            <w:r w:rsidRPr="00207748">
              <w:rPr>
                <w:rStyle w:val="Ohne"/>
                <w:rFonts w:ascii="Cambria" w:hAnsi="Cambria" w:cs="Arial"/>
                <w:sz w:val="20"/>
                <w:szCs w:val="20"/>
              </w:rPr>
              <w:t xml:space="preserve">100 % </w:t>
            </w:r>
          </w:p>
        </w:tc>
      </w:tr>
    </w:tbl>
    <w:p w14:paraId="0309BCF5" w14:textId="4D913364" w:rsidR="00E11869" w:rsidRPr="00207748" w:rsidRDefault="00342FB3" w:rsidP="004454B6">
      <w:pPr>
        <w:spacing w:before="240"/>
        <w:rPr>
          <w:rStyle w:val="Ohne"/>
          <w:rFonts w:ascii="Cambria" w:eastAsia="Arial" w:hAnsi="Cambria" w:cs="Arial"/>
          <w:spacing w:val="-2"/>
          <w:sz w:val="20"/>
          <w:szCs w:val="20"/>
        </w:rPr>
      </w:pPr>
      <w:r w:rsidRPr="00207748">
        <w:rPr>
          <w:rStyle w:val="Ohne"/>
          <w:rFonts w:ascii="Cambria" w:hAnsi="Cambria" w:cs="Arial"/>
          <w:b/>
          <w:bCs/>
          <w:sz w:val="20"/>
          <w:szCs w:val="20"/>
        </w:rPr>
        <w:t>Begründung</w:t>
      </w:r>
      <w:r w:rsidR="00447357" w:rsidRPr="00207748">
        <w:rPr>
          <w:rStyle w:val="Ohne"/>
          <w:rFonts w:ascii="Cambria" w:hAnsi="Cambria" w:cs="Arial"/>
          <w:b/>
          <w:bCs/>
          <w:sz w:val="20"/>
          <w:szCs w:val="20"/>
        </w:rPr>
        <w:t>:</w:t>
      </w:r>
      <w:r w:rsidR="00447357" w:rsidRPr="00207748">
        <w:rPr>
          <w:rStyle w:val="Ohne"/>
          <w:rFonts w:ascii="Cambria" w:hAnsi="Cambria" w:cs="Arial"/>
          <w:sz w:val="20"/>
          <w:szCs w:val="20"/>
        </w:rPr>
        <w:t xml:space="preserve"> </w:t>
      </w:r>
      <w:r w:rsidR="00447357" w:rsidRPr="00207748">
        <w:rPr>
          <w:rStyle w:val="Ohne"/>
          <w:rFonts w:ascii="Cambria" w:hAnsi="Cambria" w:cs="Arial"/>
          <w:spacing w:val="-2"/>
          <w:sz w:val="20"/>
          <w:szCs w:val="20"/>
        </w:rPr>
        <w:t>Die frühzeitige enterale Substratzufuhr bietet auch bei Patienten mit Sepsis potenzielle physiologische Vorteile für den Erhalt von Darmintegrität und intestinaler Barriere. All dies kann eine verminderte</w:t>
      </w:r>
      <w:r w:rsidR="002B1061">
        <w:rPr>
          <w:rStyle w:val="Ohne"/>
          <w:rFonts w:ascii="Cambria" w:hAnsi="Cambria" w:cs="Arial"/>
          <w:spacing w:val="-2"/>
          <w:sz w:val="20"/>
          <w:szCs w:val="20"/>
        </w:rPr>
        <w:t xml:space="preserve"> </w:t>
      </w:r>
      <w:r w:rsidR="00447357" w:rsidRPr="00207748">
        <w:rPr>
          <w:rStyle w:val="Ohne"/>
          <w:rFonts w:ascii="Cambria" w:hAnsi="Cambria" w:cs="Arial"/>
          <w:spacing w:val="-2"/>
          <w:sz w:val="20"/>
          <w:szCs w:val="20"/>
        </w:rPr>
        <w:t>intestinale Permeabilität, Abschwächung der Entzündungsreaktion</w:t>
      </w:r>
      <w:r w:rsidR="002B1061">
        <w:rPr>
          <w:rStyle w:val="Ohne"/>
          <w:rFonts w:ascii="Cambria" w:hAnsi="Cambria" w:cs="Arial"/>
          <w:spacing w:val="-2"/>
          <w:sz w:val="20"/>
          <w:szCs w:val="20"/>
        </w:rPr>
        <w:t xml:space="preserve"> </w:t>
      </w:r>
      <w:r w:rsidR="00447357" w:rsidRPr="00207748">
        <w:rPr>
          <w:rStyle w:val="Ohne"/>
          <w:rFonts w:ascii="Cambria" w:hAnsi="Cambria" w:cs="Arial"/>
          <w:spacing w:val="-2"/>
          <w:sz w:val="20"/>
          <w:szCs w:val="20"/>
        </w:rPr>
        <w:t>und</w:t>
      </w:r>
      <w:r w:rsidR="002B1061">
        <w:rPr>
          <w:rStyle w:val="Ohne"/>
          <w:rFonts w:ascii="Cambria" w:hAnsi="Cambria" w:cs="Arial"/>
          <w:spacing w:val="-2"/>
          <w:sz w:val="20"/>
          <w:szCs w:val="20"/>
        </w:rPr>
        <w:t xml:space="preserve"> </w:t>
      </w:r>
      <w:r w:rsidR="00447357" w:rsidRPr="00207748">
        <w:rPr>
          <w:rStyle w:val="Ohne"/>
          <w:rFonts w:ascii="Cambria" w:hAnsi="Cambria" w:cs="Arial"/>
          <w:spacing w:val="-2"/>
          <w:sz w:val="20"/>
          <w:szCs w:val="20"/>
        </w:rPr>
        <w:t>Modulation der Stressreaktion mit reduzierter Insulinresistenz nach sich ziehen</w:t>
      </w:r>
      <w:r w:rsidR="003502F5" w:rsidRPr="00207748">
        <w:rPr>
          <w:rStyle w:val="Ohne"/>
          <w:rFonts w:ascii="Cambria" w:hAnsi="Cambria" w:cs="Arial"/>
          <w:spacing w:val="-2"/>
          <w:sz w:val="20"/>
          <w:szCs w:val="20"/>
        </w:rPr>
        <w:t>.</w:t>
      </w:r>
      <w:r w:rsidR="00447357" w:rsidRPr="00207748">
        <w:rPr>
          <w:rStyle w:val="Ohne"/>
          <w:rFonts w:ascii="Cambria" w:eastAsia="Arial" w:hAnsi="Cambria" w:cs="Arial"/>
          <w:spacing w:val="-2"/>
          <w:sz w:val="20"/>
          <w:szCs w:val="20"/>
          <w:vertAlign w:val="superscript"/>
        </w:rPr>
        <w:endnoteReference w:id="607"/>
      </w:r>
      <w:r w:rsidR="00447357" w:rsidRPr="00207748">
        <w:rPr>
          <w:rStyle w:val="Ohne"/>
          <w:rFonts w:ascii="Cambria" w:hAnsi="Cambria" w:cs="Arial"/>
          <w:spacing w:val="-2"/>
          <w:sz w:val="20"/>
          <w:szCs w:val="20"/>
        </w:rPr>
        <w:t xml:space="preserve"> Um die Evidenz für diese Ernährungsstrategie zu beurteilen, ging die SSC-Arbeitsgruppe der Frage nach, ob eine frühzeitige kalorienbedarfsdeckende Ernährung, mit der innerhalb der ersten 48 Stunden begonnen wird. und bei der die Ernährungsziele innerhalb von 72 Stunden nach der Aufnahme auf der ITS oder dem Trauma erreicht werden sollen, im Vergleich zu einem verzögerten Beginn der enteralen Zufuhr um mindestens 48 Stunden das Ergebnis bei kritisch kranken Patienten verbessern würde. </w:t>
      </w:r>
    </w:p>
    <w:p w14:paraId="27A2AAB8" w14:textId="33C7B963" w:rsidR="00E11869" w:rsidRPr="00207748" w:rsidRDefault="00447357" w:rsidP="004454B6">
      <w:pPr>
        <w:spacing w:before="240"/>
        <w:rPr>
          <w:rStyle w:val="Ohne"/>
          <w:rFonts w:ascii="Cambria" w:eastAsia="Arial" w:hAnsi="Cambria" w:cs="Arial"/>
          <w:spacing w:val="-2"/>
          <w:sz w:val="20"/>
          <w:szCs w:val="20"/>
        </w:rPr>
      </w:pPr>
      <w:r w:rsidRPr="00207748">
        <w:rPr>
          <w:rStyle w:val="Ohne"/>
          <w:rFonts w:ascii="Cambria" w:hAnsi="Cambria" w:cs="Arial"/>
          <w:spacing w:val="-2"/>
          <w:sz w:val="20"/>
          <w:szCs w:val="20"/>
        </w:rPr>
        <w:t xml:space="preserve">In dem systematischen SSC-Review wurden insgesamt </w:t>
      </w:r>
      <w:r w:rsidR="001A58EF" w:rsidRPr="00207748">
        <w:rPr>
          <w:rStyle w:val="Ohne"/>
          <w:rFonts w:ascii="Cambria" w:hAnsi="Cambria" w:cs="Arial"/>
          <w:spacing w:val="-2"/>
          <w:sz w:val="20"/>
          <w:szCs w:val="20"/>
        </w:rPr>
        <w:t>elf</w:t>
      </w:r>
      <w:r w:rsidRPr="00207748">
        <w:rPr>
          <w:rStyle w:val="Ohne"/>
          <w:rFonts w:ascii="Cambria" w:hAnsi="Cambria" w:cs="Arial"/>
          <w:spacing w:val="-2"/>
          <w:sz w:val="20"/>
          <w:szCs w:val="20"/>
        </w:rPr>
        <w:t xml:space="preserve"> Studien mit heterogenen, kritisch erkrankten Patientenpopulationen (n = 412 Patienten) eingeschlossen</w:t>
      </w:r>
      <w:r w:rsidR="003502F5" w:rsidRPr="00207748">
        <w:rPr>
          <w:rStyle w:val="Ohne"/>
          <w:rFonts w:ascii="Cambria" w:hAnsi="Cambria" w:cs="Arial"/>
          <w:spacing w:val="-2"/>
          <w:sz w:val="20"/>
          <w:szCs w:val="20"/>
        </w:rPr>
        <w:t>.</w:t>
      </w:r>
      <w:r w:rsidR="00D60A69">
        <w:rPr>
          <w:rStyle w:val="Endnotenzeichen"/>
          <w:rFonts w:ascii="Cambria" w:hAnsi="Cambria" w:cs="Arial"/>
          <w:spacing w:val="-2"/>
          <w:sz w:val="20"/>
          <w:szCs w:val="20"/>
        </w:rPr>
        <w:endnoteReference w:id="608"/>
      </w:r>
      <w:r w:rsidR="00D60A69">
        <w:rPr>
          <w:rStyle w:val="Ohne"/>
          <w:rFonts w:ascii="Cambria" w:hAnsi="Cambria" w:cs="Arial"/>
          <w:spacing w:val="-2"/>
          <w:sz w:val="20"/>
          <w:szCs w:val="20"/>
        </w:rPr>
        <w:t xml:space="preserve"> </w:t>
      </w:r>
      <w:r w:rsidRPr="00207748">
        <w:rPr>
          <w:rStyle w:val="Ohne"/>
          <w:rFonts w:ascii="Cambria" w:eastAsia="Arial" w:hAnsi="Cambria" w:cs="Arial"/>
          <w:spacing w:val="-2"/>
          <w:sz w:val="20"/>
          <w:szCs w:val="20"/>
          <w:vertAlign w:val="superscript"/>
        </w:rPr>
        <w:endnoteReference w:id="609"/>
      </w:r>
      <w:r w:rsidR="00D60A69">
        <w:rPr>
          <w:rStyle w:val="Ohne"/>
          <w:rFonts w:ascii="Cambria" w:hAnsi="Cambria" w:cs="Arial"/>
          <w:spacing w:val="-2"/>
          <w:sz w:val="20"/>
          <w:szCs w:val="20"/>
        </w:rPr>
        <w:t xml:space="preserve"> </w:t>
      </w:r>
      <w:r w:rsidR="00D60A69">
        <w:rPr>
          <w:rStyle w:val="Endnotenzeichen"/>
          <w:rFonts w:ascii="Cambria" w:hAnsi="Cambria" w:cs="Arial"/>
          <w:spacing w:val="-2"/>
          <w:sz w:val="20"/>
          <w:szCs w:val="20"/>
        </w:rPr>
        <w:endnoteReference w:id="610"/>
      </w:r>
      <w:r w:rsidR="003502F5" w:rsidRPr="00207748">
        <w:rPr>
          <w:rStyle w:val="Ohne"/>
          <w:rFonts w:ascii="Cambria" w:hAnsi="Cambria" w:cs="Arial"/>
          <w:spacing w:val="-2"/>
          <w:sz w:val="20"/>
          <w:szCs w:val="20"/>
        </w:rPr>
        <w:t xml:space="preserve"> </w:t>
      </w:r>
      <w:r w:rsidR="00D60A69">
        <w:rPr>
          <w:rStyle w:val="Endnotenzeichen"/>
          <w:rFonts w:ascii="Cambria" w:hAnsi="Cambria" w:cs="Arial"/>
          <w:spacing w:val="-2"/>
          <w:sz w:val="20"/>
          <w:szCs w:val="20"/>
        </w:rPr>
        <w:endnoteReference w:id="611"/>
      </w:r>
      <w:r w:rsidR="00D60A69">
        <w:rPr>
          <w:rStyle w:val="Ohne"/>
          <w:rFonts w:ascii="Cambria" w:hAnsi="Cambria" w:cs="Arial"/>
          <w:spacing w:val="-2"/>
          <w:sz w:val="20"/>
          <w:szCs w:val="20"/>
        </w:rPr>
        <w:t xml:space="preserve"> </w:t>
      </w:r>
      <w:r w:rsidR="00D60A69">
        <w:rPr>
          <w:rStyle w:val="Endnotenzeichen"/>
          <w:rFonts w:ascii="Cambria" w:hAnsi="Cambria" w:cs="Arial"/>
          <w:spacing w:val="-2"/>
          <w:sz w:val="20"/>
          <w:szCs w:val="20"/>
        </w:rPr>
        <w:endnoteReference w:id="612"/>
      </w:r>
      <w:r w:rsidR="00D60A69">
        <w:rPr>
          <w:rStyle w:val="Ohne"/>
          <w:rFonts w:ascii="Cambria" w:hAnsi="Cambria" w:cs="Arial"/>
          <w:spacing w:val="-2"/>
          <w:sz w:val="20"/>
          <w:szCs w:val="20"/>
        </w:rPr>
        <w:t xml:space="preserve"> </w:t>
      </w:r>
      <w:r w:rsidR="00D60A69">
        <w:rPr>
          <w:rStyle w:val="Endnotenzeichen"/>
          <w:rFonts w:ascii="Cambria" w:hAnsi="Cambria" w:cs="Arial"/>
          <w:spacing w:val="-2"/>
          <w:sz w:val="20"/>
          <w:szCs w:val="20"/>
        </w:rPr>
        <w:endnoteReference w:id="613"/>
      </w:r>
      <w:r w:rsidR="00D60A69">
        <w:rPr>
          <w:rStyle w:val="Ohne"/>
          <w:rFonts w:ascii="Cambria" w:hAnsi="Cambria" w:cs="Arial"/>
          <w:spacing w:val="-2"/>
          <w:sz w:val="20"/>
          <w:szCs w:val="20"/>
        </w:rPr>
        <w:t xml:space="preserve"> </w:t>
      </w:r>
      <w:r w:rsidR="00D60A69">
        <w:rPr>
          <w:rStyle w:val="Endnotenzeichen"/>
          <w:rFonts w:ascii="Cambria" w:hAnsi="Cambria" w:cs="Arial"/>
          <w:spacing w:val="-2"/>
          <w:sz w:val="20"/>
          <w:szCs w:val="20"/>
        </w:rPr>
        <w:endnoteReference w:id="614"/>
      </w:r>
      <w:r w:rsidR="00D60A69">
        <w:rPr>
          <w:rStyle w:val="Ohne"/>
          <w:rFonts w:ascii="Cambria" w:hAnsi="Cambria" w:cs="Arial"/>
          <w:spacing w:val="-2"/>
          <w:sz w:val="20"/>
          <w:szCs w:val="20"/>
        </w:rPr>
        <w:t xml:space="preserve"> </w:t>
      </w:r>
      <w:r w:rsidR="00D60A69">
        <w:rPr>
          <w:rStyle w:val="Endnotenzeichen"/>
          <w:rFonts w:ascii="Cambria" w:hAnsi="Cambria" w:cs="Arial"/>
          <w:spacing w:val="-2"/>
          <w:sz w:val="20"/>
          <w:szCs w:val="20"/>
        </w:rPr>
        <w:lastRenderedPageBreak/>
        <w:endnoteReference w:id="615"/>
      </w:r>
      <w:r w:rsidR="00D60A69">
        <w:rPr>
          <w:rStyle w:val="Ohne"/>
          <w:rFonts w:ascii="Cambria" w:hAnsi="Cambria" w:cs="Arial"/>
          <w:spacing w:val="-2"/>
          <w:sz w:val="20"/>
          <w:szCs w:val="20"/>
        </w:rPr>
        <w:t xml:space="preserve"> </w:t>
      </w:r>
      <w:r w:rsidR="00D60A69">
        <w:rPr>
          <w:rStyle w:val="Endnotenzeichen"/>
          <w:rFonts w:ascii="Cambria" w:hAnsi="Cambria" w:cs="Arial"/>
          <w:spacing w:val="-2"/>
          <w:sz w:val="20"/>
          <w:szCs w:val="20"/>
        </w:rPr>
        <w:endnoteReference w:id="616"/>
      </w:r>
      <w:r w:rsidR="00D60A69">
        <w:rPr>
          <w:rStyle w:val="Ohne"/>
          <w:rFonts w:ascii="Cambria" w:hAnsi="Cambria" w:cs="Arial"/>
          <w:spacing w:val="-2"/>
          <w:sz w:val="20"/>
          <w:szCs w:val="20"/>
        </w:rPr>
        <w:t xml:space="preserve"> </w:t>
      </w:r>
      <w:r w:rsidR="00D60A69">
        <w:rPr>
          <w:rStyle w:val="Endnotenzeichen"/>
          <w:rFonts w:ascii="Cambria" w:hAnsi="Cambria" w:cs="Arial"/>
          <w:spacing w:val="-2"/>
          <w:sz w:val="20"/>
          <w:szCs w:val="20"/>
        </w:rPr>
        <w:endnoteReference w:id="617"/>
      </w:r>
      <w:r w:rsidR="00D60A69">
        <w:rPr>
          <w:rStyle w:val="Ohne"/>
          <w:rFonts w:ascii="Cambria" w:hAnsi="Cambria" w:cs="Arial"/>
          <w:spacing w:val="-2"/>
          <w:sz w:val="20"/>
          <w:szCs w:val="20"/>
        </w:rPr>
        <w:t xml:space="preserve"> </w:t>
      </w:r>
      <w:r w:rsidR="00D60A69">
        <w:rPr>
          <w:rStyle w:val="Endnotenzeichen"/>
          <w:rFonts w:ascii="Cambria" w:hAnsi="Cambria" w:cs="Arial"/>
          <w:spacing w:val="-2"/>
          <w:sz w:val="20"/>
          <w:szCs w:val="20"/>
        </w:rPr>
        <w:endnoteReference w:id="618"/>
      </w:r>
      <w:r w:rsidRPr="00207748">
        <w:rPr>
          <w:rStyle w:val="Ohne"/>
          <w:rFonts w:ascii="Cambria" w:hAnsi="Cambria" w:cs="Arial"/>
          <w:spacing w:val="-2"/>
          <w:sz w:val="20"/>
          <w:szCs w:val="20"/>
        </w:rPr>
        <w:t>Nur eine Studie wurde spezifisch an Patienten mit Sepsis durchgeführt (n = 43 Patienten)</w:t>
      </w:r>
      <w:r w:rsidR="003946F8" w:rsidRPr="00207748">
        <w:rPr>
          <w:rStyle w:val="Ohne"/>
          <w:rFonts w:ascii="Cambria" w:hAnsi="Cambria" w:cs="Arial"/>
          <w:spacing w:val="-2"/>
          <w:sz w:val="20"/>
          <w:szCs w:val="20"/>
        </w:rPr>
        <w:t>.</w:t>
      </w:r>
      <w:r w:rsidRPr="00207748">
        <w:rPr>
          <w:rStyle w:val="Ohne"/>
          <w:rFonts w:ascii="Cambria" w:eastAsia="Arial" w:hAnsi="Cambria" w:cs="Arial"/>
          <w:spacing w:val="-2"/>
          <w:sz w:val="20"/>
          <w:szCs w:val="20"/>
          <w:vertAlign w:val="superscript"/>
        </w:rPr>
        <w:endnoteReference w:id="619"/>
      </w:r>
      <w:r w:rsidRPr="00207748">
        <w:rPr>
          <w:rStyle w:val="Ohne"/>
          <w:rFonts w:ascii="Cambria" w:hAnsi="Cambria" w:cs="Arial"/>
          <w:spacing w:val="-2"/>
          <w:sz w:val="20"/>
          <w:szCs w:val="20"/>
        </w:rPr>
        <w:t xml:space="preserve"> Das Sterberisiko unterschied sich zwischen den Gruppen nicht signifikant (RR, 0,75; 95 % CI, 0,43–1,31; n = 188 Patienten). Auch die Infektionsrate war nicht signifikant reduziert (RR, 0,60; 95 % CI, 0,34–12,07; n = 122 Patienten). Die anderen systematischen Reviews fokussierten sich auf Traumapatienten (drei Studien, 126 Patienten) bzw. heterogen zusammengesetzte Populationen von Intensivpatienten (6 Studien, n = 234 Patienten). Hier war eine frühzeitige enterale Ernährung mit einer geringeren </w:t>
      </w:r>
      <w:r w:rsidR="00733E27">
        <w:rPr>
          <w:rStyle w:val="Ohne"/>
          <w:rFonts w:ascii="Cambria" w:hAnsi="Cambria" w:cs="Arial"/>
          <w:spacing w:val="-2"/>
          <w:sz w:val="20"/>
          <w:szCs w:val="20"/>
        </w:rPr>
        <w:t>Mortalität</w:t>
      </w:r>
      <w:r w:rsidRPr="00207748">
        <w:rPr>
          <w:rStyle w:val="Ohne"/>
          <w:rFonts w:ascii="Cambria" w:hAnsi="Cambria" w:cs="Arial"/>
          <w:spacing w:val="-2"/>
          <w:sz w:val="20"/>
          <w:szCs w:val="20"/>
        </w:rPr>
        <w:t xml:space="preserve"> und Pneumonierate assoziiert</w:t>
      </w:r>
      <w:r w:rsidR="003946F8" w:rsidRPr="00207748">
        <w:rPr>
          <w:rStyle w:val="Ohne"/>
          <w:rFonts w:ascii="Cambria" w:hAnsi="Cambria" w:cs="Arial"/>
          <w:spacing w:val="-2"/>
          <w:sz w:val="20"/>
          <w:szCs w:val="20"/>
        </w:rPr>
        <w:t>.</w:t>
      </w:r>
      <w:r w:rsidRPr="00207748">
        <w:rPr>
          <w:rStyle w:val="Ohne"/>
          <w:rFonts w:ascii="Cambria" w:eastAsia="Arial" w:hAnsi="Cambria" w:cs="Arial"/>
          <w:spacing w:val="-2"/>
          <w:sz w:val="20"/>
          <w:szCs w:val="20"/>
          <w:vertAlign w:val="superscript"/>
        </w:rPr>
        <w:endnoteReference w:id="620"/>
      </w:r>
      <w:r w:rsidR="00EF1A9E">
        <w:rPr>
          <w:rStyle w:val="Endnotenzeichen"/>
          <w:rFonts w:ascii="Cambria" w:hAnsi="Cambria" w:cs="Arial"/>
          <w:spacing w:val="-2"/>
          <w:sz w:val="20"/>
          <w:szCs w:val="20"/>
        </w:rPr>
        <w:endnoteReference w:id="621"/>
      </w:r>
    </w:p>
    <w:p w14:paraId="267C12AA" w14:textId="77777777" w:rsidR="00E11869" w:rsidRPr="00207748" w:rsidRDefault="00447357" w:rsidP="004454B6">
      <w:pPr>
        <w:spacing w:before="240"/>
        <w:rPr>
          <w:rStyle w:val="Ohne"/>
          <w:rFonts w:ascii="Cambria" w:eastAsia="Arial" w:hAnsi="Cambria" w:cs="Arial"/>
          <w:spacing w:val="-2"/>
          <w:sz w:val="20"/>
          <w:szCs w:val="20"/>
        </w:rPr>
      </w:pPr>
      <w:r w:rsidRPr="00207748">
        <w:rPr>
          <w:rStyle w:val="Ohne"/>
          <w:rFonts w:ascii="Cambria" w:hAnsi="Cambria" w:cs="Arial"/>
          <w:spacing w:val="-2"/>
          <w:sz w:val="20"/>
          <w:szCs w:val="20"/>
        </w:rPr>
        <w:t xml:space="preserve">Im Gegensatz zu dem ersten systematischen Review beinhalteten die letztgenannten Reviews keine Studien, in denen die enterale Ernährung im Interventionsarm sowohl frühzeitig als auch kalorienbedarfsdeckend erfolgte, und bei denen die Ernährung im Kontrollarm mindestens um 48 Stunden verzögert wurde. </w:t>
      </w:r>
    </w:p>
    <w:p w14:paraId="00E4C89F" w14:textId="5B311AB8" w:rsidR="00E11869" w:rsidRPr="00207748" w:rsidRDefault="00447357" w:rsidP="004454B6">
      <w:pPr>
        <w:spacing w:before="240"/>
        <w:rPr>
          <w:rStyle w:val="Ohne"/>
          <w:rFonts w:ascii="Cambria" w:eastAsia="Arial" w:hAnsi="Cambria" w:cs="Arial"/>
          <w:spacing w:val="-2"/>
          <w:sz w:val="20"/>
          <w:szCs w:val="20"/>
        </w:rPr>
      </w:pPr>
      <w:r w:rsidRPr="00207748">
        <w:rPr>
          <w:rStyle w:val="Ohne"/>
          <w:rFonts w:ascii="Cambria" w:hAnsi="Cambria" w:cs="Arial"/>
          <w:spacing w:val="-2"/>
          <w:sz w:val="20"/>
          <w:szCs w:val="20"/>
        </w:rPr>
        <w:t xml:space="preserve">Außerdem wurde von der SSC-Arbeitsgruppe untersucht, ob ein frühzeitig hypokalorisches Ernährungsprotokoll (Beginn der enteralen Ernährung innerhalb der ersten 48 Stunden und bis zu 70 % der kalorischen Zielwerte über mindestens 48 Stunden) einer verzögerten enteralen Ernährungsstrategie überlegen war. In den beiden Studien, die diese Kriterien erfüllten, lagen keine statistischen Unterschiede in Bezug auf die </w:t>
      </w:r>
      <w:r w:rsidR="00733E27">
        <w:rPr>
          <w:rStyle w:val="Ohne"/>
          <w:rFonts w:ascii="Cambria" w:hAnsi="Cambria" w:cs="Arial"/>
          <w:spacing w:val="-2"/>
          <w:sz w:val="20"/>
          <w:szCs w:val="20"/>
        </w:rPr>
        <w:t>Mortalität</w:t>
      </w:r>
      <w:r w:rsidRPr="00207748">
        <w:rPr>
          <w:rStyle w:val="Ohne"/>
          <w:rFonts w:ascii="Cambria" w:hAnsi="Cambria" w:cs="Arial"/>
          <w:spacing w:val="-2"/>
          <w:sz w:val="20"/>
          <w:szCs w:val="20"/>
        </w:rPr>
        <w:t xml:space="preserve"> (RR, 0,67; 95 % CI, 0,35–1,29; n = 229; niedrige Evidenzqualität) oder Infektionsrate (RR, 0,92; 95 % CI, 0,61–1,37; n = 229; sehr niedrige Evidenzqualität) zwischen den Gruppen</w:t>
      </w:r>
      <w:r w:rsidR="002B1061">
        <w:rPr>
          <w:rStyle w:val="Ohne"/>
          <w:rFonts w:ascii="Cambria" w:hAnsi="Cambria" w:cs="Arial"/>
          <w:spacing w:val="-2"/>
          <w:sz w:val="20"/>
          <w:szCs w:val="20"/>
        </w:rPr>
        <w:t xml:space="preserve"> </w:t>
      </w:r>
      <w:r w:rsidRPr="00207748">
        <w:rPr>
          <w:rStyle w:val="Ohne"/>
          <w:rFonts w:ascii="Cambria" w:hAnsi="Cambria" w:cs="Arial"/>
          <w:spacing w:val="-2"/>
          <w:sz w:val="20"/>
          <w:szCs w:val="20"/>
        </w:rPr>
        <w:t>vor</w:t>
      </w:r>
      <w:r w:rsidR="003946F8" w:rsidRPr="00207748">
        <w:rPr>
          <w:rStyle w:val="Ohne"/>
          <w:rFonts w:ascii="Cambria" w:hAnsi="Cambria" w:cs="Arial"/>
          <w:spacing w:val="-2"/>
          <w:sz w:val="20"/>
          <w:szCs w:val="20"/>
        </w:rPr>
        <w:t>.</w:t>
      </w:r>
      <w:r w:rsidRPr="00207748">
        <w:rPr>
          <w:rStyle w:val="Ohne"/>
          <w:rFonts w:ascii="Cambria" w:eastAsia="Arial" w:hAnsi="Cambria" w:cs="Arial"/>
          <w:spacing w:val="-2"/>
          <w:sz w:val="20"/>
          <w:szCs w:val="20"/>
          <w:vertAlign w:val="superscript"/>
        </w:rPr>
        <w:endnoteReference w:id="622"/>
      </w:r>
      <w:r w:rsidRPr="00207748">
        <w:rPr>
          <w:rStyle w:val="Ohne"/>
          <w:rFonts w:ascii="Cambria" w:hAnsi="Cambria" w:cs="Arial"/>
          <w:spacing w:val="-2"/>
          <w:sz w:val="20"/>
          <w:szCs w:val="20"/>
        </w:rPr>
        <w:t xml:space="preserve"> </w:t>
      </w:r>
      <w:r w:rsidR="00EF1A9E">
        <w:rPr>
          <w:rStyle w:val="Endnotenzeichen"/>
          <w:rFonts w:ascii="Cambria" w:hAnsi="Cambria" w:cs="Arial"/>
          <w:spacing w:val="-2"/>
          <w:sz w:val="20"/>
          <w:szCs w:val="20"/>
        </w:rPr>
        <w:endnoteReference w:id="623"/>
      </w:r>
      <w:r w:rsidRPr="00207748">
        <w:rPr>
          <w:rStyle w:val="Ohne"/>
          <w:rFonts w:ascii="Cambria" w:hAnsi="Cambria" w:cs="Arial"/>
          <w:spacing w:val="-2"/>
          <w:sz w:val="20"/>
          <w:szCs w:val="20"/>
        </w:rPr>
        <w:t xml:space="preserve">Da es derzeit keine Evidenz für Nachteile einer frühzeitigen enteralen Ernährung im Vergleich zu einem verzögerten Beginn gibt, wird aufgrund </w:t>
      </w:r>
      <w:r w:rsidR="00342FB3" w:rsidRPr="00207748">
        <w:rPr>
          <w:rStyle w:val="Ohne"/>
          <w:rFonts w:ascii="Cambria" w:hAnsi="Cambria" w:cs="Arial"/>
          <w:spacing w:val="-2"/>
          <w:sz w:val="20"/>
          <w:szCs w:val="20"/>
        </w:rPr>
        <w:t>der pathophysiologischen</w:t>
      </w:r>
      <w:r w:rsidRPr="00207748">
        <w:rPr>
          <w:rStyle w:val="Ohne"/>
          <w:rFonts w:ascii="Cambria" w:hAnsi="Cambria" w:cs="Arial"/>
          <w:spacing w:val="-2"/>
          <w:sz w:val="20"/>
          <w:szCs w:val="20"/>
        </w:rPr>
        <w:t xml:space="preserve"> Konzepte zum Erhalt der intestinalen Barriere eine schwache Empfehlung für einen frühzeitigen Beginn der Ernährung bei Patienten mit Sepsis ausgesprochen. Nach hämodynamischer Stabilisierung des Patienten im septischen Schock (z.B. stabile Katecholamingabe, Laktatnormalisierung) können ebenso minimale Zufuhrraten (5-10ml/h) einer enteralen Ernährung unter engmaschigen Monitoring der </w:t>
      </w:r>
      <w:r w:rsidRPr="00207748">
        <w:rPr>
          <w:rStyle w:val="Ohne"/>
          <w:rFonts w:ascii="Cambria" w:hAnsi="Cambria" w:cs="Arial"/>
          <w:spacing w:val="-2"/>
          <w:sz w:val="20"/>
          <w:szCs w:val="20"/>
        </w:rPr>
        <w:lastRenderedPageBreak/>
        <w:t>gastrointestinalen und metabolischen Toleranz verabreicht werden (Kontraindikationen s.o.).</w:t>
      </w:r>
    </w:p>
    <w:p w14:paraId="5D686A47" w14:textId="1A4C4C0E" w:rsidR="00E11869" w:rsidRPr="00D60A69" w:rsidRDefault="00447357" w:rsidP="004454B6">
      <w:pPr>
        <w:spacing w:before="240"/>
        <w:rPr>
          <w:rStyle w:val="Ohne"/>
          <w:rFonts w:ascii="Cambria" w:eastAsia="Arial" w:hAnsi="Cambria" w:cs="Arial"/>
          <w:spacing w:val="-1"/>
          <w:sz w:val="20"/>
          <w:szCs w:val="20"/>
        </w:rPr>
      </w:pPr>
      <w:r w:rsidRPr="00207748">
        <w:rPr>
          <w:rStyle w:val="Ohne"/>
          <w:rFonts w:ascii="Cambria" w:hAnsi="Cambria" w:cs="Arial"/>
          <w:spacing w:val="-1"/>
          <w:sz w:val="20"/>
          <w:szCs w:val="20"/>
        </w:rPr>
        <w:t>Biologische Grundlage für eine trophische oder hypokalorische Ernährung ist die aus der reduzierten Kalorienzufuhr potentiell resultierende Stimulation der Autophagie, die als Verteidigungs- und Reparaturmechanismus auch zu einer Reduzierung des Infektionsrisikos führen könnte</w:t>
      </w:r>
      <w:r w:rsidR="003946F8" w:rsidRPr="00207748">
        <w:rPr>
          <w:rStyle w:val="Ohne"/>
          <w:rFonts w:ascii="Cambria" w:hAnsi="Cambria" w:cs="Arial"/>
          <w:spacing w:val="-1"/>
          <w:sz w:val="20"/>
          <w:szCs w:val="20"/>
        </w:rPr>
        <w:t>.</w:t>
      </w:r>
      <w:r w:rsidR="00D60A69">
        <w:rPr>
          <w:rStyle w:val="Ohne"/>
          <w:rFonts w:ascii="Cambria" w:eastAsia="Arial" w:hAnsi="Cambria" w:cs="Arial"/>
          <w:spacing w:val="-1"/>
          <w:sz w:val="20"/>
          <w:szCs w:val="20"/>
        </w:rPr>
        <w:t xml:space="preserve"> </w:t>
      </w:r>
      <w:r w:rsidRPr="00207748">
        <w:rPr>
          <w:rStyle w:val="Ohne"/>
          <w:rFonts w:ascii="Cambria" w:hAnsi="Cambria" w:cs="Arial"/>
          <w:sz w:val="20"/>
          <w:szCs w:val="20"/>
        </w:rPr>
        <w:t xml:space="preserve">Die SSC-Arbeitsgruppe hat als trophische/hypokalorische Ernährung ein Kalorienziel von 70 % oder weniger mindestens für einen Zeitraum von 48 Stunden definiert, </w:t>
      </w:r>
      <w:r w:rsidRPr="00207748">
        <w:rPr>
          <w:rStyle w:val="Ohne"/>
          <w:rFonts w:ascii="Cambria" w:hAnsi="Cambria" w:cs="Arial"/>
          <w:spacing w:val="-2"/>
          <w:sz w:val="20"/>
          <w:szCs w:val="20"/>
        </w:rPr>
        <w:t>bevor eine weitere Steigerung erfolgt. Der systematische Review identifizierte sieben randomisierte Studien mit 2.665 untersuchten Patienten</w:t>
      </w:r>
      <w:r w:rsidR="003946F8" w:rsidRPr="00207748">
        <w:rPr>
          <w:rStyle w:val="Ohne"/>
          <w:rFonts w:ascii="Cambria" w:hAnsi="Cambria" w:cs="Arial"/>
          <w:spacing w:val="-2"/>
          <w:sz w:val="20"/>
          <w:szCs w:val="20"/>
        </w:rPr>
        <w:t>.</w:t>
      </w:r>
      <w:r w:rsidRPr="00207748">
        <w:rPr>
          <w:rStyle w:val="Ohne"/>
          <w:rFonts w:ascii="Cambria" w:eastAsia="Arial" w:hAnsi="Cambria" w:cs="Arial"/>
          <w:spacing w:val="-1"/>
          <w:sz w:val="20"/>
          <w:szCs w:val="20"/>
          <w:vertAlign w:val="superscript"/>
        </w:rPr>
        <w:endnoteReference w:id="624"/>
      </w:r>
      <w:r w:rsidRPr="00207748">
        <w:rPr>
          <w:rStyle w:val="Ohne"/>
          <w:rFonts w:ascii="Cambria" w:hAnsi="Cambria" w:cs="Arial"/>
          <w:spacing w:val="-2"/>
          <w:sz w:val="20"/>
          <w:szCs w:val="20"/>
        </w:rPr>
        <w:t xml:space="preserve"> </w:t>
      </w:r>
      <w:bookmarkStart w:id="487" w:name="_Ref30670160"/>
      <w:r w:rsidR="00D60A69">
        <w:rPr>
          <w:rStyle w:val="Endnotenzeichen"/>
          <w:rFonts w:ascii="Cambria" w:hAnsi="Cambria" w:cs="Arial"/>
          <w:spacing w:val="-2"/>
          <w:sz w:val="20"/>
          <w:szCs w:val="20"/>
        </w:rPr>
        <w:endnoteReference w:id="625"/>
      </w:r>
      <w:bookmarkEnd w:id="487"/>
      <w:r w:rsidR="00D60A69">
        <w:rPr>
          <w:rStyle w:val="Ohne"/>
          <w:rFonts w:ascii="Cambria" w:hAnsi="Cambria" w:cs="Arial"/>
          <w:spacing w:val="-2"/>
          <w:sz w:val="20"/>
          <w:szCs w:val="20"/>
        </w:rPr>
        <w:t xml:space="preserve"> </w:t>
      </w:r>
      <w:r w:rsidR="00D60A69">
        <w:rPr>
          <w:rStyle w:val="Endnotenzeichen"/>
          <w:rFonts w:ascii="Cambria" w:hAnsi="Cambria" w:cs="Arial"/>
          <w:spacing w:val="-2"/>
          <w:sz w:val="20"/>
          <w:szCs w:val="20"/>
        </w:rPr>
        <w:endnoteReference w:id="626"/>
      </w:r>
      <w:r w:rsidR="00D60A69">
        <w:rPr>
          <w:rStyle w:val="Ohne"/>
          <w:rFonts w:ascii="Cambria" w:hAnsi="Cambria" w:cs="Arial"/>
          <w:spacing w:val="-2"/>
          <w:sz w:val="20"/>
          <w:szCs w:val="20"/>
        </w:rPr>
        <w:t xml:space="preserve"> </w:t>
      </w:r>
      <w:r w:rsidR="00D60A69">
        <w:rPr>
          <w:rStyle w:val="Endnotenzeichen"/>
          <w:rFonts w:ascii="Cambria" w:hAnsi="Cambria" w:cs="Arial"/>
          <w:spacing w:val="-2"/>
          <w:sz w:val="20"/>
          <w:szCs w:val="20"/>
        </w:rPr>
        <w:endnoteReference w:id="627"/>
      </w:r>
      <w:r w:rsidR="00D60A69">
        <w:rPr>
          <w:rStyle w:val="Ohne"/>
          <w:rFonts w:ascii="Cambria" w:hAnsi="Cambria" w:cs="Arial"/>
          <w:spacing w:val="-2"/>
          <w:sz w:val="20"/>
          <w:szCs w:val="20"/>
        </w:rPr>
        <w:t xml:space="preserve"> </w:t>
      </w:r>
      <w:r w:rsidR="00D60A69">
        <w:rPr>
          <w:rStyle w:val="Endnotenzeichen"/>
          <w:rFonts w:ascii="Cambria" w:hAnsi="Cambria" w:cs="Arial"/>
          <w:spacing w:val="-2"/>
          <w:sz w:val="20"/>
          <w:szCs w:val="20"/>
        </w:rPr>
        <w:endnoteReference w:id="628"/>
      </w:r>
      <w:r w:rsidR="00D60A69">
        <w:rPr>
          <w:rStyle w:val="Ohne"/>
          <w:rFonts w:ascii="Cambria" w:hAnsi="Cambria" w:cs="Arial"/>
          <w:spacing w:val="-2"/>
          <w:sz w:val="20"/>
          <w:szCs w:val="20"/>
        </w:rPr>
        <w:t xml:space="preserve"> </w:t>
      </w:r>
      <w:r w:rsidR="00D60A69">
        <w:rPr>
          <w:rStyle w:val="Endnotenzeichen"/>
          <w:rFonts w:ascii="Cambria" w:hAnsi="Cambria" w:cs="Arial"/>
          <w:spacing w:val="-2"/>
          <w:sz w:val="20"/>
          <w:szCs w:val="20"/>
        </w:rPr>
        <w:endnoteReference w:id="629"/>
      </w:r>
      <w:r w:rsidR="00D60A69">
        <w:rPr>
          <w:rStyle w:val="Ohne"/>
          <w:rFonts w:ascii="Cambria" w:hAnsi="Cambria" w:cs="Arial"/>
          <w:spacing w:val="-2"/>
          <w:sz w:val="20"/>
          <w:szCs w:val="20"/>
        </w:rPr>
        <w:t xml:space="preserve"> </w:t>
      </w:r>
      <w:r w:rsidR="00D60A69">
        <w:rPr>
          <w:rStyle w:val="Endnotenzeichen"/>
          <w:rFonts w:ascii="Cambria" w:hAnsi="Cambria" w:cs="Arial"/>
          <w:spacing w:val="-2"/>
          <w:sz w:val="20"/>
          <w:szCs w:val="20"/>
        </w:rPr>
        <w:endnoteReference w:id="630"/>
      </w:r>
      <w:r w:rsidR="00D60A69">
        <w:rPr>
          <w:rStyle w:val="Ohne"/>
          <w:rFonts w:ascii="Cambria" w:hAnsi="Cambria" w:cs="Arial"/>
          <w:spacing w:val="-2"/>
          <w:sz w:val="20"/>
          <w:szCs w:val="20"/>
        </w:rPr>
        <w:t xml:space="preserve"> </w:t>
      </w:r>
      <w:r w:rsidR="00D60A69">
        <w:rPr>
          <w:rStyle w:val="Endnotenzeichen"/>
          <w:rFonts w:ascii="Cambria" w:hAnsi="Cambria" w:cs="Arial"/>
          <w:spacing w:val="-2"/>
          <w:sz w:val="20"/>
          <w:szCs w:val="20"/>
        </w:rPr>
        <w:endnoteReference w:id="631"/>
      </w:r>
      <w:r w:rsidRPr="00207748">
        <w:rPr>
          <w:rStyle w:val="Ohne"/>
          <w:rFonts w:ascii="Cambria" w:hAnsi="Cambria" w:cs="Arial"/>
          <w:spacing w:val="-2"/>
          <w:sz w:val="20"/>
          <w:szCs w:val="20"/>
        </w:rPr>
        <w:t>Die Patientenpopulationen umfassten heterogene Gruppen kritisch kranker Patienten. Unterernährte Patienten wurden von vier der Studien ausgeschlossen und der durchschnittliche Body-Mass-Index in den verbleibenden drei Studien lag zwischen 28 und 30</w:t>
      </w:r>
      <w:r w:rsidR="003946F8" w:rsidRPr="00207748">
        <w:rPr>
          <w:rStyle w:val="Ohne"/>
          <w:rFonts w:ascii="Cambria" w:hAnsi="Cambria" w:cs="Arial"/>
          <w:spacing w:val="-2"/>
          <w:sz w:val="20"/>
          <w:szCs w:val="20"/>
        </w:rPr>
        <w:t>.</w:t>
      </w:r>
      <w:r w:rsidRPr="00207748">
        <w:rPr>
          <w:rStyle w:val="Ohne"/>
          <w:rFonts w:ascii="Cambria" w:hAnsi="Cambria" w:cs="Arial"/>
          <w:spacing w:val="-2"/>
          <w:sz w:val="20"/>
          <w:szCs w:val="20"/>
        </w:rPr>
        <w:t xml:space="preserve"> Die Ziele für die trophische-/hypokalorische Ernährung lagen im Bereich von 10 bis 20 kcal pro Stunde bis zu 70 % des anvisierten Ziels. Die Studienintervention umfasste eine Zeitdauer von 6 bis 14 Tagen (oder den Zeitraum bis zur Entlassung von der ITS). In drei der Studien wurde zur Deckung des Proteinbedarfs 0,8–1,5 g/kg/d verabreicht</w:t>
      </w:r>
      <w:r w:rsidR="003946F8" w:rsidRPr="00207748">
        <w:rPr>
          <w:rStyle w:val="Ohne"/>
          <w:rFonts w:ascii="Cambria" w:hAnsi="Cambria" w:cs="Arial"/>
          <w:spacing w:val="-2"/>
          <w:sz w:val="20"/>
          <w:szCs w:val="20"/>
        </w:rPr>
        <w:t>.</w:t>
      </w:r>
      <w:r w:rsidRPr="00207748">
        <w:rPr>
          <w:rStyle w:val="Ohne"/>
          <w:rFonts w:ascii="Cambria" w:hAnsi="Cambria" w:cs="Arial"/>
          <w:spacing w:val="-2"/>
          <w:sz w:val="20"/>
          <w:szCs w:val="20"/>
        </w:rPr>
        <w:t xml:space="preserve"> Insgesamt bestanden zwischen den Studiengruppen keine Unterschiede in Bezug auf die Letalität (RR, 0,95; 95 % CI, 0,82–1,10; n = 2.665; hohe Evidenzqualität), die Infektionsrate (RR, 0,96; 95 % CI, 0,83– 1,12; n = 2.667; mittlere Evidenzqualität) oder die Aufenthaltsdauer auf der ITS (MD, –0,27 Tage; 95 % CI, –1,40 bis 0,86, n = 2.567; mittlere Evidenzqualität).</w:t>
      </w:r>
      <w:r w:rsidR="00D60A69">
        <w:rPr>
          <w:rStyle w:val="Ohne"/>
          <w:rFonts w:ascii="Cambria" w:eastAsia="Arial" w:hAnsi="Cambria" w:cs="Arial"/>
          <w:spacing w:val="-1"/>
          <w:sz w:val="20"/>
          <w:szCs w:val="20"/>
        </w:rPr>
        <w:t xml:space="preserve"> </w:t>
      </w:r>
      <w:r w:rsidR="00D60A69">
        <w:rPr>
          <w:rStyle w:val="Ohne"/>
          <w:rFonts w:ascii="Cambria" w:hAnsi="Cambria" w:cs="Arial"/>
          <w:spacing w:val="-2"/>
          <w:sz w:val="20"/>
          <w:szCs w:val="20"/>
        </w:rPr>
        <w:t>Eine randomisierte Studie zur hypokalorischen Ernährung</w:t>
      </w:r>
      <w:r w:rsidRPr="00207748">
        <w:rPr>
          <w:rStyle w:val="Ohne"/>
          <w:rFonts w:ascii="Cambria" w:hAnsi="Cambria" w:cs="Arial"/>
          <w:spacing w:val="-2"/>
          <w:sz w:val="20"/>
          <w:szCs w:val="20"/>
        </w:rPr>
        <w:t xml:space="preserve"> (anvisiertes Ernährungsziel 40 % – 60 % über einen Zeitraum von bis zu 14 Tagen), enthielt eine Untergruppe von 292 Sepsis-Patienten; hier wurden ebenfalls keine Unterschiede in Bezug auf den Tod nach Ablauf von 90 Tagen zwischen den Studiengruppen festgestellt (RR, 0,95; 95 % CI, 0,71–1,27; </w:t>
      </w:r>
      <w:r w:rsidRPr="00207748">
        <w:rPr>
          <w:rStyle w:val="Ohne"/>
          <w:rFonts w:ascii="Cambria" w:hAnsi="Cambria" w:cs="Arial"/>
          <w:iCs/>
          <w:spacing w:val="-2"/>
          <w:sz w:val="20"/>
          <w:szCs w:val="20"/>
        </w:rPr>
        <w:t xml:space="preserve">p </w:t>
      </w:r>
      <w:r w:rsidRPr="00207748">
        <w:rPr>
          <w:rStyle w:val="Ohne"/>
          <w:rFonts w:ascii="Cambria" w:hAnsi="Cambria" w:cs="Arial"/>
          <w:spacing w:val="-2"/>
          <w:sz w:val="20"/>
          <w:szCs w:val="20"/>
        </w:rPr>
        <w:t>= 0,82 für Interaktion)</w:t>
      </w:r>
      <w:r w:rsidR="00DE5DCA" w:rsidRPr="00207748">
        <w:rPr>
          <w:rStyle w:val="Ohne"/>
          <w:rFonts w:ascii="Cambria" w:hAnsi="Cambria" w:cs="Arial"/>
          <w:spacing w:val="-2"/>
          <w:sz w:val="20"/>
          <w:szCs w:val="20"/>
        </w:rPr>
        <w:t>.</w:t>
      </w:r>
      <w:r w:rsidR="00D60A69" w:rsidRPr="00207748">
        <w:rPr>
          <w:rStyle w:val="Ohne"/>
          <w:rFonts w:ascii="Cambria" w:hAnsi="Cambria" w:cs="Arial"/>
          <w:spacing w:val="-2"/>
          <w:sz w:val="20"/>
          <w:szCs w:val="20"/>
        </w:rPr>
        <w:t xml:space="preserve"> </w:t>
      </w:r>
      <w:r w:rsidR="00342FB3" w:rsidRPr="00207748">
        <w:rPr>
          <w:rStyle w:val="Ohne"/>
          <w:rFonts w:ascii="Cambria" w:hAnsi="Cambria" w:cs="Arial"/>
          <w:spacing w:val="-2"/>
          <w:sz w:val="20"/>
          <w:szCs w:val="20"/>
        </w:rPr>
        <w:t xml:space="preserve">Eine </w:t>
      </w:r>
      <w:r w:rsidR="00D60A69">
        <w:rPr>
          <w:rStyle w:val="Ohne"/>
          <w:rFonts w:ascii="Cambria" w:hAnsi="Cambria" w:cs="Arial"/>
          <w:spacing w:val="-2"/>
          <w:sz w:val="20"/>
          <w:szCs w:val="20"/>
        </w:rPr>
        <w:t xml:space="preserve">weitere </w:t>
      </w:r>
      <w:r w:rsidR="00342FB3" w:rsidRPr="00207748">
        <w:rPr>
          <w:rStyle w:val="Ohne"/>
          <w:rFonts w:ascii="Cambria" w:hAnsi="Cambria" w:cs="Arial"/>
          <w:spacing w:val="-2"/>
          <w:sz w:val="20"/>
          <w:szCs w:val="20"/>
        </w:rPr>
        <w:t>systematische</w:t>
      </w:r>
      <w:r w:rsidRPr="00207748">
        <w:rPr>
          <w:rStyle w:val="Ohne"/>
          <w:rFonts w:ascii="Cambria" w:hAnsi="Cambria" w:cs="Arial"/>
          <w:spacing w:val="-2"/>
          <w:sz w:val="20"/>
          <w:szCs w:val="20"/>
        </w:rPr>
        <w:t xml:space="preserve"> </w:t>
      </w:r>
      <w:r w:rsidR="00342FB3" w:rsidRPr="00207748">
        <w:rPr>
          <w:rStyle w:val="Ohne"/>
          <w:rFonts w:ascii="Cambria" w:hAnsi="Cambria" w:cs="Arial"/>
          <w:spacing w:val="-2"/>
          <w:sz w:val="20"/>
          <w:szCs w:val="20"/>
        </w:rPr>
        <w:t>Übersicht zur</w:t>
      </w:r>
      <w:r w:rsidR="00D60A69">
        <w:rPr>
          <w:rStyle w:val="Ohne"/>
          <w:rFonts w:ascii="Cambria" w:hAnsi="Cambria" w:cs="Arial"/>
          <w:spacing w:val="-2"/>
          <w:sz w:val="20"/>
          <w:szCs w:val="20"/>
        </w:rPr>
        <w:t xml:space="preserve"> normo- vs.</w:t>
      </w:r>
      <w:r w:rsidRPr="00207748">
        <w:rPr>
          <w:rStyle w:val="Ohne"/>
          <w:rFonts w:ascii="Cambria" w:hAnsi="Cambria" w:cs="Arial"/>
          <w:spacing w:val="-2"/>
          <w:sz w:val="20"/>
          <w:szCs w:val="20"/>
        </w:rPr>
        <w:t xml:space="preserve"> hypokalorischen Ernährung ergab ebenfalls zwischen den Studiengruppen keine Unterschiede in Bezug auf </w:t>
      </w:r>
      <w:r w:rsidRPr="00207748">
        <w:rPr>
          <w:rStyle w:val="Ohne"/>
          <w:rFonts w:ascii="Cambria" w:hAnsi="Cambria" w:cs="Arial"/>
          <w:spacing w:val="-2"/>
          <w:sz w:val="20"/>
          <w:szCs w:val="20"/>
        </w:rPr>
        <w:lastRenderedPageBreak/>
        <w:t>Krankenhausletalität, Infektionen, Intensivaufenthaltsdauer und beatmungsfreie Tage</w:t>
      </w:r>
      <w:r w:rsidR="00DE5DCA" w:rsidRPr="00207748">
        <w:rPr>
          <w:rStyle w:val="Ohne"/>
          <w:rFonts w:ascii="Cambria" w:hAnsi="Cambria" w:cs="Arial"/>
          <w:spacing w:val="-2"/>
          <w:sz w:val="20"/>
          <w:szCs w:val="20"/>
        </w:rPr>
        <w:t>.</w:t>
      </w:r>
      <w:r w:rsidR="00D60A69" w:rsidRPr="00D60A69">
        <w:rPr>
          <w:rStyle w:val="EndnoteRealZchn"/>
        </w:rPr>
        <w:fldChar w:fldCharType="begin"/>
      </w:r>
      <w:r w:rsidR="00D60A69" w:rsidRPr="00D60A69">
        <w:rPr>
          <w:rStyle w:val="EndnoteRealZchn"/>
        </w:rPr>
        <w:instrText xml:space="preserve"> NOTEREF _Ref30670160 \h </w:instrText>
      </w:r>
      <w:r w:rsidR="00D60A69">
        <w:rPr>
          <w:rStyle w:val="EndnoteRealZchn"/>
        </w:rPr>
        <w:instrText xml:space="preserve"> \* MERGEFORMAT </w:instrText>
      </w:r>
      <w:r w:rsidR="00D60A69" w:rsidRPr="00D60A69">
        <w:rPr>
          <w:rStyle w:val="EndnoteRealZchn"/>
        </w:rPr>
      </w:r>
      <w:r w:rsidR="00D60A69" w:rsidRPr="00D60A69">
        <w:rPr>
          <w:rStyle w:val="EndnoteRealZchn"/>
        </w:rPr>
        <w:fldChar w:fldCharType="separate"/>
      </w:r>
      <w:r w:rsidR="001A283B">
        <w:rPr>
          <w:rStyle w:val="EndnoteRealZchn"/>
        </w:rPr>
        <w:t>683</w:t>
      </w:r>
      <w:r w:rsidR="00D60A69" w:rsidRPr="00D60A69">
        <w:rPr>
          <w:rStyle w:val="EndnoteRealZchn"/>
        </w:rPr>
        <w:fldChar w:fldCharType="end"/>
      </w:r>
      <w:r w:rsidRPr="00207748">
        <w:rPr>
          <w:rStyle w:val="Ohne"/>
          <w:rFonts w:ascii="Cambria" w:hAnsi="Cambria" w:cs="Arial"/>
          <w:spacing w:val="-2"/>
          <w:sz w:val="20"/>
          <w:szCs w:val="20"/>
        </w:rPr>
        <w:t xml:space="preserve"> </w:t>
      </w:r>
    </w:p>
    <w:p w14:paraId="09C20482" w14:textId="77777777" w:rsidR="00E11869" w:rsidRPr="00207748" w:rsidRDefault="00447357" w:rsidP="004454B6">
      <w:pPr>
        <w:spacing w:before="240"/>
        <w:rPr>
          <w:rStyle w:val="Ohne"/>
          <w:rFonts w:ascii="Cambria" w:eastAsia="Arial" w:hAnsi="Cambria" w:cs="Arial"/>
          <w:spacing w:val="-2"/>
          <w:sz w:val="20"/>
          <w:szCs w:val="20"/>
        </w:rPr>
      </w:pPr>
      <w:r w:rsidRPr="00207748">
        <w:rPr>
          <w:rStyle w:val="Ohne"/>
          <w:rFonts w:ascii="Cambria" w:hAnsi="Cambria" w:cs="Arial"/>
          <w:spacing w:val="-2"/>
          <w:sz w:val="20"/>
          <w:szCs w:val="20"/>
        </w:rPr>
        <w:t xml:space="preserve">Eine Studie zur trophischen/hypokalorischen Ernährung an 525 Patienten, bei der lediglich (20 % des Kalorienziels in einem Zeitraum von bis zu 6 Tagen </w:t>
      </w:r>
      <w:r w:rsidR="00342FB3" w:rsidRPr="00207748">
        <w:rPr>
          <w:rStyle w:val="Ohne"/>
          <w:rFonts w:ascii="Cambria" w:hAnsi="Cambria" w:cs="Arial"/>
          <w:spacing w:val="-2"/>
          <w:sz w:val="20"/>
          <w:szCs w:val="20"/>
        </w:rPr>
        <w:t>verabreicht wurden</w:t>
      </w:r>
      <w:r w:rsidRPr="00207748">
        <w:rPr>
          <w:rStyle w:val="Ohne"/>
          <w:rFonts w:ascii="Cambria" w:hAnsi="Cambria" w:cs="Arial"/>
          <w:spacing w:val="-2"/>
          <w:sz w:val="20"/>
          <w:szCs w:val="20"/>
        </w:rPr>
        <w:t>, ergab keinen Unterschied in Bezug auf die Muskelstärke, die Muskelmasse und einen 6-Minuten Gehtest nach Ablauf von 6 Monaten oder einem Jahr. Bei den Patienten in der trophischen/hypokalorischen Ernährungsgruppe war jedoch die Wahrscheinlichkeit erhöht, innerhalb der ersten 12 Monate der Nachuntersuchungsphase eine Rehabilitationsbehandlung zu benötigen</w:t>
      </w:r>
      <w:r w:rsidR="00D71FFE" w:rsidRPr="00207748">
        <w:rPr>
          <w:rStyle w:val="Ohne"/>
          <w:rFonts w:ascii="Cambria" w:hAnsi="Cambria" w:cs="Arial"/>
          <w:spacing w:val="-2"/>
          <w:sz w:val="20"/>
          <w:szCs w:val="20"/>
        </w:rPr>
        <w:t>.</w:t>
      </w:r>
      <w:r w:rsidRPr="00207748">
        <w:rPr>
          <w:rStyle w:val="Ohne"/>
          <w:rFonts w:ascii="Cambria" w:eastAsia="Arial" w:hAnsi="Cambria" w:cs="Arial"/>
          <w:spacing w:val="-2"/>
          <w:sz w:val="20"/>
          <w:szCs w:val="20"/>
          <w:vertAlign w:val="superscript"/>
        </w:rPr>
        <w:endnoteReference w:id="632"/>
      </w:r>
      <w:r w:rsidRPr="00207748">
        <w:rPr>
          <w:rStyle w:val="Ohne"/>
          <w:rFonts w:ascii="Cambria" w:hAnsi="Cambria" w:cs="Arial"/>
          <w:spacing w:val="-2"/>
          <w:sz w:val="20"/>
          <w:szCs w:val="20"/>
        </w:rPr>
        <w:t xml:space="preserve"> </w:t>
      </w:r>
    </w:p>
    <w:p w14:paraId="7333931D" w14:textId="3FDAC6EB" w:rsidR="00E11869" w:rsidRPr="00207748" w:rsidRDefault="00447357" w:rsidP="004454B6">
      <w:pPr>
        <w:spacing w:before="240"/>
        <w:rPr>
          <w:rStyle w:val="Ohne"/>
          <w:rFonts w:ascii="Cambria" w:hAnsi="Cambria" w:cs="Arial"/>
          <w:spacing w:val="-2"/>
          <w:sz w:val="20"/>
          <w:szCs w:val="20"/>
        </w:rPr>
      </w:pPr>
      <w:r w:rsidRPr="00207748">
        <w:rPr>
          <w:rStyle w:val="Ohne"/>
          <w:rFonts w:ascii="Cambria" w:hAnsi="Cambria" w:cs="Arial"/>
          <w:spacing w:val="-2"/>
          <w:sz w:val="20"/>
          <w:szCs w:val="20"/>
        </w:rPr>
        <w:t>Tian et al führten eine Meta-Analyse von 8 kontrollierten Studien mit 1.895 Intensivpatienten zur Frage der Höhe der enteralen Kalorienzufuhr durch.</w:t>
      </w:r>
      <w:r w:rsidR="00264D62" w:rsidRPr="00D60A69">
        <w:rPr>
          <w:rStyle w:val="EndnoteZchn"/>
        </w:rPr>
        <w:endnoteReference w:id="633"/>
      </w:r>
      <w:r w:rsidRPr="00D60A69">
        <w:rPr>
          <w:rStyle w:val="EndnoteZchn"/>
        </w:rPr>
        <w:t xml:space="preserve"> </w:t>
      </w:r>
      <w:r w:rsidRPr="00207748">
        <w:rPr>
          <w:rStyle w:val="Ohne"/>
          <w:rFonts w:ascii="Cambria" w:hAnsi="Cambria" w:cs="Arial"/>
          <w:spacing w:val="-2"/>
          <w:sz w:val="20"/>
          <w:szCs w:val="20"/>
        </w:rPr>
        <w:t xml:space="preserve">Keine Unterschiede fanden sich zwischen einer niedrigen und hohen Energiezufuhr für die Parameter </w:t>
      </w:r>
      <w:r w:rsidR="00733E27">
        <w:rPr>
          <w:rStyle w:val="Ohne"/>
          <w:rFonts w:ascii="Cambria" w:hAnsi="Cambria" w:cs="Arial"/>
          <w:spacing w:val="-2"/>
          <w:sz w:val="20"/>
          <w:szCs w:val="20"/>
        </w:rPr>
        <w:t>Mortalität</w:t>
      </w:r>
      <w:r w:rsidRPr="00207748">
        <w:rPr>
          <w:rStyle w:val="Ohne"/>
          <w:rFonts w:ascii="Cambria" w:hAnsi="Cambria" w:cs="Arial"/>
          <w:spacing w:val="-2"/>
          <w:sz w:val="20"/>
          <w:szCs w:val="20"/>
        </w:rPr>
        <w:t>, Infektionsrate und gastrointestinale Intoleranz. In einer Subgruppe von Patienten mit niedriger Energiezufuhr von 33,3 bis 66,6 % des Energieziels zeigte sich im Vergleich zur höheren Energiezufuhr &gt;66</w:t>
      </w:r>
      <w:r w:rsidR="001A58EF" w:rsidRPr="00207748">
        <w:rPr>
          <w:rStyle w:val="Ohne"/>
          <w:rFonts w:ascii="Cambria" w:hAnsi="Cambria" w:cs="Arial"/>
          <w:spacing w:val="-2"/>
          <w:sz w:val="20"/>
          <w:szCs w:val="20"/>
        </w:rPr>
        <w:t>,</w:t>
      </w:r>
      <w:r w:rsidRPr="00207748">
        <w:rPr>
          <w:rStyle w:val="Ohne"/>
          <w:rFonts w:ascii="Cambria" w:hAnsi="Cambria" w:cs="Arial"/>
          <w:spacing w:val="-2"/>
          <w:sz w:val="20"/>
          <w:szCs w:val="20"/>
        </w:rPr>
        <w:t xml:space="preserve">6 % </w:t>
      </w:r>
      <w:r w:rsidR="00342FB3" w:rsidRPr="00207748">
        <w:rPr>
          <w:rStyle w:val="Ohne"/>
          <w:rFonts w:ascii="Cambria" w:hAnsi="Cambria" w:cs="Arial"/>
          <w:spacing w:val="-2"/>
          <w:sz w:val="20"/>
          <w:szCs w:val="20"/>
        </w:rPr>
        <w:t>eine niedrigere</w:t>
      </w:r>
      <w:r w:rsidRPr="00207748">
        <w:rPr>
          <w:rStyle w:val="Ohne"/>
          <w:rFonts w:ascii="Cambria" w:hAnsi="Cambria" w:cs="Arial"/>
          <w:spacing w:val="-2"/>
          <w:sz w:val="20"/>
          <w:szCs w:val="20"/>
        </w:rPr>
        <w:t xml:space="preserve"> </w:t>
      </w:r>
      <w:r w:rsidR="00733E27">
        <w:rPr>
          <w:rStyle w:val="Ohne"/>
          <w:rFonts w:ascii="Cambria" w:hAnsi="Cambria" w:cs="Arial"/>
          <w:spacing w:val="-2"/>
          <w:sz w:val="20"/>
          <w:szCs w:val="20"/>
        </w:rPr>
        <w:t>Mortalität</w:t>
      </w:r>
      <w:r w:rsidRPr="00207748">
        <w:rPr>
          <w:rStyle w:val="Ohne"/>
          <w:rFonts w:ascii="Cambria" w:hAnsi="Cambria" w:cs="Arial"/>
          <w:spacing w:val="-2"/>
          <w:sz w:val="20"/>
          <w:szCs w:val="20"/>
        </w:rPr>
        <w:t xml:space="preserve"> (RR 0.68; 95 %CI, 0.51-0.82; p=0.01) und gastrointestinale Intoleranz (RR 0.65; 95 % CI; 0.43-0.99; p=0.05). Hieraus wurde geschlossen, dass die hohe enterale Energiezufuhr bei Intensivpatienten ohne Mangelernährung keine Vorteile bietet und das Risiko für gastrointestinale Komplikationen erhöht</w:t>
      </w:r>
      <w:r w:rsidRPr="00BE73B8">
        <w:rPr>
          <w:rStyle w:val="Ohne"/>
          <w:rFonts w:ascii="Cambria" w:hAnsi="Cambria" w:cs="Arial"/>
          <w:spacing w:val="-2"/>
          <w:sz w:val="20"/>
          <w:szCs w:val="20"/>
        </w:rPr>
        <w:t>.</w:t>
      </w:r>
      <w:r w:rsidR="002B1061">
        <w:rPr>
          <w:rStyle w:val="Ohne"/>
          <w:rFonts w:ascii="Cambria" w:hAnsi="Cambria" w:cs="Arial"/>
          <w:spacing w:val="-2"/>
          <w:sz w:val="20"/>
          <w:szCs w:val="20"/>
        </w:rPr>
        <w:t xml:space="preserve"> </w:t>
      </w:r>
      <w:r w:rsidRPr="00207748">
        <w:rPr>
          <w:rStyle w:val="Ohne"/>
          <w:rFonts w:ascii="Cambria" w:hAnsi="Cambria" w:cs="Arial"/>
          <w:spacing w:val="-2"/>
          <w:sz w:val="20"/>
          <w:szCs w:val="20"/>
        </w:rPr>
        <w:t>Zur Frage der nahe am Kalorienziel orientierten Energiezufuhr ergab eine Meta-Analyse von zehn randomisierten Studien mit 3155 Teilnehmern keine Vorteile (RR 1.02. 95 %CI 0.81, 1.27, p=0.89)</w:t>
      </w:r>
      <w:r w:rsidR="00D71FFE" w:rsidRPr="00207748">
        <w:rPr>
          <w:rStyle w:val="Ohne"/>
          <w:rFonts w:ascii="Cambria" w:hAnsi="Cambria" w:cs="Arial"/>
          <w:spacing w:val="-2"/>
          <w:sz w:val="20"/>
          <w:szCs w:val="20"/>
        </w:rPr>
        <w:t>.</w:t>
      </w:r>
      <w:r w:rsidRPr="00D60A69">
        <w:rPr>
          <w:rStyle w:val="EndnoteRealZchn"/>
        </w:rPr>
        <w:endnoteReference w:id="634"/>
      </w:r>
    </w:p>
    <w:p w14:paraId="1C9FBFF7" w14:textId="5488578A" w:rsidR="00E11869" w:rsidRPr="00207748" w:rsidRDefault="00447357" w:rsidP="004454B6">
      <w:pPr>
        <w:spacing w:before="240"/>
        <w:rPr>
          <w:rStyle w:val="Ohne"/>
          <w:rFonts w:ascii="Cambria" w:hAnsi="Cambria" w:cs="Arial"/>
          <w:spacing w:val="-2"/>
          <w:sz w:val="20"/>
          <w:szCs w:val="20"/>
        </w:rPr>
      </w:pPr>
      <w:r w:rsidRPr="00207748">
        <w:rPr>
          <w:rStyle w:val="Ohne"/>
          <w:rFonts w:ascii="Cambria" w:hAnsi="Cambria" w:cs="Arial"/>
          <w:spacing w:val="-2"/>
          <w:sz w:val="20"/>
          <w:szCs w:val="20"/>
        </w:rPr>
        <w:t>Zusammenfassend spricht die aktuelle Evidenz mehr für eine trophisch beginnende, hypokalorische enterale Ernährung als ein frühzeitiges „Erzwingen“ einer</w:t>
      </w:r>
      <w:r w:rsidR="002B1061">
        <w:rPr>
          <w:rStyle w:val="Ohne"/>
          <w:rFonts w:ascii="Cambria" w:hAnsi="Cambria" w:cs="Arial"/>
          <w:spacing w:val="-2"/>
          <w:sz w:val="20"/>
          <w:szCs w:val="20"/>
        </w:rPr>
        <w:t xml:space="preserve"> </w:t>
      </w:r>
      <w:r w:rsidRPr="00207748">
        <w:rPr>
          <w:rStyle w:val="Ohne"/>
          <w:rFonts w:ascii="Cambria" w:hAnsi="Cambria" w:cs="Arial"/>
          <w:spacing w:val="-2"/>
          <w:sz w:val="20"/>
          <w:szCs w:val="20"/>
        </w:rPr>
        <w:t xml:space="preserve">kalorienbedarfsdeckenden Ernährung </w:t>
      </w:r>
      <w:bookmarkStart w:id="488" w:name="_Ref30666515"/>
      <w:r w:rsidRPr="00D60A69">
        <w:rPr>
          <w:rStyle w:val="EndnoteRealZchn"/>
        </w:rPr>
        <w:endnoteReference w:id="635"/>
      </w:r>
      <w:bookmarkEnd w:id="488"/>
      <w:r w:rsidRPr="00D60A69">
        <w:rPr>
          <w:rStyle w:val="EndnoteRealZchn"/>
        </w:rPr>
        <w:t xml:space="preserve"> </w:t>
      </w:r>
      <w:r w:rsidR="00D60A69" w:rsidRPr="00D60A69">
        <w:rPr>
          <w:rStyle w:val="EndnoteRealZchn"/>
        </w:rPr>
        <w:fldChar w:fldCharType="begin"/>
      </w:r>
      <w:r w:rsidR="00D60A69" w:rsidRPr="00D60A69">
        <w:rPr>
          <w:rStyle w:val="EndnoteRealZchn"/>
        </w:rPr>
        <w:instrText xml:space="preserve"> NOTEREF _Ref30664097 \h </w:instrText>
      </w:r>
      <w:r w:rsidR="00D60A69">
        <w:rPr>
          <w:rStyle w:val="EndnoteRealZchn"/>
        </w:rPr>
        <w:instrText xml:space="preserve"> \* MERGEFORMAT </w:instrText>
      </w:r>
      <w:r w:rsidR="00D60A69" w:rsidRPr="00D60A69">
        <w:rPr>
          <w:rStyle w:val="EndnoteRealZchn"/>
        </w:rPr>
      </w:r>
      <w:r w:rsidR="00D60A69" w:rsidRPr="00D60A69">
        <w:rPr>
          <w:rStyle w:val="EndnoteRealZchn"/>
        </w:rPr>
        <w:fldChar w:fldCharType="separate"/>
      </w:r>
      <w:r w:rsidR="001A283B">
        <w:rPr>
          <w:rStyle w:val="EndnoteRealZchn"/>
        </w:rPr>
        <w:t>647</w:t>
      </w:r>
      <w:r w:rsidR="00D60A69" w:rsidRPr="00D60A69">
        <w:rPr>
          <w:rStyle w:val="EndnoteRealZchn"/>
        </w:rPr>
        <w:fldChar w:fldCharType="end"/>
      </w:r>
      <w:r w:rsidRPr="00207748">
        <w:rPr>
          <w:rStyle w:val="Ohne"/>
          <w:rFonts w:ascii="Cambria" w:hAnsi="Cambria" w:cs="Arial"/>
          <w:spacing w:val="-2"/>
          <w:sz w:val="20"/>
          <w:szCs w:val="20"/>
        </w:rPr>
        <w:t xml:space="preserve"> Die enterale Kalorienzufuhr sollte insbesondere in der Akutphase der Sepsis nach individueller intestinaler und metabolischer Toleranz gesteigert werden.</w:t>
      </w:r>
    </w:p>
    <w:p w14:paraId="37942718" w14:textId="77777777" w:rsidR="00E11869" w:rsidRPr="00207748" w:rsidRDefault="00E11869" w:rsidP="004454B6">
      <w:pPr>
        <w:spacing w:after="0"/>
        <w:ind w:right="288"/>
        <w:rPr>
          <w:rStyle w:val="Ohne"/>
          <w:rFonts w:ascii="Cambria" w:eastAsia="Arial" w:hAnsi="Cambria" w:cs="Arial"/>
          <w:b/>
          <w:bCs/>
          <w:iCs/>
          <w:spacing w:val="-2"/>
          <w:sz w:val="20"/>
          <w:szCs w:val="20"/>
          <w:u w:val="single"/>
        </w:rPr>
      </w:pP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762"/>
        <w:gridCol w:w="1656"/>
        <w:gridCol w:w="807"/>
      </w:tblGrid>
      <w:tr w:rsidR="00E11869" w:rsidRPr="00207748" w14:paraId="63F9BA6F"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49AC9EAE"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T. 3a</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7E5066AD"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D800982"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117B4792" w14:textId="77777777" w:rsidTr="00182D07">
        <w:trPr>
          <w:trHeight w:val="2806"/>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72180D" w14:textId="77777777" w:rsidR="00E11869" w:rsidRPr="00B26F79" w:rsidRDefault="00447357" w:rsidP="004454B6">
            <w:pPr>
              <w:spacing w:after="0"/>
              <w:rPr>
                <w:rFonts w:ascii="Cambria" w:hAnsi="Cambria" w:cs="Arial"/>
                <w:b/>
                <w:sz w:val="20"/>
                <w:szCs w:val="20"/>
              </w:rPr>
            </w:pPr>
            <w:r w:rsidRPr="00B26F79">
              <w:rPr>
                <w:rStyle w:val="Ohne"/>
                <w:rFonts w:ascii="Cambria" w:hAnsi="Cambria" w:cs="Arial"/>
                <w:b/>
                <w:sz w:val="20"/>
                <w:szCs w:val="20"/>
              </w:rPr>
              <w:t>Expertenkonsens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1A1DB"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Wir empfehlen eine kombiniert enteral/parenterale Ernährung innerhalb der ersten 7 Tage, sofern eine zielorientierte und an die individuelle Toleranz adaptierte Steigerung der enteralen Ernährung nicht möglich ist.</w:t>
            </w:r>
            <w:r w:rsidRPr="00207748">
              <w:rPr>
                <w:rStyle w:val="Ohne"/>
                <w:rFonts w:ascii="Cambria" w:hAnsi="Cambria" w:cs="Arial"/>
                <w:b/>
                <w:bCs/>
                <w:spacing w:val="-2"/>
                <w:sz w:val="20"/>
                <w:szCs w:val="20"/>
              </w:rPr>
              <w:t xml:space="preserve"> </w:t>
            </w:r>
          </w:p>
        </w:tc>
      </w:tr>
      <w:tr w:rsidR="00E11869" w:rsidRPr="00207748" w14:paraId="437F73D5" w14:textId="77777777" w:rsidTr="00182D07">
        <w:trPr>
          <w:trHeight w:val="523"/>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41756D01"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38558"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 xml:space="preserve">Zusätzliche DSG-Leitlinienempfehlung </w:t>
            </w:r>
          </w:p>
        </w:tc>
      </w:tr>
      <w:tr w:rsidR="00E11869" w:rsidRPr="00207748" w14:paraId="00C95D5F"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B9DAE"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CD3E3"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Konsensstärke: 100 %</w:t>
            </w:r>
          </w:p>
        </w:tc>
      </w:tr>
    </w:tbl>
    <w:p w14:paraId="1E105565" w14:textId="6AE01063" w:rsidR="00E11869" w:rsidRPr="00207748" w:rsidRDefault="00E11869" w:rsidP="004454B6">
      <w:pPr>
        <w:ind w:right="288"/>
        <w:rPr>
          <w:rStyle w:val="Ohne"/>
          <w:rFonts w:ascii="Cambria" w:eastAsia="Arial" w:hAnsi="Cambria" w:cs="Arial"/>
          <w:spacing w:val="-2"/>
          <w:sz w:val="20"/>
          <w:szCs w:val="20"/>
        </w:rPr>
      </w:pP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762"/>
        <w:gridCol w:w="1660"/>
        <w:gridCol w:w="803"/>
      </w:tblGrid>
      <w:tr w:rsidR="00E11869" w:rsidRPr="00207748" w14:paraId="1BC1296F"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73A8D583"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T. 3b</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2F13E9EB"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2A01A26E"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37EBB15F" w14:textId="77777777" w:rsidTr="00182D07">
        <w:trPr>
          <w:trHeight w:val="1909"/>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5F4823" w14:textId="77777777" w:rsidR="00E11869" w:rsidRPr="00B26F79" w:rsidRDefault="00447357" w:rsidP="004454B6">
            <w:pPr>
              <w:spacing w:after="0"/>
              <w:rPr>
                <w:rFonts w:ascii="Cambria" w:hAnsi="Cambria" w:cs="Arial"/>
                <w:b/>
                <w:sz w:val="20"/>
                <w:szCs w:val="20"/>
              </w:rPr>
            </w:pPr>
            <w:r w:rsidRPr="00B26F79">
              <w:rPr>
                <w:rStyle w:val="Ohne"/>
                <w:rFonts w:ascii="Cambria" w:hAnsi="Cambria" w:cs="Arial"/>
                <w:b/>
                <w:sz w:val="20"/>
                <w:szCs w:val="20"/>
              </w:rPr>
              <w:t>Expertenkonsens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F4520"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Bei Kontraindikationen für eine enterale Ernährung empfehlen wir den frühzeitigen Einsatz einer an die inividuelle metabolische Toleranz adaptierten rein parenteralen Ernährung.</w:t>
            </w:r>
            <w:r w:rsidRPr="00207748">
              <w:rPr>
                <w:rStyle w:val="Ohne"/>
                <w:rFonts w:ascii="Cambria" w:hAnsi="Cambria" w:cs="Arial"/>
                <w:b/>
                <w:bCs/>
                <w:spacing w:val="-2"/>
                <w:sz w:val="20"/>
                <w:szCs w:val="20"/>
              </w:rPr>
              <w:t xml:space="preserve"> </w:t>
            </w:r>
          </w:p>
        </w:tc>
      </w:tr>
      <w:tr w:rsidR="00E11869" w:rsidRPr="00207748" w14:paraId="2C247623" w14:textId="77777777" w:rsidTr="00182D07">
        <w:trPr>
          <w:trHeight w:val="425"/>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68004DB2"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18ABD"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 xml:space="preserve">Zusätzliche DSG-Leitlinienempfehlung </w:t>
            </w:r>
          </w:p>
        </w:tc>
      </w:tr>
      <w:tr w:rsidR="00E11869" w:rsidRPr="00207748" w14:paraId="14687F5E"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4F1C3"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B7F89"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Konsensstärke: 100 %</w:t>
            </w:r>
          </w:p>
        </w:tc>
      </w:tr>
    </w:tbl>
    <w:p w14:paraId="07EAEF66" w14:textId="77777777" w:rsidR="00E11869" w:rsidRPr="00207748" w:rsidRDefault="00420A45" w:rsidP="004454B6">
      <w:pPr>
        <w:spacing w:before="240"/>
        <w:rPr>
          <w:rStyle w:val="Ohne"/>
          <w:rFonts w:ascii="Cambria" w:eastAsia="Arial" w:hAnsi="Cambria" w:cs="Arial"/>
          <w:spacing w:val="-1"/>
          <w:sz w:val="20"/>
          <w:szCs w:val="20"/>
        </w:rPr>
      </w:pPr>
      <w:r w:rsidRPr="00207748">
        <w:rPr>
          <w:rStyle w:val="Ohne"/>
          <w:rFonts w:ascii="Cambria" w:hAnsi="Cambria" w:cs="Arial"/>
          <w:b/>
          <w:bCs/>
          <w:sz w:val="20"/>
          <w:szCs w:val="20"/>
        </w:rPr>
        <w:t>Begründung:</w:t>
      </w:r>
      <w:r w:rsidR="00447357" w:rsidRPr="00207748">
        <w:rPr>
          <w:rStyle w:val="Ohne"/>
          <w:rFonts w:ascii="Cambria" w:hAnsi="Cambria" w:cs="Arial"/>
          <w:sz w:val="20"/>
          <w:szCs w:val="20"/>
        </w:rPr>
        <w:t xml:space="preserve"> Bei einigen Patienten mit Sepsis oder septischem Schock kann eine frühzeitige enterale Ernährung nur eingeschränkt realisierbar sein, was auf eine Dysfunktion des Gastrointestinaltrakts z.B. im Zusammenhang mit chirurgischen Eingriffen oder eine gastrointestinale Intoleranz zurückzuführen ist. Bei dieser Untergruppe, muss diskutiert werden, ob die parenterale</w:t>
      </w:r>
      <w:r w:rsidR="00447357" w:rsidRPr="00207748">
        <w:rPr>
          <w:rStyle w:val="Ohne"/>
          <w:rFonts w:ascii="Cambria" w:hAnsi="Cambria" w:cs="Arial"/>
          <w:b/>
          <w:bCs/>
          <w:iCs/>
          <w:sz w:val="20"/>
          <w:szCs w:val="20"/>
        </w:rPr>
        <w:t xml:space="preserve"> </w:t>
      </w:r>
      <w:r w:rsidR="00447357" w:rsidRPr="00207748">
        <w:rPr>
          <w:rStyle w:val="Ohne"/>
          <w:rFonts w:ascii="Cambria" w:hAnsi="Cambria" w:cs="Arial"/>
          <w:spacing w:val="-1"/>
          <w:sz w:val="20"/>
          <w:szCs w:val="20"/>
        </w:rPr>
        <w:t xml:space="preserve">Ernährung frühzeitig mit oder ohne enterale Ernährung zugeführt werden </w:t>
      </w:r>
      <w:r w:rsidR="00447357" w:rsidRPr="00207748">
        <w:rPr>
          <w:rStyle w:val="Ohne"/>
          <w:rFonts w:ascii="Cambria" w:hAnsi="Cambria" w:cs="Arial"/>
          <w:spacing w:val="-1"/>
          <w:sz w:val="20"/>
          <w:szCs w:val="20"/>
        </w:rPr>
        <w:lastRenderedPageBreak/>
        <w:t xml:space="preserve">sollte, um das Kalorienziel zu erreichen, ob ausschließlich eine trophische/hypokalorische enterale Ernährung erfolgen sollte oder ob überhaupt keine Nahrung verabreicht werden sollte, mit Ausnahme </w:t>
      </w:r>
      <w:r w:rsidR="00342FB3" w:rsidRPr="00207748">
        <w:rPr>
          <w:rStyle w:val="Ohne"/>
          <w:rFonts w:ascii="Cambria" w:hAnsi="Cambria" w:cs="Arial"/>
          <w:spacing w:val="-1"/>
          <w:sz w:val="20"/>
          <w:szCs w:val="20"/>
        </w:rPr>
        <w:t>von intravenöser Glukose</w:t>
      </w:r>
      <w:r w:rsidR="00447357" w:rsidRPr="00207748">
        <w:rPr>
          <w:rStyle w:val="Ohne"/>
          <w:rFonts w:ascii="Cambria" w:hAnsi="Cambria" w:cs="Arial"/>
          <w:spacing w:val="-1"/>
          <w:sz w:val="20"/>
          <w:szCs w:val="20"/>
        </w:rPr>
        <w:t xml:space="preserve"> zur Kalorienbereitstellung. </w:t>
      </w:r>
    </w:p>
    <w:p w14:paraId="1987C475" w14:textId="5111F6B6" w:rsidR="00E11869" w:rsidRPr="00207748" w:rsidRDefault="00447357" w:rsidP="004454B6">
      <w:pPr>
        <w:spacing w:before="240"/>
        <w:rPr>
          <w:rStyle w:val="Ohne"/>
          <w:rFonts w:ascii="Cambria" w:hAnsi="Cambria" w:cs="Arial"/>
          <w:spacing w:val="-1"/>
          <w:sz w:val="20"/>
          <w:szCs w:val="20"/>
        </w:rPr>
      </w:pPr>
      <w:r w:rsidRPr="00207748">
        <w:rPr>
          <w:rStyle w:val="Ohne"/>
          <w:rFonts w:ascii="Cambria" w:hAnsi="Cambria" w:cs="Arial"/>
          <w:spacing w:val="-1"/>
          <w:sz w:val="20"/>
          <w:szCs w:val="20"/>
        </w:rPr>
        <w:t>Um d</w:t>
      </w:r>
      <w:r w:rsidR="00D60A69">
        <w:rPr>
          <w:rStyle w:val="Ohne"/>
          <w:rFonts w:ascii="Cambria" w:hAnsi="Cambria" w:cs="Arial"/>
          <w:spacing w:val="-1"/>
          <w:sz w:val="20"/>
          <w:szCs w:val="20"/>
        </w:rPr>
        <w:t>ieser Frage nachzugehen, wurde ein systematischer SSC-</w:t>
      </w:r>
      <w:r w:rsidRPr="00207748">
        <w:rPr>
          <w:rStyle w:val="Ohne"/>
          <w:rFonts w:ascii="Cambria" w:hAnsi="Cambria" w:cs="Arial"/>
          <w:spacing w:val="-1"/>
          <w:sz w:val="20"/>
          <w:szCs w:val="20"/>
        </w:rPr>
        <w:t>Review durchgeführt, in den insgesamt vier Studien mit 6.087 Patienten einbezogen wurden</w:t>
      </w:r>
      <w:r w:rsidR="00D71FFE" w:rsidRPr="00207748">
        <w:rPr>
          <w:rStyle w:val="Ohne"/>
          <w:rFonts w:ascii="Cambria" w:hAnsi="Cambria" w:cs="Arial"/>
          <w:spacing w:val="-1"/>
          <w:sz w:val="20"/>
          <w:szCs w:val="20"/>
        </w:rPr>
        <w:t>.</w:t>
      </w:r>
      <w:r w:rsidRPr="00207748">
        <w:rPr>
          <w:rStyle w:val="Ohne"/>
          <w:rFonts w:ascii="Cambria" w:eastAsia="Arial" w:hAnsi="Cambria" w:cs="Arial"/>
          <w:spacing w:val="-1"/>
          <w:sz w:val="20"/>
          <w:szCs w:val="20"/>
          <w:vertAlign w:val="superscript"/>
        </w:rPr>
        <w:endnoteReference w:id="636"/>
      </w:r>
      <w:r w:rsidR="00D71FFE" w:rsidRPr="00207748">
        <w:rPr>
          <w:rStyle w:val="Ohne"/>
          <w:rFonts w:ascii="Cambria" w:hAnsi="Cambria" w:cs="Arial"/>
          <w:spacing w:val="-1"/>
          <w:sz w:val="20"/>
          <w:szCs w:val="20"/>
        </w:rPr>
        <w:t xml:space="preserve"> </w:t>
      </w:r>
      <w:bookmarkStart w:id="489" w:name="_Ref30664811"/>
      <w:r w:rsidRPr="00207748">
        <w:rPr>
          <w:rStyle w:val="Ohne"/>
          <w:rFonts w:ascii="Cambria" w:eastAsia="Arial" w:hAnsi="Cambria" w:cs="Arial"/>
          <w:spacing w:val="-1"/>
          <w:sz w:val="20"/>
          <w:szCs w:val="20"/>
          <w:vertAlign w:val="superscript"/>
        </w:rPr>
        <w:endnoteReference w:id="637"/>
      </w:r>
      <w:bookmarkEnd w:id="489"/>
      <w:r w:rsidRPr="00207748">
        <w:rPr>
          <w:rStyle w:val="Ohne"/>
          <w:rFonts w:ascii="Cambria" w:hAnsi="Cambria" w:cs="Arial"/>
          <w:spacing w:val="-1"/>
          <w:sz w:val="20"/>
          <w:szCs w:val="20"/>
        </w:rPr>
        <w:t xml:space="preserve"> </w:t>
      </w:r>
      <w:bookmarkStart w:id="490" w:name="_Ref30666446"/>
      <w:r w:rsidRPr="00207748">
        <w:rPr>
          <w:rStyle w:val="Ohne"/>
          <w:rFonts w:ascii="Cambria" w:eastAsia="Arial" w:hAnsi="Cambria" w:cs="Arial"/>
          <w:spacing w:val="-1"/>
          <w:sz w:val="20"/>
          <w:szCs w:val="20"/>
          <w:vertAlign w:val="superscript"/>
        </w:rPr>
        <w:endnoteReference w:id="638"/>
      </w:r>
      <w:bookmarkEnd w:id="490"/>
      <w:r w:rsidRPr="00207748">
        <w:rPr>
          <w:rStyle w:val="Ohne"/>
          <w:rFonts w:ascii="Cambria" w:hAnsi="Cambria" w:cs="Arial"/>
          <w:spacing w:val="-1"/>
          <w:sz w:val="20"/>
          <w:szCs w:val="20"/>
        </w:rPr>
        <w:t xml:space="preserve"> </w:t>
      </w:r>
      <w:r w:rsidR="00D60A69">
        <w:rPr>
          <w:rStyle w:val="Endnotenzeichen"/>
          <w:rFonts w:ascii="Cambria" w:hAnsi="Cambria" w:cs="Arial"/>
          <w:spacing w:val="-1"/>
          <w:sz w:val="20"/>
          <w:szCs w:val="20"/>
        </w:rPr>
        <w:endnoteReference w:id="639"/>
      </w:r>
      <w:r w:rsidRPr="00207748">
        <w:rPr>
          <w:rStyle w:val="Ohne"/>
          <w:rFonts w:ascii="Cambria" w:hAnsi="Cambria" w:cs="Arial"/>
          <w:spacing w:val="-1"/>
          <w:sz w:val="20"/>
          <w:szCs w:val="20"/>
        </w:rPr>
        <w:t>Zwei der einbezogenen Studien beinhalteten 98,5 % der Patienten im Rahmen des Review, und bei diesen Studien handelte es sich bei mehr als 65 % der Patienten um chirurgische, kritisch erkrankte Patienten</w:t>
      </w:r>
      <w:r w:rsidR="00D71FFE" w:rsidRPr="00207748">
        <w:rPr>
          <w:rStyle w:val="Ohne"/>
          <w:rFonts w:ascii="Cambria" w:hAnsi="Cambria" w:cs="Arial"/>
          <w:spacing w:val="-1"/>
          <w:sz w:val="20"/>
          <w:szCs w:val="20"/>
        </w:rPr>
        <w:t>.</w:t>
      </w:r>
      <w:r w:rsidR="00D60A69">
        <w:rPr>
          <w:rStyle w:val="Ohne"/>
          <w:rFonts w:ascii="Cambria" w:eastAsia="Arial" w:hAnsi="Cambria" w:cs="Arial"/>
          <w:spacing w:val="-1"/>
          <w:sz w:val="20"/>
          <w:szCs w:val="20"/>
          <w:vertAlign w:val="superscript"/>
        </w:rPr>
        <w:t xml:space="preserve"> </w:t>
      </w:r>
      <w:r w:rsidR="00D60A69">
        <w:rPr>
          <w:rStyle w:val="Ohne"/>
          <w:rFonts w:ascii="Cambria" w:eastAsia="Arial" w:hAnsi="Cambria" w:cs="Arial"/>
          <w:spacing w:val="-1"/>
          <w:sz w:val="20"/>
          <w:szCs w:val="20"/>
          <w:vertAlign w:val="superscript"/>
        </w:rPr>
        <w:fldChar w:fldCharType="begin"/>
      </w:r>
      <w:r w:rsidR="00D60A69">
        <w:rPr>
          <w:rStyle w:val="Ohne"/>
          <w:rFonts w:ascii="Cambria" w:eastAsia="Arial" w:hAnsi="Cambria" w:cs="Arial"/>
          <w:spacing w:val="-1"/>
          <w:sz w:val="20"/>
          <w:szCs w:val="20"/>
          <w:vertAlign w:val="superscript"/>
        </w:rPr>
        <w:instrText xml:space="preserve"> NOTEREF _Ref30664811 \h </w:instrText>
      </w:r>
      <w:r w:rsidR="00D60A69">
        <w:rPr>
          <w:rStyle w:val="Ohne"/>
          <w:rFonts w:ascii="Cambria" w:eastAsia="Arial" w:hAnsi="Cambria" w:cs="Arial"/>
          <w:spacing w:val="-1"/>
          <w:sz w:val="20"/>
          <w:szCs w:val="20"/>
          <w:vertAlign w:val="superscript"/>
        </w:rPr>
      </w:r>
      <w:r w:rsidR="00D60A69">
        <w:rPr>
          <w:rStyle w:val="Ohne"/>
          <w:rFonts w:ascii="Cambria" w:eastAsia="Arial" w:hAnsi="Cambria" w:cs="Arial"/>
          <w:spacing w:val="-1"/>
          <w:sz w:val="20"/>
          <w:szCs w:val="20"/>
          <w:vertAlign w:val="superscript"/>
        </w:rPr>
        <w:fldChar w:fldCharType="separate"/>
      </w:r>
      <w:r w:rsidR="001A283B">
        <w:rPr>
          <w:rStyle w:val="Ohne"/>
          <w:rFonts w:ascii="Cambria" w:eastAsia="Arial" w:hAnsi="Cambria" w:cs="Arial"/>
          <w:spacing w:val="-1"/>
          <w:sz w:val="20"/>
          <w:szCs w:val="20"/>
          <w:vertAlign w:val="superscript"/>
        </w:rPr>
        <w:t>695</w:t>
      </w:r>
      <w:r w:rsidR="00D60A69">
        <w:rPr>
          <w:rStyle w:val="Ohne"/>
          <w:rFonts w:ascii="Cambria" w:eastAsia="Arial" w:hAnsi="Cambria" w:cs="Arial"/>
          <w:spacing w:val="-1"/>
          <w:sz w:val="20"/>
          <w:szCs w:val="20"/>
          <w:vertAlign w:val="superscript"/>
        </w:rPr>
        <w:fldChar w:fldCharType="end"/>
      </w:r>
      <w:r w:rsidR="00D60A69">
        <w:rPr>
          <w:rStyle w:val="Ohne"/>
          <w:rFonts w:ascii="Cambria" w:eastAsia="Arial" w:hAnsi="Cambria" w:cs="Arial"/>
          <w:spacing w:val="-1"/>
          <w:sz w:val="20"/>
          <w:szCs w:val="20"/>
          <w:vertAlign w:val="superscript"/>
        </w:rPr>
        <w:t xml:space="preserve"> </w:t>
      </w:r>
      <w:r w:rsidR="00D60A69">
        <w:rPr>
          <w:rStyle w:val="Ohne"/>
          <w:rFonts w:ascii="Cambria" w:eastAsia="Arial" w:hAnsi="Cambria" w:cs="Arial"/>
          <w:spacing w:val="-1"/>
          <w:sz w:val="20"/>
          <w:szCs w:val="20"/>
          <w:vertAlign w:val="superscript"/>
        </w:rPr>
        <w:fldChar w:fldCharType="begin"/>
      </w:r>
      <w:r w:rsidR="00D60A69">
        <w:rPr>
          <w:rStyle w:val="Ohne"/>
          <w:rFonts w:ascii="Cambria" w:eastAsia="Arial" w:hAnsi="Cambria" w:cs="Arial"/>
          <w:spacing w:val="-1"/>
          <w:sz w:val="20"/>
          <w:szCs w:val="20"/>
          <w:vertAlign w:val="superscript"/>
        </w:rPr>
        <w:instrText xml:space="preserve"> NOTEREF _Ref30666276 \h </w:instrText>
      </w:r>
      <w:r w:rsidR="00D60A69">
        <w:rPr>
          <w:rStyle w:val="Ohne"/>
          <w:rFonts w:ascii="Cambria" w:eastAsia="Arial" w:hAnsi="Cambria" w:cs="Arial"/>
          <w:spacing w:val="-1"/>
          <w:sz w:val="20"/>
          <w:szCs w:val="20"/>
          <w:vertAlign w:val="superscript"/>
        </w:rPr>
      </w:r>
      <w:r w:rsidR="00D60A69">
        <w:rPr>
          <w:rStyle w:val="Ohne"/>
          <w:rFonts w:ascii="Cambria" w:eastAsia="Arial" w:hAnsi="Cambria" w:cs="Arial"/>
          <w:spacing w:val="-1"/>
          <w:sz w:val="20"/>
          <w:szCs w:val="20"/>
          <w:vertAlign w:val="superscript"/>
        </w:rPr>
        <w:fldChar w:fldCharType="separate"/>
      </w:r>
      <w:r w:rsidR="001A283B">
        <w:rPr>
          <w:rStyle w:val="Ohne"/>
          <w:rFonts w:ascii="Cambria" w:eastAsia="Arial" w:hAnsi="Cambria" w:cs="Arial"/>
          <w:spacing w:val="-1"/>
          <w:sz w:val="20"/>
          <w:szCs w:val="20"/>
          <w:vertAlign w:val="superscript"/>
        </w:rPr>
        <w:t>698</w:t>
      </w:r>
      <w:r w:rsidR="00D60A69">
        <w:rPr>
          <w:rStyle w:val="Ohne"/>
          <w:rFonts w:ascii="Cambria" w:eastAsia="Arial" w:hAnsi="Cambria" w:cs="Arial"/>
          <w:spacing w:val="-1"/>
          <w:sz w:val="20"/>
          <w:szCs w:val="20"/>
          <w:vertAlign w:val="superscript"/>
        </w:rPr>
        <w:fldChar w:fldCharType="end"/>
      </w:r>
      <w:r w:rsidR="00D60A69">
        <w:rPr>
          <w:rStyle w:val="Ohne"/>
          <w:rFonts w:ascii="Cambria" w:eastAsia="Arial" w:hAnsi="Cambria" w:cs="Arial"/>
          <w:spacing w:val="-1"/>
          <w:sz w:val="20"/>
          <w:szCs w:val="20"/>
          <w:vertAlign w:val="superscript"/>
        </w:rPr>
        <w:t xml:space="preserve"> </w:t>
      </w:r>
      <w:r w:rsidRPr="00207748">
        <w:rPr>
          <w:rStyle w:val="Ohne"/>
          <w:rFonts w:ascii="Cambria" w:hAnsi="Cambria" w:cs="Arial"/>
          <w:spacing w:val="-1"/>
          <w:sz w:val="20"/>
          <w:szCs w:val="20"/>
        </w:rPr>
        <w:t xml:space="preserve">Nur 20 % der Patienten waren als </w:t>
      </w:r>
      <w:r w:rsidR="00342FB3" w:rsidRPr="00207748">
        <w:rPr>
          <w:rStyle w:val="Ohne"/>
          <w:rFonts w:ascii="Cambria" w:hAnsi="Cambria" w:cs="Arial"/>
          <w:spacing w:val="-1"/>
          <w:sz w:val="20"/>
          <w:szCs w:val="20"/>
        </w:rPr>
        <w:t>septisch zu</w:t>
      </w:r>
      <w:r w:rsidRPr="00207748">
        <w:rPr>
          <w:rStyle w:val="Ohne"/>
          <w:rFonts w:ascii="Cambria" w:hAnsi="Cambria" w:cs="Arial"/>
          <w:spacing w:val="-1"/>
          <w:sz w:val="20"/>
          <w:szCs w:val="20"/>
        </w:rPr>
        <w:t xml:space="preserve"> betrachten. Unterernährte Patienten wurden entweder ausgeschlossen oder repräsentierten einen sehr </w:t>
      </w:r>
      <w:r w:rsidR="00D60A69">
        <w:rPr>
          <w:rStyle w:val="Ohne"/>
          <w:rFonts w:ascii="Cambria" w:hAnsi="Cambria" w:cs="Arial"/>
          <w:spacing w:val="-1"/>
          <w:sz w:val="20"/>
          <w:szCs w:val="20"/>
        </w:rPr>
        <w:t>kleinen Anteil (n = 46, 3,3 %).</w:t>
      </w:r>
      <w:r w:rsidRPr="00207748">
        <w:rPr>
          <w:rStyle w:val="Ohne"/>
          <w:rFonts w:ascii="Cambria" w:hAnsi="Cambria" w:cs="Arial"/>
          <w:spacing w:val="-1"/>
          <w:sz w:val="20"/>
          <w:szCs w:val="20"/>
        </w:rPr>
        <w:t xml:space="preserve"> In drei der Studien wurde eine parenterale Ernährung angesetzt, wenn die enterale Ernährung nach den ersten 7 Behandlungstagen nicht vertragen wurde</w:t>
      </w:r>
      <w:r w:rsidR="00264D62" w:rsidRPr="00207748">
        <w:rPr>
          <w:rStyle w:val="Ohne"/>
          <w:rFonts w:ascii="Cambria" w:hAnsi="Cambria" w:cs="Arial"/>
          <w:spacing w:val="-1"/>
          <w:sz w:val="20"/>
          <w:szCs w:val="20"/>
        </w:rPr>
        <w:t>.</w:t>
      </w:r>
      <w:r w:rsidRPr="00207748">
        <w:rPr>
          <w:rStyle w:val="Ohne"/>
          <w:rFonts w:ascii="Cambria" w:hAnsi="Cambria" w:cs="Arial"/>
          <w:spacing w:val="-1"/>
          <w:sz w:val="20"/>
          <w:szCs w:val="20"/>
        </w:rPr>
        <w:t xml:space="preserve"> </w:t>
      </w:r>
      <w:r w:rsidR="00D60A69">
        <w:rPr>
          <w:rStyle w:val="Ohne"/>
          <w:rFonts w:ascii="Cambria" w:eastAsia="Arial" w:hAnsi="Cambria" w:cs="Arial"/>
          <w:spacing w:val="-1"/>
          <w:sz w:val="20"/>
          <w:szCs w:val="20"/>
          <w:vertAlign w:val="superscript"/>
        </w:rPr>
        <w:fldChar w:fldCharType="begin"/>
      </w:r>
      <w:r w:rsidR="00D60A69">
        <w:rPr>
          <w:rStyle w:val="Ohne"/>
          <w:rFonts w:ascii="Cambria" w:eastAsia="Arial" w:hAnsi="Cambria" w:cs="Arial"/>
          <w:spacing w:val="-1"/>
          <w:sz w:val="20"/>
          <w:szCs w:val="20"/>
          <w:vertAlign w:val="superscript"/>
        </w:rPr>
        <w:instrText xml:space="preserve"> NOTEREF _Ref30664811 \h </w:instrText>
      </w:r>
      <w:r w:rsidR="00D60A69">
        <w:rPr>
          <w:rStyle w:val="Ohne"/>
          <w:rFonts w:ascii="Cambria" w:eastAsia="Arial" w:hAnsi="Cambria" w:cs="Arial"/>
          <w:spacing w:val="-1"/>
          <w:sz w:val="20"/>
          <w:szCs w:val="20"/>
          <w:vertAlign w:val="superscript"/>
        </w:rPr>
      </w:r>
      <w:r w:rsidR="00D60A69">
        <w:rPr>
          <w:rStyle w:val="Ohne"/>
          <w:rFonts w:ascii="Cambria" w:eastAsia="Arial" w:hAnsi="Cambria" w:cs="Arial"/>
          <w:spacing w:val="-1"/>
          <w:sz w:val="20"/>
          <w:szCs w:val="20"/>
          <w:vertAlign w:val="superscript"/>
        </w:rPr>
        <w:fldChar w:fldCharType="separate"/>
      </w:r>
      <w:r w:rsidR="001A283B">
        <w:rPr>
          <w:rStyle w:val="Ohne"/>
          <w:rFonts w:ascii="Cambria" w:eastAsia="Arial" w:hAnsi="Cambria" w:cs="Arial"/>
          <w:spacing w:val="-1"/>
          <w:sz w:val="20"/>
          <w:szCs w:val="20"/>
          <w:vertAlign w:val="superscript"/>
        </w:rPr>
        <w:t>695</w:t>
      </w:r>
      <w:r w:rsidR="00D60A69">
        <w:rPr>
          <w:rStyle w:val="Ohne"/>
          <w:rFonts w:ascii="Cambria" w:eastAsia="Arial" w:hAnsi="Cambria" w:cs="Arial"/>
          <w:spacing w:val="-1"/>
          <w:sz w:val="20"/>
          <w:szCs w:val="20"/>
          <w:vertAlign w:val="superscript"/>
        </w:rPr>
        <w:fldChar w:fldCharType="end"/>
      </w:r>
      <w:r w:rsidR="00D60A69">
        <w:rPr>
          <w:rStyle w:val="Ohne"/>
          <w:rFonts w:ascii="Cambria" w:eastAsia="Arial" w:hAnsi="Cambria" w:cs="Arial"/>
          <w:spacing w:val="-1"/>
          <w:sz w:val="20"/>
          <w:szCs w:val="20"/>
          <w:vertAlign w:val="superscript"/>
        </w:rPr>
        <w:t xml:space="preserve"> </w:t>
      </w:r>
      <w:r w:rsidR="00D60A69">
        <w:rPr>
          <w:rStyle w:val="Ohne"/>
          <w:rFonts w:ascii="Cambria" w:eastAsia="Arial" w:hAnsi="Cambria" w:cs="Arial"/>
          <w:spacing w:val="-1"/>
          <w:sz w:val="20"/>
          <w:szCs w:val="20"/>
          <w:vertAlign w:val="superscript"/>
        </w:rPr>
        <w:fldChar w:fldCharType="begin"/>
      </w:r>
      <w:r w:rsidR="00D60A69">
        <w:rPr>
          <w:rStyle w:val="Ohne"/>
          <w:rFonts w:ascii="Cambria" w:eastAsia="Arial" w:hAnsi="Cambria" w:cs="Arial"/>
          <w:spacing w:val="-1"/>
          <w:sz w:val="20"/>
          <w:szCs w:val="20"/>
          <w:vertAlign w:val="superscript"/>
        </w:rPr>
        <w:instrText xml:space="preserve"> NOTEREF _Ref30666446 \h </w:instrText>
      </w:r>
      <w:r w:rsidR="00D60A69">
        <w:rPr>
          <w:rStyle w:val="Ohne"/>
          <w:rFonts w:ascii="Cambria" w:eastAsia="Arial" w:hAnsi="Cambria" w:cs="Arial"/>
          <w:spacing w:val="-1"/>
          <w:sz w:val="20"/>
          <w:szCs w:val="20"/>
          <w:vertAlign w:val="superscript"/>
        </w:rPr>
      </w:r>
      <w:r w:rsidR="00D60A69">
        <w:rPr>
          <w:rStyle w:val="Ohne"/>
          <w:rFonts w:ascii="Cambria" w:eastAsia="Arial" w:hAnsi="Cambria" w:cs="Arial"/>
          <w:spacing w:val="-1"/>
          <w:sz w:val="20"/>
          <w:szCs w:val="20"/>
          <w:vertAlign w:val="superscript"/>
        </w:rPr>
        <w:fldChar w:fldCharType="separate"/>
      </w:r>
      <w:r w:rsidR="001A283B">
        <w:rPr>
          <w:rStyle w:val="Ohne"/>
          <w:rFonts w:ascii="Cambria" w:eastAsia="Arial" w:hAnsi="Cambria" w:cs="Arial"/>
          <w:spacing w:val="-1"/>
          <w:sz w:val="20"/>
          <w:szCs w:val="20"/>
          <w:vertAlign w:val="superscript"/>
        </w:rPr>
        <w:t>696</w:t>
      </w:r>
      <w:r w:rsidR="00D60A69">
        <w:rPr>
          <w:rStyle w:val="Ohne"/>
          <w:rFonts w:ascii="Cambria" w:eastAsia="Arial" w:hAnsi="Cambria" w:cs="Arial"/>
          <w:spacing w:val="-1"/>
          <w:sz w:val="20"/>
          <w:szCs w:val="20"/>
          <w:vertAlign w:val="superscript"/>
        </w:rPr>
        <w:fldChar w:fldCharType="end"/>
      </w:r>
      <w:r w:rsidR="00264D62" w:rsidRPr="00207748">
        <w:rPr>
          <w:rStyle w:val="Ohne"/>
          <w:rFonts w:ascii="Cambria" w:hAnsi="Cambria" w:cs="Arial"/>
          <w:spacing w:val="-1"/>
          <w:sz w:val="20"/>
          <w:szCs w:val="20"/>
        </w:rPr>
        <w:t xml:space="preserve"> </w:t>
      </w:r>
      <w:bookmarkStart w:id="491" w:name="_Ref30666276"/>
      <w:r w:rsidRPr="00207748">
        <w:rPr>
          <w:rStyle w:val="Ohne"/>
          <w:rFonts w:ascii="Cambria" w:eastAsia="Arial" w:hAnsi="Cambria" w:cs="Arial"/>
          <w:spacing w:val="-1"/>
          <w:sz w:val="20"/>
          <w:szCs w:val="20"/>
          <w:vertAlign w:val="superscript"/>
        </w:rPr>
        <w:endnoteReference w:id="640"/>
      </w:r>
      <w:bookmarkEnd w:id="491"/>
      <w:r w:rsidRPr="00207748">
        <w:rPr>
          <w:rStyle w:val="Ohne"/>
          <w:rFonts w:ascii="Cambria" w:hAnsi="Cambria" w:cs="Arial"/>
          <w:spacing w:val="-1"/>
          <w:sz w:val="20"/>
          <w:szCs w:val="20"/>
        </w:rPr>
        <w:t xml:space="preserve"> Der SSC Review ergab, dass eine frühzeitige parenterale Ernährung mit oder ohne Supplementierung durch eine enterale Ernährung nicht mit einer reduzierten Mortalität verbunden war (RR, 0,96; 95 % CI, 0,79–1,16; n = 6.087; mittlere Evidenzqualität), sondern mit einem erhöhten Infektionsrisiko (RR, 1,12; 95 % CI, 1,02–1,24; 3 Studien; n = 6.054; mittlere Evidenzqualität). Die Ergebnisse in Bezug auf die Beatmungsdauer wurden divergierend in den zwei großen Studien berichtet, wobei eine Studie einen Anstieg suggerierte </w:t>
      </w:r>
      <w:r w:rsidR="00D60A69" w:rsidRPr="00E15D93">
        <w:rPr>
          <w:rStyle w:val="EndnoteRealZchn"/>
        </w:rPr>
        <w:fldChar w:fldCharType="begin"/>
      </w:r>
      <w:r w:rsidR="00D60A69" w:rsidRPr="00E15D93">
        <w:rPr>
          <w:rStyle w:val="EndnoteRealZchn"/>
        </w:rPr>
        <w:instrText xml:space="preserve"> NOTEREF _Ref30666276 \h </w:instrText>
      </w:r>
      <w:r w:rsidR="00E15D93">
        <w:rPr>
          <w:rStyle w:val="EndnoteRealZchn"/>
        </w:rPr>
        <w:instrText xml:space="preserve"> \* MERGEFORMAT </w:instrText>
      </w:r>
      <w:r w:rsidR="00D60A69" w:rsidRPr="00E15D93">
        <w:rPr>
          <w:rStyle w:val="EndnoteRealZchn"/>
        </w:rPr>
      </w:r>
      <w:r w:rsidR="00D60A69" w:rsidRPr="00E15D93">
        <w:rPr>
          <w:rStyle w:val="EndnoteRealZchn"/>
        </w:rPr>
        <w:fldChar w:fldCharType="separate"/>
      </w:r>
      <w:r w:rsidR="001A283B" w:rsidRPr="00E15D93">
        <w:rPr>
          <w:rStyle w:val="EndnoteRealZchn"/>
        </w:rPr>
        <w:t>698</w:t>
      </w:r>
      <w:r w:rsidR="00D60A69" w:rsidRPr="00E15D93">
        <w:rPr>
          <w:rStyle w:val="EndnoteRealZchn"/>
        </w:rPr>
        <w:fldChar w:fldCharType="end"/>
      </w:r>
      <w:r w:rsidRPr="00207748">
        <w:rPr>
          <w:rStyle w:val="Ohne"/>
          <w:rFonts w:ascii="Cambria" w:hAnsi="Cambria" w:cs="Arial"/>
          <w:spacing w:val="-1"/>
          <w:sz w:val="20"/>
          <w:szCs w:val="20"/>
        </w:rPr>
        <w:t xml:space="preserve"> und die andere einen Rückgang der Beatmungszeit im Zusammenhang mit einer frühzeitigen parenteralen Ernährung</w:t>
      </w:r>
      <w:r w:rsidR="002B1061">
        <w:rPr>
          <w:rStyle w:val="Ohne"/>
          <w:rFonts w:ascii="Cambria" w:hAnsi="Cambria" w:cs="Arial"/>
          <w:spacing w:val="-1"/>
          <w:sz w:val="20"/>
          <w:szCs w:val="20"/>
        </w:rPr>
        <w:t xml:space="preserve"> </w:t>
      </w:r>
      <w:r w:rsidR="00410B2E">
        <w:rPr>
          <w:rStyle w:val="Ohne"/>
          <w:rFonts w:ascii="Cambria" w:hAnsi="Cambria" w:cs="Arial"/>
          <w:spacing w:val="-1"/>
          <w:sz w:val="20"/>
          <w:szCs w:val="20"/>
        </w:rPr>
        <w:t>berichtete</w:t>
      </w:r>
      <w:r w:rsidRPr="00207748">
        <w:rPr>
          <w:rStyle w:val="Ohne"/>
          <w:rFonts w:ascii="Cambria" w:hAnsi="Cambria" w:cs="Arial"/>
          <w:spacing w:val="-1"/>
          <w:sz w:val="20"/>
          <w:szCs w:val="20"/>
        </w:rPr>
        <w:t>.</w:t>
      </w:r>
      <w:r w:rsidR="00E15D93" w:rsidRPr="00E15D93">
        <w:rPr>
          <w:rStyle w:val="EndnoteRealZchn"/>
        </w:rPr>
        <w:t xml:space="preserve"> </w:t>
      </w:r>
      <w:r w:rsidR="00E15D93" w:rsidRPr="00D60A69">
        <w:rPr>
          <w:rStyle w:val="EndnoteRealZchn"/>
        </w:rPr>
        <w:fldChar w:fldCharType="begin"/>
      </w:r>
      <w:r w:rsidR="00E15D93" w:rsidRPr="00D60A69">
        <w:rPr>
          <w:rStyle w:val="EndnoteRealZchn"/>
        </w:rPr>
        <w:instrText xml:space="preserve"> NOTEREF _Ref30664811 \h </w:instrText>
      </w:r>
      <w:r w:rsidR="00E15D93">
        <w:rPr>
          <w:rStyle w:val="EndnoteRealZchn"/>
        </w:rPr>
        <w:instrText xml:space="preserve"> \* MERGEFORMAT </w:instrText>
      </w:r>
      <w:r w:rsidR="00E15D93" w:rsidRPr="00D60A69">
        <w:rPr>
          <w:rStyle w:val="EndnoteRealZchn"/>
        </w:rPr>
      </w:r>
      <w:r w:rsidR="00E15D93" w:rsidRPr="00D60A69">
        <w:rPr>
          <w:rStyle w:val="EndnoteRealZchn"/>
        </w:rPr>
        <w:fldChar w:fldCharType="separate"/>
      </w:r>
      <w:r w:rsidR="00E15D93">
        <w:rPr>
          <w:rStyle w:val="EndnoteRealZchn"/>
        </w:rPr>
        <w:t>695</w:t>
      </w:r>
      <w:r w:rsidR="00E15D93" w:rsidRPr="00D60A69">
        <w:rPr>
          <w:rStyle w:val="EndnoteRealZchn"/>
        </w:rPr>
        <w:fldChar w:fldCharType="end"/>
      </w:r>
      <w:r w:rsidRPr="00207748">
        <w:rPr>
          <w:rStyle w:val="Ohne"/>
          <w:rFonts w:ascii="Cambria" w:hAnsi="Cambria" w:cs="Arial"/>
          <w:spacing w:val="-1"/>
          <w:sz w:val="20"/>
          <w:szCs w:val="20"/>
        </w:rPr>
        <w:t xml:space="preserve"> Eine Studie berichtete auch bei Anwendung des Subjective Global Assessment Score über eine geringere Rate an Muskelatrophie und Fettverlust in der Gruppe mit frühzeitiger parenteraler Ernährung. </w:t>
      </w:r>
      <w:r w:rsidR="00D60A69" w:rsidRPr="00D60A69">
        <w:rPr>
          <w:rStyle w:val="EndnoteRealZchn"/>
        </w:rPr>
        <w:fldChar w:fldCharType="begin"/>
      </w:r>
      <w:r w:rsidR="00D60A69" w:rsidRPr="00D60A69">
        <w:rPr>
          <w:rStyle w:val="EndnoteRealZchn"/>
        </w:rPr>
        <w:instrText xml:space="preserve"> NOTEREF _Ref30664811 \h </w:instrText>
      </w:r>
      <w:r w:rsidR="00D60A69">
        <w:rPr>
          <w:rStyle w:val="EndnoteRealZchn"/>
        </w:rPr>
        <w:instrText xml:space="preserve"> \* MERGEFORMAT </w:instrText>
      </w:r>
      <w:r w:rsidR="00D60A69" w:rsidRPr="00D60A69">
        <w:rPr>
          <w:rStyle w:val="EndnoteRealZchn"/>
        </w:rPr>
      </w:r>
      <w:r w:rsidR="00D60A69" w:rsidRPr="00D60A69">
        <w:rPr>
          <w:rStyle w:val="EndnoteRealZchn"/>
        </w:rPr>
        <w:fldChar w:fldCharType="separate"/>
      </w:r>
      <w:r w:rsidR="001A283B">
        <w:rPr>
          <w:rStyle w:val="EndnoteRealZchn"/>
        </w:rPr>
        <w:t>695</w:t>
      </w:r>
      <w:r w:rsidR="00D60A69" w:rsidRPr="00D60A69">
        <w:rPr>
          <w:rStyle w:val="EndnoteRealZchn"/>
        </w:rPr>
        <w:fldChar w:fldCharType="end"/>
      </w:r>
      <w:r w:rsidR="00D60A69" w:rsidRPr="00D60A69">
        <w:rPr>
          <w:rStyle w:val="EndnoteRealZchn"/>
        </w:rPr>
        <w:t xml:space="preserve"> </w:t>
      </w:r>
      <w:r w:rsidRPr="00207748">
        <w:rPr>
          <w:rStyle w:val="Ohne"/>
          <w:rFonts w:ascii="Cambria" w:hAnsi="Cambria" w:cs="Arial"/>
          <w:spacing w:val="-1"/>
          <w:sz w:val="20"/>
          <w:szCs w:val="20"/>
        </w:rPr>
        <w:t>Die Erhöhung der Energiedichte einer standardenteralen Ernährung von 1 auf 1,5kcal/ml hat in einer großen randomisierten Studie bei mechanisch beatmeten Intensivpatienten keine Vorteile bezüglich des Outcome ergeben</w:t>
      </w:r>
      <w:r w:rsidR="00264D62" w:rsidRPr="00207748">
        <w:rPr>
          <w:rStyle w:val="Ohne"/>
          <w:rFonts w:ascii="Cambria" w:hAnsi="Cambria" w:cs="Arial"/>
          <w:spacing w:val="-1"/>
          <w:sz w:val="20"/>
          <w:szCs w:val="20"/>
        </w:rPr>
        <w:t>.</w:t>
      </w:r>
      <w:r w:rsidRPr="00D60A69">
        <w:rPr>
          <w:rStyle w:val="EndnoteRealZchn"/>
        </w:rPr>
        <w:endnoteReference w:id="641"/>
      </w:r>
      <w:r w:rsidRPr="00D60A69">
        <w:rPr>
          <w:rStyle w:val="EndnoteRealZchn"/>
        </w:rPr>
        <w:t xml:space="preserve"> </w:t>
      </w:r>
    </w:p>
    <w:p w14:paraId="0888723B" w14:textId="77777777" w:rsidR="00E11869" w:rsidRPr="00207748" w:rsidRDefault="00447357" w:rsidP="004454B6">
      <w:pPr>
        <w:spacing w:before="240"/>
        <w:rPr>
          <w:rStyle w:val="Ohne"/>
          <w:rFonts w:ascii="Cambria" w:hAnsi="Cambria" w:cs="Arial"/>
          <w:spacing w:val="-1"/>
          <w:sz w:val="20"/>
          <w:szCs w:val="20"/>
        </w:rPr>
      </w:pPr>
      <w:r w:rsidRPr="00207748">
        <w:rPr>
          <w:rStyle w:val="Ohne"/>
          <w:rFonts w:ascii="Cambria" w:hAnsi="Cambria" w:cs="Arial"/>
          <w:spacing w:val="-1"/>
          <w:sz w:val="20"/>
          <w:szCs w:val="20"/>
        </w:rPr>
        <w:lastRenderedPageBreak/>
        <w:t>Eine durch indirekte Kalorimetrie und Messung der Harnstoffausscheidung im Urin individuell gestaltete (“goal-directed“) Kalorienzufuhr hat in einer randomisierten Studie (EAT-ICU Trial) von 199 beatmeten Intensivpatienten mit einem Aufenthalt von mehr als 3 Tagen im Vergleich mit einer Standardernährung von 25kcal/kg/Tag keine Vorteile bezüglich der Outcome-Parameter sowie der Lebensqualität nach 6 Monaten (PCS Score, SF-36) erbracht</w:t>
      </w:r>
      <w:r w:rsidRPr="00D60A69">
        <w:rPr>
          <w:rStyle w:val="EndnoteRealZchn"/>
        </w:rPr>
        <w:endnoteReference w:id="642"/>
      </w:r>
      <w:r w:rsidRPr="00D60A69">
        <w:rPr>
          <w:rStyle w:val="EndnoteRealZchn"/>
        </w:rPr>
        <w:t>.</w:t>
      </w:r>
      <w:r w:rsidRPr="00207748">
        <w:rPr>
          <w:rStyle w:val="Ohne"/>
          <w:rFonts w:ascii="Cambria" w:hAnsi="Cambria" w:cs="Arial"/>
          <w:spacing w:val="-1"/>
          <w:sz w:val="20"/>
          <w:szCs w:val="20"/>
        </w:rPr>
        <w:t xml:space="preserve"> </w:t>
      </w:r>
    </w:p>
    <w:p w14:paraId="7592FDF9" w14:textId="77777777" w:rsidR="00E11869" w:rsidRPr="00207748" w:rsidRDefault="00447357" w:rsidP="004454B6">
      <w:pPr>
        <w:spacing w:before="240"/>
        <w:rPr>
          <w:rStyle w:val="Ohne"/>
          <w:rFonts w:ascii="Cambria" w:hAnsi="Cambria" w:cs="Arial"/>
          <w:spacing w:val="-1"/>
          <w:sz w:val="20"/>
          <w:szCs w:val="20"/>
        </w:rPr>
      </w:pPr>
      <w:r w:rsidRPr="00207748">
        <w:rPr>
          <w:rStyle w:val="Ohne"/>
          <w:rFonts w:ascii="Cambria" w:hAnsi="Cambria" w:cs="Arial"/>
          <w:spacing w:val="-1"/>
          <w:sz w:val="20"/>
          <w:szCs w:val="20"/>
        </w:rPr>
        <w:t xml:space="preserve">Die SSC Arbeitsgruppe hatte insgesamt festgestellt, dass aktuell keine klare Evidenz für den allgemeinen Beginn einer frühzeitigen parenteralen Ernährung (innerhalb der ersten 7 Behandlungstage) bei Patienten mit Kontraindikationen oder Unverträglichkeit für die enterale Ernährung vorliegt. Fehlendem klinischen Vorteil bezüglich der Letalität stehen ein eher erhöhtes </w:t>
      </w:r>
      <w:r w:rsidR="00C40CAE" w:rsidRPr="00207748">
        <w:rPr>
          <w:rStyle w:val="Ohne"/>
          <w:rFonts w:ascii="Cambria" w:hAnsi="Cambria" w:cs="Arial"/>
          <w:spacing w:val="-1"/>
          <w:sz w:val="20"/>
          <w:szCs w:val="20"/>
        </w:rPr>
        <w:t>Infektionsrisiko und</w:t>
      </w:r>
      <w:r w:rsidRPr="00207748">
        <w:rPr>
          <w:rStyle w:val="Ohne"/>
          <w:rFonts w:ascii="Cambria" w:hAnsi="Cambria" w:cs="Arial"/>
          <w:spacing w:val="-1"/>
          <w:sz w:val="20"/>
          <w:szCs w:val="20"/>
        </w:rPr>
        <w:t xml:space="preserve"> zusätzliche Kosten der parenteralen Ernährung gegenüber. Diese Überlegungen führten die SSC-</w:t>
      </w:r>
      <w:r w:rsidR="00342FB3" w:rsidRPr="00207748">
        <w:rPr>
          <w:rStyle w:val="Ohne"/>
          <w:rFonts w:ascii="Cambria" w:hAnsi="Cambria" w:cs="Arial"/>
          <w:spacing w:val="-1"/>
          <w:sz w:val="20"/>
          <w:szCs w:val="20"/>
        </w:rPr>
        <w:t>Arbeitsgruppe zu</w:t>
      </w:r>
      <w:r w:rsidRPr="00207748">
        <w:rPr>
          <w:rStyle w:val="Ohne"/>
          <w:rFonts w:ascii="Cambria" w:hAnsi="Cambria" w:cs="Arial"/>
          <w:spacing w:val="-1"/>
          <w:sz w:val="20"/>
          <w:szCs w:val="20"/>
        </w:rPr>
        <w:t xml:space="preserve"> folgender Empfehlung. „Wir empfehlen, von der Verabreichung einer rein parenteralen Ernährung oder einer parenteralen Ernährung in Kombination mit enteraler Ernährung in den ersten 7 Tagen bei kritisch erkrankten Patienten mit Sepsis oder septischem Schock abzusehen. Sofern eine frühzeitige minimale und trophische enterale Ernährung nicht möglich ist, empfehlen wir bevorzugt die intravenöse Verabreichung von Glukose.“</w:t>
      </w:r>
    </w:p>
    <w:p w14:paraId="232630AC" w14:textId="77777777" w:rsidR="00E11869" w:rsidRPr="00207748" w:rsidRDefault="00447357" w:rsidP="004454B6">
      <w:pPr>
        <w:spacing w:before="240"/>
        <w:rPr>
          <w:rStyle w:val="Ohne"/>
          <w:rFonts w:ascii="Cambria" w:hAnsi="Cambria" w:cs="Arial"/>
          <w:spacing w:val="-1"/>
          <w:sz w:val="20"/>
          <w:szCs w:val="20"/>
        </w:rPr>
      </w:pPr>
      <w:r w:rsidRPr="00207748">
        <w:rPr>
          <w:rStyle w:val="Ohne"/>
          <w:rFonts w:ascii="Cambria" w:hAnsi="Cambria" w:cs="Arial"/>
          <w:spacing w:val="-1"/>
          <w:sz w:val="20"/>
          <w:szCs w:val="20"/>
        </w:rPr>
        <w:t xml:space="preserve">Weitere klinische Studien zur Charakterisierung geeigneter Untergruppen für eine frühzeitige parenterale Ernährung wurden für notwendig erachtet. Hierbei sollte der Fokus auf bereits bei Aufnahme auf die ITS unterernährte Patienten gelegt werden, die bisher in den meisten klinischen Studien ausgeschlossen wurden. </w:t>
      </w:r>
    </w:p>
    <w:p w14:paraId="0B25E9AA" w14:textId="0CCD5191" w:rsidR="00E11869" w:rsidRPr="00D60A69" w:rsidRDefault="00447357" w:rsidP="004454B6">
      <w:pPr>
        <w:spacing w:before="240"/>
        <w:rPr>
          <w:rStyle w:val="EndnoteRealZchn"/>
        </w:rPr>
      </w:pPr>
      <w:r w:rsidRPr="00207748">
        <w:rPr>
          <w:rStyle w:val="Ohne"/>
          <w:rFonts w:ascii="Cambria" w:hAnsi="Cambria" w:cs="Arial"/>
          <w:spacing w:val="-1"/>
          <w:sz w:val="20"/>
          <w:szCs w:val="20"/>
        </w:rPr>
        <w:t xml:space="preserve">Drei seit der Veröffentlichung der SSC Leitlinie publizierte Meta-Analysen </w:t>
      </w:r>
      <w:r w:rsidR="00D60A69" w:rsidRPr="00D60A69">
        <w:rPr>
          <w:rStyle w:val="EndnoteRealZchn"/>
        </w:rPr>
        <w:fldChar w:fldCharType="begin"/>
      </w:r>
      <w:r w:rsidR="00D60A69" w:rsidRPr="00D60A69">
        <w:rPr>
          <w:rStyle w:val="EndnoteRealZchn"/>
        </w:rPr>
        <w:instrText xml:space="preserve"> NOTEREF _Ref30666515 \h </w:instrText>
      </w:r>
      <w:r w:rsidR="00D60A69">
        <w:rPr>
          <w:rStyle w:val="EndnoteRealZchn"/>
        </w:rPr>
        <w:instrText xml:space="preserve"> \* MERGEFORMAT </w:instrText>
      </w:r>
      <w:r w:rsidR="00D60A69" w:rsidRPr="00D60A69">
        <w:rPr>
          <w:rStyle w:val="EndnoteRealZchn"/>
        </w:rPr>
      </w:r>
      <w:r w:rsidR="00D60A69" w:rsidRPr="00D60A69">
        <w:rPr>
          <w:rStyle w:val="EndnoteRealZchn"/>
        </w:rPr>
        <w:fldChar w:fldCharType="separate"/>
      </w:r>
      <w:r w:rsidR="001A283B">
        <w:rPr>
          <w:rStyle w:val="EndnoteRealZchn"/>
        </w:rPr>
        <w:t>693</w:t>
      </w:r>
      <w:r w:rsidR="00D60A69" w:rsidRPr="00D60A69">
        <w:rPr>
          <w:rStyle w:val="EndnoteRealZchn"/>
        </w:rPr>
        <w:fldChar w:fldCharType="end"/>
      </w:r>
      <w:r w:rsidR="00D60A69" w:rsidRPr="00D60A69">
        <w:rPr>
          <w:rStyle w:val="EndnoteRealZchn"/>
        </w:rPr>
        <w:t xml:space="preserve"> </w:t>
      </w:r>
      <w:r w:rsidRPr="00D60A69">
        <w:rPr>
          <w:rStyle w:val="EndnoteRealZchn"/>
        </w:rPr>
        <w:endnoteReference w:id="643"/>
      </w:r>
      <w:r w:rsidRPr="00D60A69">
        <w:rPr>
          <w:rStyle w:val="EndnoteRealZchn"/>
        </w:rPr>
        <w:t xml:space="preserve"> </w:t>
      </w:r>
      <w:r w:rsidRPr="00D60A69">
        <w:rPr>
          <w:rStyle w:val="EndnoteRealZchn"/>
        </w:rPr>
        <w:endnoteReference w:id="644"/>
      </w:r>
      <w:r w:rsidRPr="00207748">
        <w:rPr>
          <w:rStyle w:val="Ohne"/>
          <w:rFonts w:ascii="Cambria" w:hAnsi="Cambria" w:cs="Arial"/>
          <w:spacing w:val="-1"/>
          <w:sz w:val="20"/>
          <w:szCs w:val="20"/>
        </w:rPr>
        <w:t xml:space="preserve"> zeigen, dass &lt;33 % Zielkalorien (im V</w:t>
      </w:r>
      <w:r w:rsidR="00410B2E">
        <w:rPr>
          <w:rStyle w:val="Ohne"/>
          <w:rFonts w:ascii="Cambria" w:hAnsi="Cambria" w:cs="Arial"/>
          <w:spacing w:val="-1"/>
          <w:sz w:val="20"/>
          <w:szCs w:val="20"/>
        </w:rPr>
        <w:t>ergleich</w:t>
      </w:r>
      <w:r w:rsidRPr="00207748">
        <w:rPr>
          <w:rStyle w:val="Ohne"/>
          <w:rFonts w:ascii="Cambria" w:hAnsi="Cambria" w:cs="Arial"/>
          <w:spacing w:val="-1"/>
          <w:sz w:val="20"/>
          <w:szCs w:val="20"/>
        </w:rPr>
        <w:t>. zu &gt;33 %) in der Akutphase mit einer erhöhten Mortalität assoziiert sind. Dieser Effekt war in der Meta-Analyse von Choi et al. auch unabhängig vom BMI. Weitere aktuelle Daten bestätigen die negativen Auswirkungen eines kumulativen Kaloriendefizits beim kritisch Kranken</w:t>
      </w:r>
      <w:r w:rsidRPr="00D60A69">
        <w:rPr>
          <w:rStyle w:val="EndnoteRealZchn"/>
        </w:rPr>
        <w:endnoteReference w:id="645"/>
      </w:r>
      <w:r w:rsidRPr="00D60A69">
        <w:rPr>
          <w:rStyle w:val="EndnoteRealZchn"/>
        </w:rPr>
        <w:t xml:space="preserve"> </w:t>
      </w:r>
      <w:r w:rsidRPr="00D60A69">
        <w:rPr>
          <w:rStyle w:val="EndnoteRealZchn"/>
        </w:rPr>
        <w:endnoteReference w:id="646"/>
      </w:r>
      <w:r w:rsidRPr="00D60A69">
        <w:rPr>
          <w:rStyle w:val="EndnoteRealZchn"/>
        </w:rPr>
        <w:t xml:space="preserve"> </w:t>
      </w:r>
      <w:r w:rsidRPr="00D60A69">
        <w:rPr>
          <w:rStyle w:val="EndnoteRealZchn"/>
        </w:rPr>
        <w:endnoteReference w:id="647"/>
      </w:r>
      <w:r w:rsidRPr="00D60A69">
        <w:rPr>
          <w:rStyle w:val="EndnoteRealZchn"/>
        </w:rPr>
        <w:t xml:space="preserve"> </w:t>
      </w:r>
      <w:r w:rsidRPr="00D60A69">
        <w:rPr>
          <w:rStyle w:val="EndnoteRealZchn"/>
        </w:rPr>
        <w:lastRenderedPageBreak/>
        <w:endnoteReference w:id="648"/>
      </w:r>
      <w:r w:rsidRPr="00D60A69">
        <w:rPr>
          <w:rStyle w:val="EndnoteRealZchn"/>
        </w:rPr>
        <w:t xml:space="preserve"> </w:t>
      </w:r>
      <w:r w:rsidRPr="00D60A69">
        <w:rPr>
          <w:rStyle w:val="EndnoteRealZchn"/>
        </w:rPr>
        <w:endnoteReference w:id="649"/>
      </w:r>
      <w:r w:rsidRPr="00207748">
        <w:rPr>
          <w:rStyle w:val="Ohne"/>
          <w:rFonts w:ascii="Cambria" w:hAnsi="Cambria" w:cs="Arial"/>
          <w:spacing w:val="-1"/>
          <w:sz w:val="20"/>
          <w:szCs w:val="20"/>
        </w:rPr>
        <w:t xml:space="preserve"> und haben die DSG-Arbeitsguppe im Expertenkonsens und Einklang mit den aktuellen DGEM- und ESPEN-Leitlinien zur Modifikation der Empfehlung veranlasst. Hierbei wird der Patient mit Sepsis oder septischem Schock primär als ein metabolischer Hochrisikopatient angesehen.</w:t>
      </w:r>
      <w:r w:rsidR="00D60A69" w:rsidRPr="00D60A69">
        <w:rPr>
          <w:rStyle w:val="EndnoteRealZchn"/>
        </w:rPr>
        <w:fldChar w:fldCharType="begin"/>
      </w:r>
      <w:r w:rsidR="00D60A69" w:rsidRPr="00D60A69">
        <w:rPr>
          <w:rStyle w:val="EndnoteRealZchn"/>
        </w:rPr>
        <w:instrText xml:space="preserve"> NOTEREF _Ref30663944 \h </w:instrText>
      </w:r>
      <w:r w:rsidR="00D60A69">
        <w:rPr>
          <w:rStyle w:val="EndnoteRealZchn"/>
        </w:rPr>
        <w:instrText xml:space="preserve"> \* MERGEFORMAT </w:instrText>
      </w:r>
      <w:r w:rsidR="00D60A69" w:rsidRPr="00D60A69">
        <w:rPr>
          <w:rStyle w:val="EndnoteRealZchn"/>
        </w:rPr>
      </w:r>
      <w:r w:rsidR="00D60A69" w:rsidRPr="00D60A69">
        <w:rPr>
          <w:rStyle w:val="EndnoteRealZchn"/>
        </w:rPr>
        <w:fldChar w:fldCharType="separate"/>
      </w:r>
      <w:r w:rsidR="001A283B">
        <w:rPr>
          <w:rStyle w:val="EndnoteRealZchn"/>
        </w:rPr>
        <w:t>646</w:t>
      </w:r>
      <w:r w:rsidR="00D60A69" w:rsidRPr="00D60A69">
        <w:rPr>
          <w:rStyle w:val="EndnoteRealZchn"/>
        </w:rPr>
        <w:fldChar w:fldCharType="end"/>
      </w:r>
      <w:r w:rsidR="00D60A69">
        <w:rPr>
          <w:rStyle w:val="EndnoteRealZchn"/>
        </w:rPr>
        <w:t xml:space="preserve"> </w:t>
      </w:r>
      <w:bookmarkStart w:id="492" w:name="_Ref30666621"/>
      <w:r w:rsidR="003B1537" w:rsidRPr="00D60A69">
        <w:rPr>
          <w:rStyle w:val="EndnoteRealZchn"/>
        </w:rPr>
        <w:endnoteReference w:id="650"/>
      </w:r>
      <w:bookmarkEnd w:id="492"/>
    </w:p>
    <w:p w14:paraId="4881D48E" w14:textId="77777777" w:rsidR="00E11869" w:rsidRPr="00207748" w:rsidRDefault="00447357" w:rsidP="004454B6">
      <w:pPr>
        <w:spacing w:before="240"/>
        <w:rPr>
          <w:rStyle w:val="Ohne"/>
          <w:rFonts w:ascii="Cambria" w:hAnsi="Cambria" w:cs="Arial"/>
          <w:spacing w:val="-1"/>
          <w:sz w:val="20"/>
          <w:szCs w:val="20"/>
        </w:rPr>
      </w:pPr>
      <w:r w:rsidRPr="00207748">
        <w:rPr>
          <w:rStyle w:val="Ohne"/>
          <w:rFonts w:ascii="Cambria" w:hAnsi="Cambria" w:cs="Arial"/>
          <w:spacing w:val="-1"/>
          <w:sz w:val="20"/>
          <w:szCs w:val="20"/>
        </w:rPr>
        <w:t xml:space="preserve">So schlagen wir unter Berücksichtigung der methodischen Schwächen der in der SSC-Leitlinie angeführten </w:t>
      </w:r>
      <w:r w:rsidR="001A58EF" w:rsidRPr="00207748">
        <w:rPr>
          <w:rStyle w:val="Ohne"/>
          <w:rFonts w:ascii="Cambria" w:hAnsi="Cambria" w:cs="Arial"/>
          <w:spacing w:val="-1"/>
          <w:sz w:val="20"/>
          <w:szCs w:val="20"/>
        </w:rPr>
        <w:t>RCTs</w:t>
      </w:r>
      <w:r w:rsidRPr="00207748">
        <w:rPr>
          <w:rStyle w:val="Ohne"/>
          <w:rFonts w:ascii="Cambria" w:hAnsi="Cambria" w:cs="Arial"/>
          <w:spacing w:val="-1"/>
          <w:sz w:val="20"/>
          <w:szCs w:val="20"/>
        </w:rPr>
        <w:t xml:space="preserve"> und zuvor genannter aktuellen Meta-Analysen eine kombiniert enteral/parenterale Ernährung innerhalb der ersten 7 Tage nach Beginn der Sepsis vor, sofern eine zielorientierte und an die individuelle Toleranz adaptierte Steigerung der enteralen Ernährung nicht ausreichend möglich ist. </w:t>
      </w:r>
    </w:p>
    <w:p w14:paraId="37C43576" w14:textId="70F80CBF" w:rsidR="00DA3A66" w:rsidRDefault="00447357" w:rsidP="004454B6">
      <w:pPr>
        <w:spacing w:before="240"/>
        <w:ind w:right="288"/>
        <w:rPr>
          <w:rStyle w:val="EndnoteRealZchn"/>
        </w:rPr>
      </w:pPr>
      <w:r w:rsidRPr="00207748">
        <w:rPr>
          <w:rStyle w:val="Ohne"/>
          <w:rFonts w:ascii="Cambria" w:hAnsi="Cambria" w:cs="Arial"/>
          <w:spacing w:val="-1"/>
          <w:sz w:val="20"/>
          <w:szCs w:val="20"/>
        </w:rPr>
        <w:t>Die aktuelle ASPEN-Leitlinie</w:t>
      </w:r>
      <w:r w:rsidR="00D60A69">
        <w:rPr>
          <w:rStyle w:val="Ohne"/>
          <w:rFonts w:ascii="Cambria" w:hAnsi="Cambria" w:cs="Arial"/>
          <w:spacing w:val="-1"/>
          <w:sz w:val="20"/>
          <w:szCs w:val="20"/>
        </w:rPr>
        <w:t xml:space="preserve"> </w:t>
      </w:r>
      <w:r w:rsidR="00D60A69" w:rsidRPr="00D60A69">
        <w:rPr>
          <w:rStyle w:val="EndnoteRealZchn"/>
        </w:rPr>
        <w:fldChar w:fldCharType="begin"/>
      </w:r>
      <w:r w:rsidR="00D60A69" w:rsidRPr="00D60A69">
        <w:rPr>
          <w:rStyle w:val="EndnoteRealZchn"/>
        </w:rPr>
        <w:instrText xml:space="preserve"> NOTEREF _Ref30666621 \h </w:instrText>
      </w:r>
      <w:r w:rsidR="00D60A69">
        <w:rPr>
          <w:rStyle w:val="EndnoteRealZchn"/>
        </w:rPr>
        <w:instrText xml:space="preserve"> \* MERGEFORMAT </w:instrText>
      </w:r>
      <w:r w:rsidR="00D60A69" w:rsidRPr="00D60A69">
        <w:rPr>
          <w:rStyle w:val="EndnoteRealZchn"/>
        </w:rPr>
      </w:r>
      <w:r w:rsidR="00D60A69" w:rsidRPr="00D60A69">
        <w:rPr>
          <w:rStyle w:val="EndnoteRealZchn"/>
        </w:rPr>
        <w:fldChar w:fldCharType="separate"/>
      </w:r>
      <w:r w:rsidR="001A283B">
        <w:rPr>
          <w:rStyle w:val="EndnoteRealZchn"/>
        </w:rPr>
        <w:t>708</w:t>
      </w:r>
      <w:r w:rsidR="00D60A69" w:rsidRPr="00D60A69">
        <w:rPr>
          <w:rStyle w:val="EndnoteRealZchn"/>
        </w:rPr>
        <w:fldChar w:fldCharType="end"/>
      </w:r>
      <w:r w:rsidR="00D60A69">
        <w:rPr>
          <w:rStyle w:val="Ohne"/>
          <w:rFonts w:ascii="Cambria" w:hAnsi="Cambria" w:cs="Arial"/>
          <w:spacing w:val="-1"/>
          <w:sz w:val="20"/>
          <w:szCs w:val="20"/>
        </w:rPr>
        <w:t xml:space="preserve"> </w:t>
      </w:r>
      <w:r w:rsidRPr="00207748">
        <w:rPr>
          <w:rStyle w:val="Ohne"/>
          <w:rFonts w:ascii="Cambria" w:hAnsi="Cambria" w:cs="Arial"/>
          <w:spacing w:val="-1"/>
          <w:sz w:val="20"/>
          <w:szCs w:val="20"/>
        </w:rPr>
        <w:t>empfiehlt den frühzeitigen Beginn einer rein parenteralen Ernährung primär bei mangelernährten Patienten und solchen mit metabolischem Risiko (NRS&gt;5 oder NUTRIC Score&gt;5). Die aktualisierte</w:t>
      </w:r>
      <w:r w:rsidR="001A58EF" w:rsidRPr="00207748">
        <w:rPr>
          <w:rStyle w:val="Ohne"/>
          <w:rFonts w:ascii="Cambria" w:hAnsi="Cambria" w:cs="Arial"/>
          <w:spacing w:val="-1"/>
          <w:sz w:val="20"/>
          <w:szCs w:val="20"/>
        </w:rPr>
        <w:t xml:space="preserve"> </w:t>
      </w:r>
      <w:r w:rsidRPr="00207748">
        <w:rPr>
          <w:rStyle w:val="Ohne"/>
          <w:rFonts w:ascii="Cambria" w:hAnsi="Cambria" w:cs="Arial"/>
          <w:spacing w:val="-1"/>
          <w:sz w:val="20"/>
          <w:szCs w:val="20"/>
        </w:rPr>
        <w:t>ESPEN-Leitlinie</w:t>
      </w:r>
      <w:r w:rsidR="00D60A69">
        <w:rPr>
          <w:rStyle w:val="Ohne"/>
          <w:rFonts w:ascii="Cambria" w:hAnsi="Cambria" w:cs="Arial"/>
          <w:spacing w:val="-1"/>
          <w:sz w:val="20"/>
          <w:szCs w:val="20"/>
        </w:rPr>
        <w:t xml:space="preserve"> </w:t>
      </w:r>
      <w:r w:rsidR="00D60A69" w:rsidRPr="00D60A69">
        <w:rPr>
          <w:rStyle w:val="EndnoteRealZchn"/>
        </w:rPr>
        <w:fldChar w:fldCharType="begin"/>
      </w:r>
      <w:r w:rsidR="00D60A69" w:rsidRPr="00D60A69">
        <w:rPr>
          <w:rStyle w:val="EndnoteRealZchn"/>
        </w:rPr>
        <w:instrText xml:space="preserve"> NOTEREF _Ref30664204 \h </w:instrText>
      </w:r>
      <w:r w:rsidR="00D60A69">
        <w:rPr>
          <w:rStyle w:val="EndnoteRealZchn"/>
        </w:rPr>
        <w:instrText xml:space="preserve"> \* MERGEFORMAT </w:instrText>
      </w:r>
      <w:r w:rsidR="00D60A69" w:rsidRPr="00D60A69">
        <w:rPr>
          <w:rStyle w:val="EndnoteRealZchn"/>
        </w:rPr>
      </w:r>
      <w:r w:rsidR="00D60A69" w:rsidRPr="00D60A69">
        <w:rPr>
          <w:rStyle w:val="EndnoteRealZchn"/>
        </w:rPr>
        <w:fldChar w:fldCharType="separate"/>
      </w:r>
      <w:r w:rsidR="001A283B">
        <w:rPr>
          <w:rStyle w:val="EndnoteRealZchn"/>
        </w:rPr>
        <w:t>648</w:t>
      </w:r>
      <w:r w:rsidR="00D60A69" w:rsidRPr="00D60A69">
        <w:rPr>
          <w:rStyle w:val="EndnoteRealZchn"/>
        </w:rPr>
        <w:fldChar w:fldCharType="end"/>
      </w:r>
      <w:r w:rsidR="00D60A69" w:rsidRPr="00D60A69">
        <w:rPr>
          <w:rStyle w:val="EndnoteRealZchn"/>
        </w:rPr>
        <w:t xml:space="preserve"> </w:t>
      </w:r>
      <w:r w:rsidRPr="00207748">
        <w:rPr>
          <w:rStyle w:val="Ohne"/>
          <w:rFonts w:ascii="Cambria" w:hAnsi="Cambria" w:cs="Arial"/>
          <w:spacing w:val="-1"/>
          <w:sz w:val="20"/>
          <w:szCs w:val="20"/>
        </w:rPr>
        <w:t>empfiehlt im Fall einer Kontraindikation zur oralen/enteralen Ernährung den Beginn einer parenteralen Ernährung innerhalb von 3-7 Tagen. Die aktuelle DGEM Leitlinie empfiehlt bei Vorliegen von Kontraindikationen für eine enterale Ernährung eine parenterale Ernährung durchzuführen, um die an die Phase der Erkrankung und an die individuelle metabolische Toleranz angepasste Kalorien- bzw. Proteinzufuhrrate zu erreichen. Auch kann insbesondere bei vorbestehender Mangelernährung in der Akutphase frühzeitig eine (ggfs. supplementare) parenterale Ernährung zum Erreichen des Kalorien- und Proteinziels entsprechend der individuellen metabolischen Toleranz durchgeführt werden</w:t>
      </w:r>
      <w:r w:rsidR="00D60A69">
        <w:rPr>
          <w:rStyle w:val="Ohne"/>
          <w:rFonts w:ascii="Cambria" w:hAnsi="Cambria" w:cs="Arial"/>
          <w:spacing w:val="-1"/>
          <w:sz w:val="20"/>
          <w:szCs w:val="20"/>
        </w:rPr>
        <w:t xml:space="preserve">. </w:t>
      </w:r>
      <w:r w:rsidR="00D60A69" w:rsidRPr="00D60A69">
        <w:rPr>
          <w:rStyle w:val="EndnoteRealZchn"/>
        </w:rPr>
        <w:fldChar w:fldCharType="begin"/>
      </w:r>
      <w:r w:rsidR="00D60A69" w:rsidRPr="00D60A69">
        <w:rPr>
          <w:rStyle w:val="EndnoteRealZchn"/>
        </w:rPr>
        <w:instrText xml:space="preserve"> NOTEREF _Ref30663944 \h </w:instrText>
      </w:r>
      <w:r w:rsidR="00D60A69">
        <w:rPr>
          <w:rStyle w:val="EndnoteRealZchn"/>
        </w:rPr>
        <w:instrText xml:space="preserve"> \* MERGEFORMAT </w:instrText>
      </w:r>
      <w:r w:rsidR="00D60A69" w:rsidRPr="00D60A69">
        <w:rPr>
          <w:rStyle w:val="EndnoteRealZchn"/>
        </w:rPr>
      </w:r>
      <w:r w:rsidR="00D60A69" w:rsidRPr="00D60A69">
        <w:rPr>
          <w:rStyle w:val="EndnoteRealZchn"/>
        </w:rPr>
        <w:fldChar w:fldCharType="separate"/>
      </w:r>
      <w:r w:rsidR="001A283B">
        <w:rPr>
          <w:rStyle w:val="EndnoteRealZchn"/>
        </w:rPr>
        <w:t>646</w:t>
      </w:r>
      <w:r w:rsidR="00D60A69" w:rsidRPr="00D60A69">
        <w:rPr>
          <w:rStyle w:val="EndnoteRealZchn"/>
        </w:rPr>
        <w:fldChar w:fldCharType="end"/>
      </w:r>
    </w:p>
    <w:p w14:paraId="6CEB1D44" w14:textId="77777777" w:rsidR="00DA3A66" w:rsidRDefault="00DA3A66">
      <w:pPr>
        <w:spacing w:after="0" w:line="240" w:lineRule="auto"/>
        <w:rPr>
          <w:rStyle w:val="EndnoteRealZchn"/>
        </w:rPr>
      </w:pPr>
      <w:r>
        <w:rPr>
          <w:rStyle w:val="EndnoteRealZchn"/>
        </w:rPr>
        <w:br w:type="page"/>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18"/>
        <w:gridCol w:w="834"/>
      </w:tblGrid>
      <w:tr w:rsidR="00E11869" w:rsidRPr="00207748" w14:paraId="1A46FEC9"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2AA6ED0F"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lastRenderedPageBreak/>
              <w:t>T.4a</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0E12A32"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391CA086"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6998A7DB" w14:textId="77777777" w:rsidTr="00182D07">
        <w:trPr>
          <w:trHeight w:val="218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93126"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Empfehlungsgrad</w:t>
            </w:r>
          </w:p>
          <w:p w14:paraId="65CF4742" w14:textId="77777777" w:rsidR="00E11869" w:rsidRPr="00207748" w:rsidRDefault="00E11869" w:rsidP="004454B6">
            <w:pPr>
              <w:spacing w:after="0"/>
              <w:rPr>
                <w:rStyle w:val="Ohne"/>
                <w:rFonts w:ascii="Cambria" w:eastAsia="Arial" w:hAnsi="Cambria" w:cs="Arial"/>
                <w:b/>
                <w:bCs/>
                <w:sz w:val="20"/>
                <w:szCs w:val="20"/>
              </w:rPr>
            </w:pPr>
          </w:p>
          <w:p w14:paraId="5BEDA19E" w14:textId="77777777" w:rsidR="00E11869" w:rsidRPr="00207748" w:rsidRDefault="00447357" w:rsidP="004454B6">
            <w:pPr>
              <w:spacing w:after="0"/>
              <w:rPr>
                <w:rStyle w:val="Ohne"/>
                <w:rFonts w:ascii="Cambria" w:eastAsia="Arial" w:hAnsi="Cambria" w:cs="Arial"/>
                <w:b/>
                <w:bCs/>
                <w:sz w:val="20"/>
                <w:szCs w:val="20"/>
              </w:rPr>
            </w:pPr>
            <w:r w:rsidRPr="00207748">
              <w:rPr>
                <w:rStyle w:val="Ohne"/>
                <w:rFonts w:ascii="Cambria" w:hAnsi="Cambria" w:cs="Arial"/>
                <w:b/>
                <w:bCs/>
                <w:sz w:val="20"/>
                <w:szCs w:val="20"/>
              </w:rPr>
              <w:t>schwach</w:t>
            </w:r>
          </w:p>
          <w:p w14:paraId="465E00CA" w14:textId="77777777" w:rsidR="00E11869" w:rsidRPr="00207748" w:rsidRDefault="00E11869" w:rsidP="004454B6">
            <w:pPr>
              <w:spacing w:after="0"/>
              <w:rPr>
                <w:rStyle w:val="Ohne"/>
                <w:rFonts w:ascii="Cambria" w:eastAsia="Arial" w:hAnsi="Cambria" w:cs="Arial"/>
                <w:b/>
                <w:bCs/>
                <w:sz w:val="20"/>
                <w:szCs w:val="20"/>
              </w:rPr>
            </w:pPr>
          </w:p>
          <w:p w14:paraId="1F512FC9"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Evidenzgrad</w:t>
            </w:r>
          </w:p>
          <w:p w14:paraId="08A2E2CD" w14:textId="77777777" w:rsidR="00E11869" w:rsidRPr="00207748" w:rsidRDefault="00E11869" w:rsidP="004454B6">
            <w:pPr>
              <w:spacing w:after="0"/>
              <w:rPr>
                <w:rStyle w:val="Ohne"/>
                <w:rFonts w:ascii="Cambria" w:eastAsia="Arial" w:hAnsi="Cambria" w:cs="Arial"/>
                <w:sz w:val="20"/>
                <w:szCs w:val="20"/>
              </w:rPr>
            </w:pPr>
          </w:p>
          <w:p w14:paraId="6BE38F76"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niedrig</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39C87"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Wir schlagen vor, von der routinemäßigen Überwachung des gastrischen Restvolumens bei kritisch erkrankten Patienten mit Sepsis oder septischem Schock abzusehen</w:t>
            </w:r>
            <w:r w:rsidR="00B20D2B" w:rsidRPr="00207748">
              <w:rPr>
                <w:rStyle w:val="Ohne"/>
                <w:rFonts w:ascii="Cambria" w:hAnsi="Cambria" w:cs="Arial"/>
                <w:b/>
                <w:bCs/>
                <w:sz w:val="20"/>
                <w:szCs w:val="20"/>
              </w:rPr>
              <w:t>.</w:t>
            </w:r>
          </w:p>
        </w:tc>
      </w:tr>
      <w:tr w:rsidR="00E11869" w:rsidRPr="00207748" w14:paraId="018EEC4B" w14:textId="77777777" w:rsidTr="00342FB3">
        <w:trPr>
          <w:trHeight w:val="603"/>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206C5AF8"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AB0D6"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SSC</w:t>
            </w:r>
            <w:r w:rsidR="001A58EF" w:rsidRPr="00207748">
              <w:rPr>
                <w:rStyle w:val="Ohne"/>
                <w:rFonts w:ascii="Cambria" w:hAnsi="Cambria" w:cs="Arial"/>
                <w:b/>
                <w:bCs/>
                <w:sz w:val="20"/>
                <w:szCs w:val="20"/>
              </w:rPr>
              <w:t>-</w:t>
            </w:r>
            <w:r w:rsidRPr="00207748">
              <w:rPr>
                <w:rStyle w:val="Ohne"/>
                <w:rFonts w:ascii="Cambria" w:hAnsi="Cambria" w:cs="Arial"/>
                <w:b/>
                <w:bCs/>
                <w:sz w:val="20"/>
                <w:szCs w:val="20"/>
              </w:rPr>
              <w:t xml:space="preserve">Leitlinienadaptation </w:t>
            </w:r>
          </w:p>
        </w:tc>
      </w:tr>
    </w:tbl>
    <w:p w14:paraId="630BB81C" w14:textId="77777777" w:rsidR="00E11869" w:rsidRPr="00207748" w:rsidRDefault="00E11869" w:rsidP="004454B6">
      <w:pPr>
        <w:spacing w:before="240"/>
        <w:ind w:right="289"/>
        <w:rPr>
          <w:rStyle w:val="Ohne"/>
          <w:rFonts w:ascii="Cambria" w:eastAsia="Arial" w:hAnsi="Cambria" w:cs="Arial"/>
          <w:iCs/>
          <w:spacing w:val="-2"/>
          <w:sz w:val="20"/>
          <w:szCs w:val="20"/>
        </w:rPr>
      </w:pP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18"/>
        <w:gridCol w:w="834"/>
      </w:tblGrid>
      <w:tr w:rsidR="00E11869" w:rsidRPr="00207748" w14:paraId="528FEA17"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3A2F339"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T.4b</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2D59A9F9"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3DA8E3F"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04263C7E" w14:textId="77777777" w:rsidTr="00182D07">
        <w:trPr>
          <w:trHeight w:val="406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46113"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Empfehlungsgrad</w:t>
            </w:r>
          </w:p>
          <w:p w14:paraId="06DD0540" w14:textId="77777777" w:rsidR="00E11869" w:rsidRPr="00207748" w:rsidRDefault="00E11869" w:rsidP="004454B6">
            <w:pPr>
              <w:spacing w:after="0"/>
              <w:rPr>
                <w:rStyle w:val="Ohne"/>
                <w:rFonts w:ascii="Cambria" w:eastAsia="Arial" w:hAnsi="Cambria" w:cs="Arial"/>
                <w:sz w:val="20"/>
                <w:szCs w:val="20"/>
              </w:rPr>
            </w:pPr>
          </w:p>
          <w:p w14:paraId="681F18BA" w14:textId="77777777" w:rsidR="00E11869" w:rsidRPr="00207748" w:rsidRDefault="00447357" w:rsidP="004454B6">
            <w:pPr>
              <w:spacing w:after="0"/>
              <w:rPr>
                <w:rStyle w:val="Ohne"/>
                <w:rFonts w:ascii="Cambria" w:eastAsia="Arial" w:hAnsi="Cambria" w:cs="Arial"/>
                <w:b/>
                <w:bCs/>
                <w:sz w:val="20"/>
                <w:szCs w:val="20"/>
              </w:rPr>
            </w:pPr>
            <w:r w:rsidRPr="00207748">
              <w:rPr>
                <w:rStyle w:val="Ohne"/>
                <w:rFonts w:ascii="Cambria" w:hAnsi="Cambria" w:cs="Arial"/>
                <w:b/>
                <w:bCs/>
                <w:sz w:val="20"/>
                <w:szCs w:val="20"/>
              </w:rPr>
              <w:t>schwach</w:t>
            </w:r>
          </w:p>
          <w:p w14:paraId="0C04856B" w14:textId="77777777" w:rsidR="00E11869" w:rsidRPr="00207748" w:rsidRDefault="00E11869" w:rsidP="004454B6">
            <w:pPr>
              <w:spacing w:after="0"/>
              <w:rPr>
                <w:rStyle w:val="Ohne"/>
                <w:rFonts w:ascii="Cambria" w:eastAsia="Arial" w:hAnsi="Cambria" w:cs="Arial"/>
                <w:b/>
                <w:bCs/>
                <w:sz w:val="20"/>
                <w:szCs w:val="20"/>
              </w:rPr>
            </w:pPr>
          </w:p>
          <w:p w14:paraId="247F184A"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Evidenzgrad</w:t>
            </w:r>
          </w:p>
          <w:p w14:paraId="3AD38E1F" w14:textId="77777777" w:rsidR="00E11869" w:rsidRPr="00207748" w:rsidRDefault="00E11869" w:rsidP="004454B6">
            <w:pPr>
              <w:spacing w:after="0"/>
              <w:rPr>
                <w:rStyle w:val="Ohne"/>
                <w:rFonts w:ascii="Cambria" w:eastAsia="Arial" w:hAnsi="Cambria" w:cs="Arial"/>
                <w:sz w:val="20"/>
                <w:szCs w:val="20"/>
              </w:rPr>
            </w:pPr>
          </w:p>
          <w:p w14:paraId="610020CA"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niedrig</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6C3F1" w14:textId="77777777" w:rsidR="003B1537" w:rsidRPr="00207748" w:rsidRDefault="00447357" w:rsidP="004454B6">
            <w:pPr>
              <w:spacing w:after="0"/>
              <w:rPr>
                <w:rStyle w:val="Ohne"/>
                <w:rFonts w:ascii="Cambria" w:hAnsi="Cambria" w:cs="Arial"/>
                <w:b/>
                <w:bCs/>
                <w:sz w:val="20"/>
                <w:szCs w:val="20"/>
              </w:rPr>
            </w:pPr>
            <w:r w:rsidRPr="00207748">
              <w:rPr>
                <w:rStyle w:val="Ohne"/>
                <w:rFonts w:ascii="Cambria" w:hAnsi="Cambria" w:cs="Arial"/>
                <w:b/>
                <w:bCs/>
                <w:sz w:val="20"/>
                <w:szCs w:val="20"/>
              </w:rPr>
              <w:t>Wir schlagen jedoch Messungen des gastrischen Restvolumens bei Patienten mit gastraler Intoleranz und hohem Reflux sowie bei Patienten mit hohem Aspirationsrisiko vor.</w:t>
            </w:r>
            <w:r w:rsidR="001A7D11" w:rsidRPr="00207748">
              <w:rPr>
                <w:rStyle w:val="Ohne"/>
                <w:rFonts w:ascii="Cambria" w:hAnsi="Cambria" w:cs="Arial"/>
                <w:b/>
                <w:bCs/>
                <w:sz w:val="20"/>
                <w:szCs w:val="20"/>
              </w:rPr>
              <w:t xml:space="preserve"> </w:t>
            </w:r>
          </w:p>
          <w:p w14:paraId="01C7D73C" w14:textId="77777777" w:rsidR="003B1537" w:rsidRPr="00207748" w:rsidRDefault="003B1537" w:rsidP="004454B6">
            <w:pPr>
              <w:spacing w:after="0"/>
              <w:rPr>
                <w:rStyle w:val="Ohne"/>
                <w:rFonts w:ascii="Cambria" w:hAnsi="Cambria" w:cs="Arial"/>
                <w:b/>
                <w:bCs/>
                <w:sz w:val="20"/>
                <w:szCs w:val="20"/>
              </w:rPr>
            </w:pPr>
          </w:p>
          <w:p w14:paraId="6A98D4BD" w14:textId="77777777" w:rsidR="00E11869" w:rsidRPr="00207748" w:rsidRDefault="003B1537" w:rsidP="004454B6">
            <w:pPr>
              <w:spacing w:after="0"/>
              <w:rPr>
                <w:rFonts w:ascii="Cambria" w:hAnsi="Cambria" w:cs="Arial"/>
                <w:sz w:val="20"/>
                <w:szCs w:val="20"/>
              </w:rPr>
            </w:pPr>
            <w:r w:rsidRPr="00207748">
              <w:rPr>
                <w:rStyle w:val="Ohne"/>
                <w:rFonts w:ascii="Cambria" w:hAnsi="Cambria" w:cs="Arial"/>
                <w:b/>
                <w:bCs/>
                <w:sz w:val="20"/>
                <w:szCs w:val="20"/>
              </w:rPr>
              <w:t xml:space="preserve">Bemerkungen: </w:t>
            </w:r>
            <w:r w:rsidR="001A7D11" w:rsidRPr="00207748">
              <w:rPr>
                <w:rStyle w:val="Ohne"/>
                <w:rFonts w:ascii="Cambria" w:hAnsi="Cambria" w:cs="Arial"/>
                <w:bCs/>
                <w:sz w:val="20"/>
                <w:szCs w:val="20"/>
              </w:rPr>
              <w:t>Dieser Vorschlag bezieht sich auf nicht-chirurgische, kritisch erkrankte Patienten mit Sepsis oder septischem Schock.</w:t>
            </w:r>
          </w:p>
        </w:tc>
      </w:tr>
      <w:tr w:rsidR="00E11869" w:rsidRPr="00207748" w14:paraId="08734AFB" w14:textId="77777777" w:rsidTr="00342FB3">
        <w:trPr>
          <w:trHeight w:val="603"/>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49EB727B"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3C82D"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SSC</w:t>
            </w:r>
            <w:r w:rsidR="00420A45" w:rsidRPr="00207748">
              <w:rPr>
                <w:rStyle w:val="Ohne"/>
                <w:rFonts w:ascii="Cambria" w:hAnsi="Cambria" w:cs="Arial"/>
                <w:b/>
                <w:bCs/>
                <w:sz w:val="20"/>
                <w:szCs w:val="20"/>
              </w:rPr>
              <w:t>-</w:t>
            </w:r>
            <w:r w:rsidRPr="00207748">
              <w:rPr>
                <w:rStyle w:val="Ohne"/>
                <w:rFonts w:ascii="Cambria" w:hAnsi="Cambria" w:cs="Arial"/>
                <w:b/>
                <w:bCs/>
                <w:sz w:val="20"/>
                <w:szCs w:val="20"/>
              </w:rPr>
              <w:t>Leitlinien</w:t>
            </w:r>
            <w:r w:rsidR="00E873A9" w:rsidRPr="00207748">
              <w:rPr>
                <w:rStyle w:val="Ohne"/>
                <w:rFonts w:ascii="Cambria" w:hAnsi="Cambria" w:cs="Arial"/>
                <w:b/>
                <w:bCs/>
                <w:sz w:val="20"/>
                <w:szCs w:val="20"/>
              </w:rPr>
              <w:t>adaptation</w:t>
            </w:r>
            <w:r w:rsidRPr="00207748">
              <w:rPr>
                <w:rStyle w:val="Ohne"/>
                <w:rFonts w:ascii="Cambria" w:hAnsi="Cambria" w:cs="Arial"/>
                <w:b/>
                <w:bCs/>
                <w:sz w:val="20"/>
                <w:szCs w:val="20"/>
              </w:rPr>
              <w:t xml:space="preserve"> </w:t>
            </w:r>
          </w:p>
        </w:tc>
      </w:tr>
      <w:tr w:rsidR="00E11869" w:rsidRPr="00207748" w14:paraId="0D1019BD" w14:textId="77777777" w:rsidTr="00342FB3">
        <w:trPr>
          <w:trHeight w:val="92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0307C"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0D911" w14:textId="77777777" w:rsidR="00B26F79" w:rsidRDefault="00447357" w:rsidP="004454B6">
            <w:pPr>
              <w:spacing w:after="0"/>
              <w:rPr>
                <w:rStyle w:val="Ohne"/>
                <w:rFonts w:ascii="Cambria" w:hAnsi="Cambria" w:cs="Arial"/>
                <w:sz w:val="20"/>
                <w:szCs w:val="20"/>
              </w:rPr>
            </w:pPr>
            <w:r w:rsidRPr="00207748">
              <w:rPr>
                <w:rStyle w:val="Ohne"/>
                <w:rFonts w:ascii="Cambria" w:hAnsi="Cambria" w:cs="Arial"/>
                <w:sz w:val="20"/>
                <w:szCs w:val="20"/>
              </w:rPr>
              <w:t>Konsensstärke bei</w:t>
            </w:r>
            <w:r w:rsidR="002B1061">
              <w:rPr>
                <w:rStyle w:val="Ohne"/>
                <w:rFonts w:ascii="Cambria" w:hAnsi="Cambria" w:cs="Arial"/>
                <w:sz w:val="20"/>
                <w:szCs w:val="20"/>
              </w:rPr>
              <w:t xml:space="preserve"> </w:t>
            </w:r>
            <w:r w:rsidRPr="00207748">
              <w:rPr>
                <w:rStyle w:val="Ohne"/>
                <w:rFonts w:ascii="Cambria" w:hAnsi="Cambria" w:cs="Arial"/>
                <w:sz w:val="20"/>
                <w:szCs w:val="20"/>
              </w:rPr>
              <w:t xml:space="preserve">Doppelabstimmung: </w:t>
            </w:r>
          </w:p>
          <w:p w14:paraId="6A20F2D1" w14:textId="4C38DC1B"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100 %</w:t>
            </w:r>
          </w:p>
        </w:tc>
      </w:tr>
    </w:tbl>
    <w:p w14:paraId="3DB82B05" w14:textId="1751ED0D" w:rsidR="00E11869" w:rsidRPr="00207748" w:rsidRDefault="00420A45" w:rsidP="004454B6">
      <w:pPr>
        <w:spacing w:before="240"/>
        <w:rPr>
          <w:rStyle w:val="Ohne"/>
          <w:rFonts w:ascii="Cambria" w:hAnsi="Cambria" w:cs="Arial"/>
          <w:spacing w:val="-2"/>
          <w:sz w:val="20"/>
          <w:szCs w:val="20"/>
        </w:rPr>
      </w:pPr>
      <w:r w:rsidRPr="00207748">
        <w:rPr>
          <w:rStyle w:val="Ohne"/>
          <w:rFonts w:ascii="Cambria" w:hAnsi="Cambria" w:cs="Arial"/>
          <w:b/>
          <w:bCs/>
          <w:sz w:val="20"/>
          <w:szCs w:val="20"/>
        </w:rPr>
        <w:t>Begründung:</w:t>
      </w:r>
      <w:r w:rsidR="00447357" w:rsidRPr="00207748">
        <w:rPr>
          <w:rStyle w:val="Ohne"/>
          <w:rFonts w:ascii="Cambria" w:hAnsi="Cambria" w:cs="Arial"/>
          <w:b/>
          <w:bCs/>
          <w:iCs/>
          <w:sz w:val="20"/>
          <w:szCs w:val="20"/>
        </w:rPr>
        <w:t xml:space="preserve"> </w:t>
      </w:r>
      <w:r w:rsidR="00447357" w:rsidRPr="00207748">
        <w:rPr>
          <w:rStyle w:val="Ohne"/>
          <w:rFonts w:ascii="Cambria" w:hAnsi="Cambria" w:cs="Arial"/>
          <w:sz w:val="20"/>
          <w:szCs w:val="20"/>
        </w:rPr>
        <w:t xml:space="preserve">Kritisch kranke Patienten haben ein signifikantes Risiko für eine gastrointestinale Dysmotilität, was wiederum eine Prädisposition für Regurgitation oder Erbrechen, Aspiration und die Entwicklung einer Aspirations-Pneumonie darstellt. Der Zweck der Durchführung von Messungen des gastralen </w:t>
      </w:r>
      <w:r w:rsidR="00447357" w:rsidRPr="00207748">
        <w:rPr>
          <w:rStyle w:val="Ohne"/>
          <w:rFonts w:ascii="Cambria" w:hAnsi="Cambria" w:cs="Arial"/>
          <w:sz w:val="20"/>
          <w:szCs w:val="20"/>
        </w:rPr>
        <w:lastRenderedPageBreak/>
        <w:t>Residualvolumens (GRV) besteht in der Reduzierung des Risikos einer Aspirations-Pneumonie durch Anpassung der enteralen Zufuhrrate. Die Diskussion bezieht sich darauf, dass Beobachtungs- und Interventionsstudien nicht durchgängig eine Beziehung zwischen den GRV-Messungen (mit einer Schwelle von 200 ml bis hin zur Nichtüberwachung des GRV) und den Refluxereignissen von Erbrechen, Aspiration oder Pneumonie nachgewiesen haben</w:t>
      </w:r>
      <w:r w:rsidR="00DE5DCA" w:rsidRPr="00207748">
        <w:rPr>
          <w:rStyle w:val="Ohne"/>
          <w:rFonts w:ascii="Cambria" w:hAnsi="Cambria" w:cs="Arial"/>
          <w:sz w:val="20"/>
          <w:szCs w:val="20"/>
        </w:rPr>
        <w:t>.</w:t>
      </w:r>
      <w:r w:rsidR="00447357" w:rsidRPr="00207748">
        <w:rPr>
          <w:rStyle w:val="Ohne"/>
          <w:rFonts w:ascii="Cambria" w:eastAsia="Arial" w:hAnsi="Cambria" w:cs="Arial"/>
          <w:sz w:val="20"/>
          <w:szCs w:val="20"/>
          <w:vertAlign w:val="superscript"/>
        </w:rPr>
        <w:endnoteReference w:id="651"/>
      </w:r>
      <w:r w:rsidR="00447357" w:rsidRPr="00207748">
        <w:rPr>
          <w:rStyle w:val="Ohne"/>
          <w:rFonts w:ascii="Cambria" w:hAnsi="Cambria" w:cs="Arial"/>
          <w:sz w:val="20"/>
          <w:szCs w:val="20"/>
        </w:rPr>
        <w:t xml:space="preserve"> </w:t>
      </w:r>
      <w:r w:rsidR="008866CD">
        <w:rPr>
          <w:rStyle w:val="Endnotenzeichen"/>
          <w:rFonts w:ascii="Cambria" w:hAnsi="Cambria" w:cs="Arial"/>
          <w:sz w:val="20"/>
          <w:szCs w:val="20"/>
        </w:rPr>
        <w:endnoteReference w:id="652"/>
      </w:r>
      <w:r w:rsidR="008866CD">
        <w:rPr>
          <w:rStyle w:val="Ohne"/>
          <w:rFonts w:ascii="Cambria" w:hAnsi="Cambria" w:cs="Arial"/>
          <w:sz w:val="20"/>
          <w:szCs w:val="20"/>
        </w:rPr>
        <w:t xml:space="preserve"> </w:t>
      </w:r>
      <w:r w:rsidR="008866CD">
        <w:rPr>
          <w:rStyle w:val="Endnotenzeichen"/>
          <w:rFonts w:ascii="Cambria" w:hAnsi="Cambria" w:cs="Arial"/>
          <w:sz w:val="20"/>
          <w:szCs w:val="20"/>
        </w:rPr>
        <w:endnoteReference w:id="653"/>
      </w:r>
      <w:r w:rsidR="008866CD">
        <w:rPr>
          <w:rStyle w:val="Ohne"/>
          <w:rFonts w:ascii="Cambria" w:hAnsi="Cambria" w:cs="Arial"/>
          <w:sz w:val="20"/>
          <w:szCs w:val="20"/>
        </w:rPr>
        <w:t xml:space="preserve"> </w:t>
      </w:r>
      <w:r w:rsidR="008866CD">
        <w:rPr>
          <w:rStyle w:val="Endnotenzeichen"/>
          <w:rFonts w:ascii="Cambria" w:hAnsi="Cambria" w:cs="Arial"/>
          <w:sz w:val="20"/>
          <w:szCs w:val="20"/>
        </w:rPr>
        <w:endnoteReference w:id="654"/>
      </w:r>
      <w:r w:rsidR="008866CD">
        <w:rPr>
          <w:rStyle w:val="Ohne"/>
          <w:rFonts w:ascii="Cambria" w:hAnsi="Cambria" w:cs="Arial"/>
          <w:sz w:val="20"/>
          <w:szCs w:val="20"/>
        </w:rPr>
        <w:t xml:space="preserve"> </w:t>
      </w:r>
      <w:r w:rsidR="008866CD">
        <w:rPr>
          <w:rStyle w:val="Endnotenzeichen"/>
          <w:rFonts w:ascii="Cambria" w:hAnsi="Cambria" w:cs="Arial"/>
          <w:sz w:val="20"/>
          <w:szCs w:val="20"/>
        </w:rPr>
        <w:endnoteReference w:id="655"/>
      </w:r>
      <w:r w:rsidR="00447357" w:rsidRPr="00207748">
        <w:rPr>
          <w:rStyle w:val="Ohne"/>
          <w:rFonts w:ascii="Cambria" w:hAnsi="Cambria" w:cs="Arial"/>
          <w:sz w:val="20"/>
          <w:szCs w:val="20"/>
        </w:rPr>
        <w:t>In dem systematischen SSC Review wurde eine multizentrische Nicht-Unterlegenheitsstudie an 452 kritisch erkrankten Patienten identifiziert, die Patienten entweder in eine Gruppe ohne GRV-Messung oder in eine Gruppe mit GRV-Messung in 6-Stunden-Intervallen randomisierte</w:t>
      </w:r>
      <w:r w:rsidR="00264D62" w:rsidRPr="00207748">
        <w:rPr>
          <w:rStyle w:val="Ohne"/>
          <w:rFonts w:ascii="Cambria" w:hAnsi="Cambria" w:cs="Arial"/>
          <w:sz w:val="20"/>
          <w:szCs w:val="20"/>
        </w:rPr>
        <w:t>.</w:t>
      </w:r>
      <w:r w:rsidR="00447357" w:rsidRPr="00207748">
        <w:rPr>
          <w:rStyle w:val="Ohne"/>
          <w:rFonts w:ascii="Cambria" w:eastAsia="Arial" w:hAnsi="Cambria" w:cs="Arial"/>
          <w:sz w:val="20"/>
          <w:szCs w:val="20"/>
          <w:vertAlign w:val="superscript"/>
        </w:rPr>
        <w:endnoteReference w:id="656"/>
      </w:r>
      <w:r w:rsidR="00447357" w:rsidRPr="00207748">
        <w:rPr>
          <w:rStyle w:val="Ohne"/>
          <w:rFonts w:ascii="Cambria" w:hAnsi="Cambria" w:cs="Arial"/>
          <w:sz w:val="20"/>
          <w:szCs w:val="20"/>
        </w:rPr>
        <w:t xml:space="preserve"> Eine Ernährungsintoleranz wurde als Erbrechen in der Interventionsgruppe (ohne GRV-Messung) bzw. als GRV &gt; 250 ml bzw. Erbrechen oder beidem in der Kontrollgruppe (mit GRV-Messung) definiert. Obwohl Erbrechen häufiger (39,6 % versus 27 %; mediane Differenz, 12,6; 95 % CI, 5,4–19,9) in der Gruppe auftrat, in der keine GRV-Messung erfolgte, war diese Strategie gegenüber der 6-stündlichen Messung des GRV </w:t>
      </w:r>
      <w:r w:rsidR="00447357" w:rsidRPr="00207748">
        <w:rPr>
          <w:rStyle w:val="Ohne"/>
          <w:rFonts w:ascii="Cambria" w:hAnsi="Cambria" w:cs="Arial"/>
          <w:spacing w:val="-2"/>
          <w:sz w:val="20"/>
          <w:szCs w:val="20"/>
        </w:rPr>
        <w:t xml:space="preserve">nicht unterlegen, da kein Unterschied in der Häufigkeit der VAP (primärer Endpunkt) bestand (16,7 % versus 15,8 %; Differenz, 0,9 %; 95 % CI, –4,8 % bis 6,7 %). Ebenfalls kein Unterschied zwischen beiden Gruppen zeigte sich bzgl. </w:t>
      </w:r>
      <w:r w:rsidR="00410B2E">
        <w:rPr>
          <w:rStyle w:val="Ohne"/>
          <w:rFonts w:ascii="Cambria" w:hAnsi="Cambria" w:cs="Arial"/>
          <w:spacing w:val="-2"/>
          <w:sz w:val="20"/>
          <w:szCs w:val="20"/>
        </w:rPr>
        <w:t>Mortalität</w:t>
      </w:r>
      <w:r w:rsidR="00447357" w:rsidRPr="00207748">
        <w:rPr>
          <w:rStyle w:val="Ohne"/>
          <w:rFonts w:ascii="Cambria" w:hAnsi="Cambria" w:cs="Arial"/>
          <w:spacing w:val="-2"/>
          <w:sz w:val="20"/>
          <w:szCs w:val="20"/>
        </w:rPr>
        <w:t xml:space="preserve"> nach 28 und 90 Tagen. Patienten, bei denen innerhalb 4 Wochen vor Studienbeginn ein chirurgischer Eingriff vorgenommen worden war, wurden in diese Studie nicht eingeschlossen. Daher können diese Ergebnisse nicht zwangsläufig auf chirurgische Patienten angewendet werden. Die Ergebnisse dieser Studie stellen jedoch den Bedarf für routinemäßige GRV-Messungen als Methode zur Reduzierung von Aspirations-Pneumonien in Frage. Dies gilt vor allem für Patienten mit niedrigem Aspirationsrisiko. Aufgrund dieser Daten und der möglichen Einsparung der zur Messung erforderlichen Pflegeressourcen, sprechen wir eine Empfehlung gegen die routinemäßige GRV-Überwachung bei allen Sepsis-Patienten aus, sofern keine manifeste Ernährungsintoleranz vorliegt (z.B. Erbrechen, Reflux von Nahrung in die Mundhöhle), oder es sich um Patienten mit </w:t>
      </w:r>
      <w:r w:rsidR="00447357" w:rsidRPr="00207748">
        <w:rPr>
          <w:rStyle w:val="Ohne"/>
          <w:rFonts w:ascii="Cambria" w:hAnsi="Cambria" w:cs="Arial"/>
          <w:spacing w:val="-2"/>
          <w:sz w:val="20"/>
          <w:szCs w:val="20"/>
        </w:rPr>
        <w:lastRenderedPageBreak/>
        <w:t>bekannt hohem Aspirationsrisiko (z.B. Z.n. chirurgischem Eingriff, hämodynamische Instabilität) handelt. Wir verweisen zusätzlich auf die S3-Leitlinie der DGEM „Besonderheiten der Überwachung bei künstlicher Ernährung“</w:t>
      </w:r>
      <w:r w:rsidR="00264D62" w:rsidRPr="00207748">
        <w:rPr>
          <w:rStyle w:val="Ohne"/>
          <w:rFonts w:ascii="Cambria" w:hAnsi="Cambria" w:cs="Arial"/>
          <w:spacing w:val="-2"/>
          <w:sz w:val="20"/>
          <w:szCs w:val="20"/>
        </w:rPr>
        <w:t>.</w:t>
      </w:r>
      <w:bookmarkStart w:id="493" w:name="_Ref30666724"/>
      <w:r w:rsidR="00447357" w:rsidRPr="00207748">
        <w:rPr>
          <w:rStyle w:val="Ohne"/>
          <w:rFonts w:ascii="Cambria" w:hAnsi="Cambria" w:cs="Arial"/>
          <w:spacing w:val="-2"/>
          <w:sz w:val="20"/>
          <w:szCs w:val="20"/>
        </w:rPr>
        <w:endnoteReference w:id="657"/>
      </w:r>
      <w:bookmarkEnd w:id="493"/>
    </w:p>
    <w:p w14:paraId="5D5743F8" w14:textId="77777777" w:rsidR="00E11869" w:rsidRPr="00207748" w:rsidRDefault="00E11869" w:rsidP="004454B6">
      <w:pPr>
        <w:spacing w:after="0"/>
        <w:rPr>
          <w:rStyle w:val="Ohne"/>
          <w:rFonts w:ascii="Cambria" w:eastAsia="Arial" w:hAnsi="Cambria" w:cs="Arial"/>
          <w:spacing w:val="-2"/>
          <w:sz w:val="20"/>
          <w:szCs w:val="20"/>
        </w:rPr>
      </w:pP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18"/>
        <w:gridCol w:w="834"/>
      </w:tblGrid>
      <w:tr w:rsidR="00E11869" w:rsidRPr="00207748" w14:paraId="7E343092"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77D7632C"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T.5</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1D048646"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19FE580"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14E30CD4" w14:textId="77777777" w:rsidTr="00182D07">
        <w:trPr>
          <w:trHeight w:val="167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83F69"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Empfehlungsgrad</w:t>
            </w:r>
          </w:p>
          <w:p w14:paraId="0FE5680E" w14:textId="77777777" w:rsidR="00E11869" w:rsidRPr="00207748" w:rsidRDefault="00E11869" w:rsidP="004454B6">
            <w:pPr>
              <w:spacing w:after="0"/>
              <w:rPr>
                <w:rStyle w:val="Ohne"/>
                <w:rFonts w:ascii="Cambria" w:eastAsia="Arial" w:hAnsi="Cambria" w:cs="Arial"/>
                <w:sz w:val="20"/>
                <w:szCs w:val="20"/>
              </w:rPr>
            </w:pPr>
          </w:p>
          <w:p w14:paraId="6ED58A72" w14:textId="77777777" w:rsidR="00E11869" w:rsidRPr="00207748" w:rsidRDefault="00447357" w:rsidP="004454B6">
            <w:pPr>
              <w:spacing w:after="0"/>
              <w:rPr>
                <w:rStyle w:val="Ohne"/>
                <w:rFonts w:ascii="Cambria" w:eastAsia="Arial" w:hAnsi="Cambria" w:cs="Arial"/>
                <w:b/>
                <w:bCs/>
                <w:sz w:val="20"/>
                <w:szCs w:val="20"/>
              </w:rPr>
            </w:pPr>
            <w:r w:rsidRPr="00207748">
              <w:rPr>
                <w:rStyle w:val="Ohne"/>
                <w:rFonts w:ascii="Cambria" w:hAnsi="Cambria" w:cs="Arial"/>
                <w:b/>
                <w:bCs/>
                <w:sz w:val="20"/>
                <w:szCs w:val="20"/>
              </w:rPr>
              <w:t>schwach</w:t>
            </w:r>
          </w:p>
          <w:p w14:paraId="112D1B72" w14:textId="77777777" w:rsidR="00E11869" w:rsidRPr="00207748" w:rsidRDefault="00E11869" w:rsidP="004454B6">
            <w:pPr>
              <w:spacing w:after="0"/>
              <w:rPr>
                <w:rStyle w:val="Ohne"/>
                <w:rFonts w:ascii="Cambria" w:eastAsia="Arial" w:hAnsi="Cambria" w:cs="Arial"/>
                <w:b/>
                <w:bCs/>
                <w:sz w:val="20"/>
                <w:szCs w:val="20"/>
              </w:rPr>
            </w:pPr>
          </w:p>
          <w:p w14:paraId="0A82AAC6"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Evidenzgrad</w:t>
            </w:r>
          </w:p>
          <w:p w14:paraId="51DE36E9" w14:textId="77777777" w:rsidR="00E11869" w:rsidRPr="00207748" w:rsidRDefault="00E11869" w:rsidP="004454B6">
            <w:pPr>
              <w:spacing w:after="0"/>
              <w:rPr>
                <w:rStyle w:val="Ohne"/>
                <w:rFonts w:ascii="Cambria" w:eastAsia="Arial" w:hAnsi="Cambria" w:cs="Arial"/>
                <w:sz w:val="20"/>
                <w:szCs w:val="20"/>
              </w:rPr>
            </w:pPr>
          </w:p>
          <w:p w14:paraId="54ED5F56"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niedrig</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F4627"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Wir schlagen den Einsatz von Prokinetika bei kritisch kranken Patienten mit Sepsis oder septischem Schock und gastrointestinaler Intoleranz vor.</w:t>
            </w:r>
          </w:p>
        </w:tc>
      </w:tr>
      <w:tr w:rsidR="00E11869" w:rsidRPr="00207748" w14:paraId="5CF437BB" w14:textId="77777777" w:rsidTr="00342FB3">
        <w:trPr>
          <w:trHeight w:val="603"/>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656FDF81"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E4470"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SSC</w:t>
            </w:r>
            <w:r w:rsidR="001A58EF" w:rsidRPr="00207748">
              <w:rPr>
                <w:rStyle w:val="Ohne"/>
                <w:rFonts w:ascii="Cambria" w:hAnsi="Cambria" w:cs="Arial"/>
                <w:b/>
                <w:bCs/>
                <w:sz w:val="20"/>
                <w:szCs w:val="20"/>
              </w:rPr>
              <w:t>-</w:t>
            </w:r>
            <w:r w:rsidRPr="00207748">
              <w:rPr>
                <w:rStyle w:val="Ohne"/>
                <w:rFonts w:ascii="Cambria" w:hAnsi="Cambria" w:cs="Arial"/>
                <w:b/>
                <w:bCs/>
                <w:sz w:val="20"/>
                <w:szCs w:val="20"/>
              </w:rPr>
              <w:t>Leitlinien</w:t>
            </w:r>
            <w:r w:rsidR="00E873A9" w:rsidRPr="00207748">
              <w:rPr>
                <w:rStyle w:val="Ohne"/>
                <w:rFonts w:ascii="Cambria" w:hAnsi="Cambria" w:cs="Arial"/>
                <w:b/>
                <w:bCs/>
                <w:sz w:val="20"/>
                <w:szCs w:val="20"/>
              </w:rPr>
              <w:t>adaptation</w:t>
            </w:r>
            <w:r w:rsidRPr="00207748">
              <w:rPr>
                <w:rStyle w:val="Ohne"/>
                <w:rFonts w:ascii="Cambria" w:hAnsi="Cambria" w:cs="Arial"/>
                <w:b/>
                <w:bCs/>
                <w:sz w:val="20"/>
                <w:szCs w:val="20"/>
              </w:rPr>
              <w:t xml:space="preserve"> </w:t>
            </w:r>
          </w:p>
        </w:tc>
      </w:tr>
      <w:tr w:rsidR="00E11869" w:rsidRPr="00207748" w14:paraId="644CA0E6"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ADFDF"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B26CE"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Konsensstärke: 100 %</w:t>
            </w:r>
          </w:p>
        </w:tc>
      </w:tr>
    </w:tbl>
    <w:p w14:paraId="6AC57F41" w14:textId="77777777" w:rsidR="00E11869" w:rsidRPr="00207748" w:rsidRDefault="00342FB3" w:rsidP="004454B6">
      <w:pPr>
        <w:spacing w:before="240"/>
        <w:rPr>
          <w:rStyle w:val="Ohne"/>
          <w:rFonts w:ascii="Cambria" w:eastAsia="Arial" w:hAnsi="Cambria" w:cs="Arial"/>
          <w:b/>
          <w:bCs/>
          <w:iCs/>
          <w:spacing w:val="-2"/>
          <w:sz w:val="20"/>
          <w:szCs w:val="20"/>
        </w:rPr>
      </w:pPr>
      <w:r w:rsidRPr="00207748">
        <w:rPr>
          <w:rStyle w:val="Ohne"/>
          <w:rFonts w:ascii="Cambria" w:hAnsi="Cambria" w:cs="Arial"/>
          <w:b/>
          <w:bCs/>
          <w:spacing w:val="-2"/>
          <w:sz w:val="20"/>
          <w:szCs w:val="20"/>
        </w:rPr>
        <w:t>Begründung</w:t>
      </w:r>
      <w:r w:rsidR="00447357" w:rsidRPr="00207748">
        <w:rPr>
          <w:rStyle w:val="Ohne"/>
          <w:rFonts w:ascii="Cambria" w:hAnsi="Cambria" w:cs="Arial"/>
          <w:b/>
          <w:bCs/>
          <w:spacing w:val="-2"/>
          <w:sz w:val="20"/>
          <w:szCs w:val="20"/>
        </w:rPr>
        <w:t>:</w:t>
      </w:r>
      <w:r w:rsidR="00447357" w:rsidRPr="00207748">
        <w:rPr>
          <w:rStyle w:val="Ohne"/>
          <w:rFonts w:ascii="Cambria" w:hAnsi="Cambria" w:cs="Arial"/>
          <w:spacing w:val="-2"/>
          <w:sz w:val="20"/>
          <w:szCs w:val="20"/>
        </w:rPr>
        <w:t xml:space="preserve"> Prokinetika, zu denen Metoclopramid, Domperidon und Erythromycin gehören, werden häufig auf der ITS eingesetzt. Jeder dieser Wirkstoffe verfügt über unterschiedliche pharmakodynamische und pharmakokinetische Eigenschaften, allerdings können all diese Wirkstoffe mit einer Verlängerung des QT-Intervalls und ventrikulären Arrhythmien verbunden sein. Eine große Fallkontrollstudie an Patienten, die sich nicht auf der ITS befanden, demonstrierte eine dreifache Zunahme des Risikos eines plötzlichen Herztodes bei der Nutzung von Domperidon in einer Dosis von &gt; 30 mg/Tag</w:t>
      </w:r>
      <w:r w:rsidR="00264D62" w:rsidRPr="00207748">
        <w:rPr>
          <w:rStyle w:val="Ohne"/>
          <w:rFonts w:ascii="Cambria" w:hAnsi="Cambria" w:cs="Arial"/>
          <w:spacing w:val="-2"/>
          <w:sz w:val="20"/>
          <w:szCs w:val="20"/>
        </w:rPr>
        <w:t>.</w:t>
      </w:r>
      <w:r w:rsidR="00447357" w:rsidRPr="00207748">
        <w:rPr>
          <w:rStyle w:val="Ohne"/>
          <w:rFonts w:ascii="Cambria" w:eastAsia="Arial" w:hAnsi="Cambria" w:cs="Arial"/>
          <w:spacing w:val="-2"/>
          <w:sz w:val="20"/>
          <w:szCs w:val="20"/>
          <w:vertAlign w:val="superscript"/>
        </w:rPr>
        <w:endnoteReference w:id="658"/>
      </w:r>
      <w:r w:rsidR="00447357" w:rsidRPr="00207748">
        <w:rPr>
          <w:rStyle w:val="Ohne"/>
          <w:rFonts w:ascii="Cambria" w:hAnsi="Cambria" w:cs="Arial"/>
          <w:spacing w:val="-2"/>
          <w:sz w:val="20"/>
          <w:szCs w:val="20"/>
        </w:rPr>
        <w:t xml:space="preserve"> Eine andere retrospektive Kohortenstudie ergab, dass die Nutzung von Erythromycin durch ambulante Patienten mit einer zweifachen Zunahme des Risikos eines plötzlichen Herztods verbunden war, insbesondere wenn das Medikament gleichzeitig mit anderen CYP3A-Inhibitoren verwendet wurde (605</w:t>
      </w:r>
      <w:r w:rsidR="00447357" w:rsidRPr="00207748">
        <w:rPr>
          <w:rStyle w:val="Ohne"/>
          <w:rFonts w:ascii="Cambria" w:eastAsia="Arial" w:hAnsi="Cambria" w:cs="Arial"/>
          <w:spacing w:val="-2"/>
          <w:sz w:val="20"/>
          <w:szCs w:val="20"/>
          <w:vertAlign w:val="superscript"/>
        </w:rPr>
        <w:endnoteReference w:id="659"/>
      </w:r>
      <w:r w:rsidR="00447357" w:rsidRPr="00207748">
        <w:rPr>
          <w:rStyle w:val="Ohne"/>
          <w:rFonts w:ascii="Cambria" w:hAnsi="Cambria" w:cs="Arial"/>
          <w:spacing w:val="-2"/>
          <w:sz w:val="20"/>
          <w:szCs w:val="20"/>
        </w:rPr>
        <w:t>). Der Einfluss auf ventrikuläre Arrhythmien bei kritisch kranken Patienten ist weniger klar.</w:t>
      </w:r>
    </w:p>
    <w:p w14:paraId="35AFC970" w14:textId="03A7FA1C" w:rsidR="00E11869" w:rsidRPr="00207748" w:rsidRDefault="00C40CAE" w:rsidP="004454B6">
      <w:pPr>
        <w:spacing w:before="240"/>
        <w:rPr>
          <w:rStyle w:val="Ohne"/>
          <w:rFonts w:ascii="Cambria" w:eastAsia="Arial" w:hAnsi="Cambria" w:cs="Arial"/>
          <w:sz w:val="20"/>
          <w:szCs w:val="20"/>
        </w:rPr>
      </w:pPr>
      <w:r w:rsidRPr="00207748">
        <w:rPr>
          <w:rStyle w:val="Ohne"/>
          <w:rFonts w:ascii="Cambria" w:hAnsi="Cambria" w:cs="Arial"/>
          <w:spacing w:val="-1"/>
          <w:sz w:val="20"/>
          <w:szCs w:val="20"/>
        </w:rPr>
        <w:t>Eine aktuelle systematische Übersicht</w:t>
      </w:r>
      <w:r w:rsidR="00447357" w:rsidRPr="00207748">
        <w:rPr>
          <w:rStyle w:val="Ohne"/>
          <w:rFonts w:ascii="Cambria" w:hAnsi="Cambria" w:cs="Arial"/>
          <w:spacing w:val="-1"/>
          <w:sz w:val="20"/>
          <w:szCs w:val="20"/>
        </w:rPr>
        <w:t xml:space="preserve"> und Meta-Analyse von 13 RCTs, in die 1.341 kritisch kranke Patienten einbezogen wurden, ergab, dass die </w:t>
      </w:r>
      <w:r w:rsidR="00447357" w:rsidRPr="00207748">
        <w:rPr>
          <w:rStyle w:val="Ohne"/>
          <w:rFonts w:ascii="Cambria" w:hAnsi="Cambria" w:cs="Arial"/>
          <w:spacing w:val="-1"/>
          <w:sz w:val="20"/>
          <w:szCs w:val="20"/>
        </w:rPr>
        <w:lastRenderedPageBreak/>
        <w:t xml:space="preserve">Nutzung von Prokinetika mit einem geringeren Risiko </w:t>
      </w:r>
      <w:r w:rsidR="00342FB3" w:rsidRPr="00207748">
        <w:rPr>
          <w:rStyle w:val="Ohne"/>
          <w:rFonts w:ascii="Cambria" w:hAnsi="Cambria" w:cs="Arial"/>
          <w:spacing w:val="-1"/>
          <w:sz w:val="20"/>
          <w:szCs w:val="20"/>
        </w:rPr>
        <w:t>für eine</w:t>
      </w:r>
      <w:r w:rsidR="00447357" w:rsidRPr="00207748">
        <w:rPr>
          <w:rStyle w:val="Ohne"/>
          <w:rFonts w:ascii="Cambria" w:hAnsi="Cambria" w:cs="Arial"/>
          <w:spacing w:val="-1"/>
          <w:sz w:val="20"/>
          <w:szCs w:val="20"/>
        </w:rPr>
        <w:t xml:space="preserve"> enterale Ernährungsintoleranz </w:t>
      </w:r>
      <w:r w:rsidR="00264D62" w:rsidRPr="00207748">
        <w:rPr>
          <w:rStyle w:val="Ohne"/>
          <w:rFonts w:ascii="Cambria" w:hAnsi="Cambria" w:cs="Arial"/>
          <w:spacing w:val="-1"/>
          <w:sz w:val="20"/>
          <w:szCs w:val="20"/>
        </w:rPr>
        <w:t>assoziiert war</w:t>
      </w:r>
      <w:r w:rsidR="00447357" w:rsidRPr="00207748">
        <w:rPr>
          <w:rStyle w:val="Ohne"/>
          <w:rFonts w:ascii="Cambria" w:hAnsi="Cambria" w:cs="Arial"/>
          <w:spacing w:val="-1"/>
          <w:sz w:val="20"/>
          <w:szCs w:val="20"/>
        </w:rPr>
        <w:t xml:space="preserve"> (RR, 0,73; 95 % CI, 0,55–0,97; mittlere Evidenzqualität). Dies entsprach einer absoluten Risikoreduktion von 17 %. Die Nutzung von Prokinetika führte zu keiner signifikanten Erhöhung der </w:t>
      </w:r>
      <w:r w:rsidR="00410B2E">
        <w:rPr>
          <w:rStyle w:val="Ohne"/>
          <w:rFonts w:ascii="Cambria" w:hAnsi="Cambria" w:cs="Arial"/>
          <w:spacing w:val="-1"/>
          <w:sz w:val="20"/>
          <w:szCs w:val="20"/>
        </w:rPr>
        <w:t>Mortalität</w:t>
      </w:r>
      <w:r w:rsidR="00447357" w:rsidRPr="00207748">
        <w:rPr>
          <w:rStyle w:val="Ohne"/>
          <w:rFonts w:ascii="Cambria" w:hAnsi="Cambria" w:cs="Arial"/>
          <w:spacing w:val="-1"/>
          <w:sz w:val="20"/>
          <w:szCs w:val="20"/>
        </w:rPr>
        <w:t xml:space="preserve"> (RR, 0,97; 95 % CI, 0,81–1,1; niedrige Evidenzqualität); nicht in allen Studien wurde die Inzidenz von tödlichen und nicht-tödlichen Herzrhythmusstörungen beobachtet. Es war kein signifikanter Effekt auf das Risiko für Pneumonie und Erbrechen festzustellen. Die Mehrheit der in dieser Meta-Analyse inkludierten Studien untersuchte den Effekt von Metoclopramid oder Erythromycin; eine Subgruppenanalyse nach Medikamentenklasse war nicht aussagekräftig genug, um potentielle Unterschiede festzustellen</w:t>
      </w:r>
      <w:r w:rsidR="00264D62" w:rsidRPr="00207748">
        <w:rPr>
          <w:rStyle w:val="Ohne"/>
          <w:rFonts w:ascii="Cambria" w:hAnsi="Cambria" w:cs="Arial"/>
          <w:spacing w:val="-1"/>
          <w:sz w:val="20"/>
          <w:szCs w:val="20"/>
        </w:rPr>
        <w:t>.</w:t>
      </w:r>
      <w:r w:rsidR="00447357" w:rsidRPr="00207748">
        <w:rPr>
          <w:rStyle w:val="Ohne"/>
          <w:rFonts w:ascii="Cambria" w:eastAsia="Arial" w:hAnsi="Cambria" w:cs="Arial"/>
          <w:spacing w:val="-1"/>
          <w:sz w:val="20"/>
          <w:szCs w:val="20"/>
          <w:vertAlign w:val="superscript"/>
        </w:rPr>
        <w:endnoteReference w:id="660"/>
      </w:r>
      <w:r w:rsidR="00447357" w:rsidRPr="00207748">
        <w:rPr>
          <w:rStyle w:val="Ohne"/>
          <w:rFonts w:ascii="Cambria" w:hAnsi="Cambria" w:cs="Arial"/>
          <w:spacing w:val="-1"/>
          <w:sz w:val="20"/>
          <w:szCs w:val="20"/>
        </w:rPr>
        <w:t xml:space="preserve"> </w:t>
      </w:r>
      <w:r w:rsidR="00447357" w:rsidRPr="00207748">
        <w:rPr>
          <w:rStyle w:val="Ohne"/>
          <w:rFonts w:ascii="Cambria" w:hAnsi="Cambria" w:cs="Arial"/>
          <w:sz w:val="20"/>
          <w:szCs w:val="20"/>
        </w:rPr>
        <w:t>Die Überwachung des QT-Intervalls ist erforderlich, wenn diese Wirkstoffe auf der ITS eingesetzt werden, insbesondere, wenn sie gleichzeitig mit anderen, das QT-Intervall verlängernden Medikamenten verwendet werden</w:t>
      </w:r>
      <w:r w:rsidR="00264D62" w:rsidRPr="00207748">
        <w:rPr>
          <w:rStyle w:val="Ohne"/>
          <w:rFonts w:ascii="Cambria" w:hAnsi="Cambria" w:cs="Arial"/>
          <w:sz w:val="20"/>
          <w:szCs w:val="20"/>
        </w:rPr>
        <w:t>.</w:t>
      </w:r>
      <w:r w:rsidR="00447357" w:rsidRPr="00207748">
        <w:rPr>
          <w:rStyle w:val="Ohne"/>
          <w:rFonts w:ascii="Cambria" w:eastAsia="Arial" w:hAnsi="Cambria" w:cs="Arial"/>
          <w:sz w:val="20"/>
          <w:szCs w:val="20"/>
          <w:vertAlign w:val="superscript"/>
        </w:rPr>
        <w:endnoteReference w:id="661"/>
      </w:r>
      <w:r w:rsidR="00447357" w:rsidRPr="00207748">
        <w:rPr>
          <w:rStyle w:val="Ohne"/>
          <w:rFonts w:ascii="Cambria" w:hAnsi="Cambria" w:cs="Arial"/>
          <w:sz w:val="20"/>
          <w:szCs w:val="20"/>
        </w:rPr>
        <w:t xml:space="preserve"> Der Einsatz von Prokinetika sollte täglich im Hinblick auf Nutzen-Risiko-Relation und Indikation überprüft werden.</w:t>
      </w:r>
    </w:p>
    <w:p w14:paraId="33CFAC06" w14:textId="6CE173F7" w:rsidR="00E11869" w:rsidRPr="00207748" w:rsidRDefault="00447357" w:rsidP="004454B6">
      <w:pPr>
        <w:spacing w:before="240"/>
        <w:rPr>
          <w:rStyle w:val="Ohne"/>
          <w:rFonts w:ascii="Cambria" w:hAnsi="Cambria" w:cs="Arial"/>
          <w:spacing w:val="-2"/>
          <w:sz w:val="20"/>
          <w:szCs w:val="20"/>
        </w:rPr>
      </w:pPr>
      <w:r w:rsidRPr="00207748">
        <w:rPr>
          <w:rStyle w:val="Ohne"/>
          <w:rFonts w:ascii="Cambria" w:hAnsi="Cambria" w:cs="Arial"/>
          <w:spacing w:val="-2"/>
          <w:sz w:val="20"/>
          <w:szCs w:val="20"/>
        </w:rPr>
        <w:t>Zur Vermeidung von unerwünschten neurologischen Reaktionen wie Dyskinesien und Krämpfen wird seit Dezember 2013 von der regulierenden Behörde der European Medicines Agency (EMA) ein eingeschränkter Einsatz von Metoclopramid empfohlen: maximal 5 Tage mit Dosisreduktion bei Erwachsenen bis 30mg/d oder 0,5 mg/kg Körpergewicht und Tag unabhängig von der Applikationsart; keine längerfristige Anwendung bei Patienten mit chronischer Gastroparese. Die Effektivität von Metoclopramid zur Verstärkung der Magenmotilität und zur Verbesserung der enteralen Toleranz wird auch in den aktuellen DGEM- und ASPEN-Leitlinien betont. In der aktualisierten ESPEN-Leitlinie wird bei gastraler Intoleranz zunächst Erythromycin, dann entweder Metoclopramid oder eine Kombination beider Prokinetika empfohlen</w:t>
      </w:r>
      <w:r w:rsidR="00264D62" w:rsidRPr="00D60A69">
        <w:rPr>
          <w:rStyle w:val="EndnoteRealZchn"/>
        </w:rPr>
        <w:t>.</w:t>
      </w:r>
      <w:r w:rsidR="00D60A69" w:rsidRPr="00D60A69">
        <w:rPr>
          <w:rStyle w:val="EndnoteRealZchn"/>
        </w:rPr>
        <w:fldChar w:fldCharType="begin"/>
      </w:r>
      <w:r w:rsidR="00D60A69" w:rsidRPr="00D60A69">
        <w:rPr>
          <w:rStyle w:val="EndnoteRealZchn"/>
        </w:rPr>
        <w:instrText xml:space="preserve"> NOTEREF _Ref30664204 \h </w:instrText>
      </w:r>
      <w:r w:rsidR="00D60A69">
        <w:rPr>
          <w:rStyle w:val="EndnoteRealZchn"/>
        </w:rPr>
        <w:instrText xml:space="preserve"> \* MERGEFORMAT </w:instrText>
      </w:r>
      <w:r w:rsidR="00D60A69" w:rsidRPr="00D60A69">
        <w:rPr>
          <w:rStyle w:val="EndnoteRealZchn"/>
        </w:rPr>
      </w:r>
      <w:r w:rsidR="00D60A69" w:rsidRPr="00D60A69">
        <w:rPr>
          <w:rStyle w:val="EndnoteRealZchn"/>
        </w:rPr>
        <w:fldChar w:fldCharType="separate"/>
      </w:r>
      <w:r w:rsidR="001A283B">
        <w:rPr>
          <w:rStyle w:val="EndnoteRealZchn"/>
        </w:rPr>
        <w:t>648</w:t>
      </w:r>
      <w:r w:rsidR="00D60A69" w:rsidRPr="00D60A69">
        <w:rPr>
          <w:rStyle w:val="EndnoteRealZchn"/>
        </w:rPr>
        <w:fldChar w:fldCharType="end"/>
      </w:r>
      <w:r w:rsidRPr="00207748">
        <w:rPr>
          <w:rStyle w:val="Ohne"/>
          <w:rFonts w:ascii="Cambria" w:hAnsi="Cambria" w:cs="Arial"/>
          <w:spacing w:val="-2"/>
          <w:sz w:val="20"/>
          <w:szCs w:val="20"/>
        </w:rPr>
        <w:t xml:space="preserve"> </w:t>
      </w:r>
    </w:p>
    <w:p w14:paraId="41072FF5" w14:textId="216AEA98" w:rsidR="00E11869" w:rsidRPr="00207748" w:rsidRDefault="00447357" w:rsidP="004454B6">
      <w:pPr>
        <w:spacing w:before="240"/>
        <w:rPr>
          <w:rStyle w:val="Ohne"/>
          <w:rFonts w:ascii="Cambria" w:hAnsi="Cambria" w:cs="Arial"/>
          <w:spacing w:val="-2"/>
          <w:sz w:val="20"/>
          <w:szCs w:val="20"/>
        </w:rPr>
      </w:pPr>
      <w:r w:rsidRPr="00207748">
        <w:rPr>
          <w:rStyle w:val="Ohne"/>
          <w:rFonts w:ascii="Cambria" w:hAnsi="Cambria" w:cs="Arial"/>
          <w:spacing w:val="-2"/>
          <w:sz w:val="20"/>
          <w:szCs w:val="20"/>
        </w:rPr>
        <w:t xml:space="preserve">Unter Berücksichtigung der erwünschten Konsequenzen (geringeres Risiko einer </w:t>
      </w:r>
      <w:r w:rsidRPr="00207748">
        <w:rPr>
          <w:rStyle w:val="Ohne"/>
          <w:rFonts w:ascii="Cambria" w:hAnsi="Cambria" w:cs="Arial"/>
          <w:spacing w:val="-2"/>
          <w:sz w:val="20"/>
          <w:szCs w:val="20"/>
        </w:rPr>
        <w:lastRenderedPageBreak/>
        <w:t>Ernährungsintoleranz) und der niedrigen Evidenz-Qualität bei fehlendem Unterschied in Bezug auf die Mortalität oder Pneumonie, wird eine schwache Empfehlung für die Verwendung der Prokinetika Metoclopramid oder Erythromycin zur Behandlung einer Ernährungsintoleranz bei Patienten mit Sepsis ausgesprochen. Weitere große vergleichende Studien werden benötigt, um die relative Wirksamkeit und Sicherheit verschiedener Prokinetika zu beurteilen und zu vergleichen. Wir verweisen zusätzlich auf die S3-Leitlinie „Besonderheiten der Überwachung bei künstlicher Ernährung“</w:t>
      </w:r>
      <w:r w:rsidR="00D60A69">
        <w:rPr>
          <w:rStyle w:val="Ohne"/>
          <w:rFonts w:ascii="Cambria" w:hAnsi="Cambria" w:cs="Arial"/>
          <w:spacing w:val="-2"/>
          <w:sz w:val="20"/>
          <w:szCs w:val="20"/>
        </w:rPr>
        <w:t>.</w:t>
      </w:r>
      <w:r w:rsidR="00D60A69" w:rsidRPr="00D60A69">
        <w:rPr>
          <w:rStyle w:val="EndnoteZchn"/>
        </w:rPr>
        <w:fldChar w:fldCharType="begin"/>
      </w:r>
      <w:r w:rsidR="00D60A69" w:rsidRPr="00D60A69">
        <w:rPr>
          <w:rStyle w:val="EndnoteZchn"/>
        </w:rPr>
        <w:instrText xml:space="preserve"> NOTEREF _Ref30666724 \h </w:instrText>
      </w:r>
      <w:r w:rsidR="00D60A69">
        <w:rPr>
          <w:rStyle w:val="EndnoteZchn"/>
        </w:rPr>
        <w:instrText xml:space="preserve"> \* MERGEFORMAT </w:instrText>
      </w:r>
      <w:r w:rsidR="00D60A69" w:rsidRPr="00D60A69">
        <w:rPr>
          <w:rStyle w:val="EndnoteZchn"/>
        </w:rPr>
      </w:r>
      <w:r w:rsidR="00D60A69" w:rsidRPr="00D60A69">
        <w:rPr>
          <w:rStyle w:val="EndnoteZchn"/>
        </w:rPr>
        <w:fldChar w:fldCharType="separate"/>
      </w:r>
      <w:r w:rsidR="001A283B">
        <w:rPr>
          <w:rStyle w:val="EndnoteZchn"/>
        </w:rPr>
        <w:t>715</w:t>
      </w:r>
      <w:r w:rsidR="00D60A69" w:rsidRPr="00D60A69">
        <w:rPr>
          <w:rStyle w:val="EndnoteZchn"/>
        </w:rPr>
        <w:fldChar w:fldCharType="end"/>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18"/>
        <w:gridCol w:w="834"/>
      </w:tblGrid>
      <w:tr w:rsidR="00E11869" w:rsidRPr="00207748" w14:paraId="705ADF5E"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4BC7924F"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T.6</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4244C567"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355DF0D"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34903F87" w14:textId="77777777" w:rsidTr="00182D07">
        <w:trPr>
          <w:trHeight w:val="298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81DB2"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Empfehlungsgrad</w:t>
            </w:r>
          </w:p>
          <w:p w14:paraId="28D81BF1" w14:textId="77777777" w:rsidR="00E11869" w:rsidRPr="00207748" w:rsidRDefault="00E11869" w:rsidP="004454B6">
            <w:pPr>
              <w:spacing w:after="0"/>
              <w:rPr>
                <w:rStyle w:val="Ohne"/>
                <w:rFonts w:ascii="Cambria" w:eastAsia="Arial" w:hAnsi="Cambria" w:cs="Arial"/>
                <w:sz w:val="20"/>
                <w:szCs w:val="20"/>
              </w:rPr>
            </w:pPr>
          </w:p>
          <w:p w14:paraId="05B4C412" w14:textId="77777777" w:rsidR="001A58EF" w:rsidRPr="00207748" w:rsidRDefault="001A58EF" w:rsidP="004454B6">
            <w:pPr>
              <w:spacing w:after="0"/>
              <w:rPr>
                <w:rStyle w:val="Ohne"/>
                <w:rFonts w:ascii="Cambria" w:hAnsi="Cambria" w:cs="Arial"/>
                <w:b/>
                <w:bCs/>
                <w:sz w:val="20"/>
                <w:szCs w:val="20"/>
              </w:rPr>
            </w:pPr>
            <w:r w:rsidRPr="00207748">
              <w:rPr>
                <w:rStyle w:val="Ohne"/>
                <w:rFonts w:ascii="Cambria" w:hAnsi="Cambria" w:cs="Arial"/>
                <w:b/>
                <w:bCs/>
                <w:sz w:val="20"/>
                <w:szCs w:val="20"/>
              </w:rPr>
              <w:t>schwach</w:t>
            </w:r>
          </w:p>
          <w:p w14:paraId="02D2A003" w14:textId="77777777" w:rsidR="001A58EF" w:rsidRPr="00207748" w:rsidRDefault="001A58EF" w:rsidP="004454B6">
            <w:pPr>
              <w:spacing w:after="0"/>
              <w:rPr>
                <w:rStyle w:val="Ohne"/>
                <w:rFonts w:ascii="Cambria" w:hAnsi="Cambria" w:cs="Arial"/>
                <w:b/>
                <w:bCs/>
                <w:sz w:val="20"/>
                <w:szCs w:val="20"/>
              </w:rPr>
            </w:pPr>
          </w:p>
          <w:p w14:paraId="655152C7" w14:textId="77777777" w:rsidR="001A58EF" w:rsidRPr="00207748" w:rsidRDefault="001A58EF" w:rsidP="004454B6">
            <w:pPr>
              <w:spacing w:after="0"/>
              <w:rPr>
                <w:rStyle w:val="Ohne"/>
                <w:rFonts w:ascii="Cambria" w:hAnsi="Cambria" w:cs="Arial"/>
                <w:bCs/>
                <w:sz w:val="20"/>
                <w:szCs w:val="20"/>
              </w:rPr>
            </w:pPr>
            <w:r w:rsidRPr="00207748">
              <w:rPr>
                <w:rStyle w:val="Ohne"/>
                <w:rFonts w:ascii="Cambria" w:hAnsi="Cambria" w:cs="Arial"/>
                <w:bCs/>
                <w:sz w:val="20"/>
                <w:szCs w:val="20"/>
              </w:rPr>
              <w:t>Evidenzgard</w:t>
            </w:r>
          </w:p>
          <w:p w14:paraId="7BE18544" w14:textId="77777777" w:rsidR="001A58EF" w:rsidRPr="00207748" w:rsidRDefault="001A58EF" w:rsidP="004454B6">
            <w:pPr>
              <w:spacing w:after="0"/>
              <w:rPr>
                <w:rStyle w:val="Ohne"/>
                <w:rFonts w:ascii="Cambria" w:hAnsi="Cambria" w:cs="Arial"/>
                <w:b/>
                <w:bCs/>
                <w:sz w:val="20"/>
                <w:szCs w:val="20"/>
              </w:rPr>
            </w:pPr>
          </w:p>
          <w:p w14:paraId="15C284E8" w14:textId="77777777" w:rsidR="00E11869" w:rsidRPr="00207748" w:rsidRDefault="00C40CAE" w:rsidP="004454B6">
            <w:pPr>
              <w:spacing w:after="0"/>
              <w:rPr>
                <w:rFonts w:ascii="Cambria" w:hAnsi="Cambria" w:cs="Arial"/>
                <w:sz w:val="20"/>
                <w:szCs w:val="20"/>
              </w:rPr>
            </w:pPr>
            <w:r w:rsidRPr="00207748">
              <w:rPr>
                <w:rStyle w:val="Ohne"/>
                <w:rFonts w:ascii="Cambria" w:hAnsi="Cambria" w:cs="Arial"/>
                <w:b/>
                <w:bCs/>
                <w:sz w:val="20"/>
                <w:szCs w:val="20"/>
              </w:rPr>
              <w:t>niedrig</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16DDA"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pacing w:val="-1"/>
                <w:sz w:val="20"/>
                <w:szCs w:val="20"/>
              </w:rPr>
              <w:t>Wir schlagen die Platzierung von postpylorischen Ernährungssonden bei kritisch erkrankten Patienten mit Sepsis oder septischem Schock mit gastraler Intoleranz sowie bei Patienten mit hohem Aspirationsrisiko vor.</w:t>
            </w:r>
          </w:p>
        </w:tc>
      </w:tr>
      <w:tr w:rsidR="00E11869" w:rsidRPr="00207748" w14:paraId="641FE469" w14:textId="77777777" w:rsidTr="00342FB3">
        <w:trPr>
          <w:trHeight w:val="603"/>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1CE1F723"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2AC12"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SSC</w:t>
            </w:r>
            <w:r w:rsidR="001A58EF" w:rsidRPr="00207748">
              <w:rPr>
                <w:rStyle w:val="Ohne"/>
                <w:rFonts w:ascii="Cambria" w:hAnsi="Cambria" w:cs="Arial"/>
                <w:b/>
                <w:bCs/>
                <w:sz w:val="20"/>
                <w:szCs w:val="20"/>
              </w:rPr>
              <w:t>-</w:t>
            </w:r>
            <w:r w:rsidRPr="00207748">
              <w:rPr>
                <w:rStyle w:val="Ohne"/>
                <w:rFonts w:ascii="Cambria" w:hAnsi="Cambria" w:cs="Arial"/>
                <w:b/>
                <w:bCs/>
                <w:sz w:val="20"/>
                <w:szCs w:val="20"/>
              </w:rPr>
              <w:t>Leitlinien</w:t>
            </w:r>
            <w:r w:rsidR="00E873A9" w:rsidRPr="00207748">
              <w:rPr>
                <w:rStyle w:val="Ohne"/>
                <w:rFonts w:ascii="Cambria" w:hAnsi="Cambria" w:cs="Arial"/>
                <w:b/>
                <w:bCs/>
                <w:sz w:val="20"/>
                <w:szCs w:val="20"/>
              </w:rPr>
              <w:t>adaptation</w:t>
            </w:r>
            <w:r w:rsidRPr="00207748">
              <w:rPr>
                <w:rStyle w:val="Ohne"/>
                <w:rFonts w:ascii="Cambria" w:hAnsi="Cambria" w:cs="Arial"/>
                <w:b/>
                <w:bCs/>
                <w:sz w:val="20"/>
                <w:szCs w:val="20"/>
              </w:rPr>
              <w:t xml:space="preserve"> </w:t>
            </w:r>
          </w:p>
        </w:tc>
      </w:tr>
      <w:tr w:rsidR="00E11869" w:rsidRPr="00207748" w14:paraId="1635CC2B" w14:textId="77777777" w:rsidTr="00342FB3">
        <w:trPr>
          <w:trHeight w:val="92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A80FD"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36AF2" w14:textId="77777777" w:rsidR="00B26F79" w:rsidRDefault="00447357" w:rsidP="00B26F79">
            <w:pPr>
              <w:spacing w:after="0"/>
              <w:rPr>
                <w:rStyle w:val="Ohne"/>
                <w:rFonts w:ascii="Cambria" w:hAnsi="Cambria" w:cs="Arial"/>
                <w:sz w:val="20"/>
                <w:szCs w:val="20"/>
              </w:rPr>
            </w:pPr>
            <w:r w:rsidRPr="00207748">
              <w:rPr>
                <w:rStyle w:val="Ohne"/>
                <w:rFonts w:ascii="Cambria" w:hAnsi="Cambria" w:cs="Arial"/>
                <w:sz w:val="20"/>
                <w:szCs w:val="20"/>
              </w:rPr>
              <w:t>Konsensstärke bei</w:t>
            </w:r>
            <w:r w:rsidR="002B1061">
              <w:rPr>
                <w:rStyle w:val="Ohne"/>
                <w:rFonts w:ascii="Cambria" w:hAnsi="Cambria" w:cs="Arial"/>
                <w:sz w:val="20"/>
                <w:szCs w:val="20"/>
              </w:rPr>
              <w:t xml:space="preserve"> </w:t>
            </w:r>
            <w:r w:rsidRPr="00207748">
              <w:rPr>
                <w:rStyle w:val="Ohne"/>
                <w:rFonts w:ascii="Cambria" w:hAnsi="Cambria" w:cs="Arial"/>
                <w:sz w:val="20"/>
                <w:szCs w:val="20"/>
              </w:rPr>
              <w:t>Doppelabstimmung:</w:t>
            </w:r>
          </w:p>
          <w:p w14:paraId="7A833283" w14:textId="22FB9943" w:rsidR="00157279" w:rsidRPr="00207748" w:rsidRDefault="00447357" w:rsidP="00B26F79">
            <w:pPr>
              <w:spacing w:after="0"/>
              <w:rPr>
                <w:rFonts w:ascii="Cambria" w:hAnsi="Cambria" w:cs="Arial"/>
                <w:sz w:val="20"/>
                <w:szCs w:val="20"/>
              </w:rPr>
            </w:pPr>
            <w:r w:rsidRPr="00207748">
              <w:rPr>
                <w:rStyle w:val="Ohne"/>
                <w:rFonts w:ascii="Cambria" w:hAnsi="Cambria" w:cs="Arial"/>
                <w:sz w:val="20"/>
                <w:szCs w:val="20"/>
              </w:rPr>
              <w:t>100 %</w:t>
            </w:r>
          </w:p>
        </w:tc>
      </w:tr>
    </w:tbl>
    <w:p w14:paraId="28E65BC6" w14:textId="178779EF" w:rsidR="00E11869" w:rsidRPr="00207748" w:rsidRDefault="00420A45" w:rsidP="004454B6">
      <w:pPr>
        <w:spacing w:before="240"/>
        <w:rPr>
          <w:rStyle w:val="Ohne"/>
          <w:rFonts w:ascii="Cambria" w:eastAsia="Arial" w:hAnsi="Cambria" w:cs="Arial"/>
          <w:b/>
          <w:bCs/>
          <w:iCs/>
          <w:spacing w:val="-4"/>
          <w:sz w:val="20"/>
          <w:szCs w:val="20"/>
        </w:rPr>
      </w:pPr>
      <w:r w:rsidRPr="00207748">
        <w:rPr>
          <w:rStyle w:val="Ohne"/>
          <w:rFonts w:ascii="Cambria" w:hAnsi="Cambria" w:cs="Arial"/>
          <w:b/>
          <w:bCs/>
          <w:spacing w:val="-4"/>
          <w:sz w:val="20"/>
          <w:szCs w:val="20"/>
        </w:rPr>
        <w:t>Begründung:</w:t>
      </w:r>
      <w:r w:rsidR="00447357" w:rsidRPr="00207748">
        <w:rPr>
          <w:rStyle w:val="Ohne"/>
          <w:rFonts w:ascii="Cambria" w:hAnsi="Cambria" w:cs="Arial"/>
          <w:b/>
          <w:bCs/>
          <w:iCs/>
          <w:spacing w:val="-4"/>
          <w:sz w:val="20"/>
          <w:szCs w:val="20"/>
        </w:rPr>
        <w:t xml:space="preserve"> </w:t>
      </w:r>
      <w:r w:rsidR="00447357" w:rsidRPr="00207748">
        <w:rPr>
          <w:rStyle w:val="Ohne"/>
          <w:rFonts w:ascii="Cambria" w:hAnsi="Cambria" w:cs="Arial"/>
          <w:spacing w:val="-4"/>
          <w:sz w:val="20"/>
          <w:szCs w:val="20"/>
        </w:rPr>
        <w:t>Eine Ernährungsintoleranz wird als Erbrechen, abdominelle Distension oder hohes GRV definiert, die eine Unterbrechung der enteralen Ernährung nach sich ziehen. Kritisch kranke Patienten haben ein erhöhtes Risiko für eine gastrointestinale Motilitätsstörung. So bestehen bei etwa 50 % der kritisch erkrankten Patienten Zeichen einer verzögerten Magenentleerung, bei septischen Patienten sogar bis zu 80%</w:t>
      </w:r>
      <w:r w:rsidR="003F7F50" w:rsidRPr="00207748">
        <w:rPr>
          <w:rStyle w:val="Ohne"/>
          <w:rFonts w:ascii="Cambria" w:hAnsi="Cambria" w:cs="Arial"/>
          <w:spacing w:val="-4"/>
          <w:sz w:val="20"/>
          <w:szCs w:val="20"/>
        </w:rPr>
        <w:t>.</w:t>
      </w:r>
      <w:r w:rsidR="00447357" w:rsidRPr="00207748">
        <w:rPr>
          <w:rStyle w:val="Ohne"/>
          <w:rFonts w:ascii="Cambria" w:eastAsia="Arial" w:hAnsi="Cambria" w:cs="Arial"/>
          <w:spacing w:val="-4"/>
          <w:sz w:val="20"/>
          <w:szCs w:val="20"/>
          <w:vertAlign w:val="superscript"/>
        </w:rPr>
        <w:endnoteReference w:id="662"/>
      </w:r>
      <w:r w:rsidR="00447357" w:rsidRPr="00207748">
        <w:rPr>
          <w:rStyle w:val="Ohne"/>
          <w:rFonts w:ascii="Cambria" w:hAnsi="Cambria" w:cs="Arial"/>
          <w:spacing w:val="-4"/>
          <w:sz w:val="20"/>
          <w:szCs w:val="20"/>
        </w:rPr>
        <w:t xml:space="preserve"> Eine Ernährungsintoleranz ist durch Erbrechen, </w:t>
      </w:r>
      <w:r w:rsidR="00342FB3" w:rsidRPr="00207748">
        <w:rPr>
          <w:rStyle w:val="Ohne"/>
          <w:rFonts w:ascii="Cambria" w:hAnsi="Cambria" w:cs="Arial"/>
          <w:spacing w:val="-4"/>
          <w:sz w:val="20"/>
          <w:szCs w:val="20"/>
        </w:rPr>
        <w:t>die Aspiration</w:t>
      </w:r>
      <w:r w:rsidR="00447357" w:rsidRPr="00207748">
        <w:rPr>
          <w:rStyle w:val="Ohne"/>
          <w:rFonts w:ascii="Cambria" w:hAnsi="Cambria" w:cs="Arial"/>
          <w:spacing w:val="-4"/>
          <w:sz w:val="20"/>
          <w:szCs w:val="20"/>
        </w:rPr>
        <w:t xml:space="preserve"> von Mageninhalt oder sogar </w:t>
      </w:r>
      <w:r w:rsidR="00342FB3" w:rsidRPr="00207748">
        <w:rPr>
          <w:rStyle w:val="Ohne"/>
          <w:rFonts w:ascii="Cambria" w:hAnsi="Cambria" w:cs="Arial"/>
          <w:spacing w:val="-4"/>
          <w:sz w:val="20"/>
          <w:szCs w:val="20"/>
        </w:rPr>
        <w:t>eine Pneumonie</w:t>
      </w:r>
      <w:r w:rsidR="00447357" w:rsidRPr="00207748">
        <w:rPr>
          <w:rStyle w:val="Ohne"/>
          <w:rFonts w:ascii="Cambria" w:hAnsi="Cambria" w:cs="Arial"/>
          <w:spacing w:val="-4"/>
          <w:sz w:val="20"/>
          <w:szCs w:val="20"/>
        </w:rPr>
        <w:t xml:space="preserve"> gekennzeichnet und kann eine Unterbrechung der enteralen Ernährung </w:t>
      </w:r>
      <w:r w:rsidR="00447357" w:rsidRPr="00207748">
        <w:rPr>
          <w:rStyle w:val="Ohne"/>
          <w:rFonts w:ascii="Cambria" w:hAnsi="Cambria" w:cs="Arial"/>
          <w:spacing w:val="-4"/>
          <w:sz w:val="20"/>
          <w:szCs w:val="20"/>
        </w:rPr>
        <w:lastRenderedPageBreak/>
        <w:t>erfordern</w:t>
      </w:r>
      <w:r w:rsidR="003F7F50" w:rsidRPr="00207748">
        <w:rPr>
          <w:rStyle w:val="Ohne"/>
          <w:rFonts w:ascii="Cambria" w:hAnsi="Cambria" w:cs="Arial"/>
          <w:spacing w:val="-4"/>
          <w:sz w:val="20"/>
          <w:szCs w:val="20"/>
        </w:rPr>
        <w:t>.</w:t>
      </w:r>
      <w:r w:rsidR="00447357" w:rsidRPr="00207748">
        <w:rPr>
          <w:rStyle w:val="Ohne"/>
          <w:rFonts w:ascii="Cambria" w:eastAsia="Arial" w:hAnsi="Cambria" w:cs="Arial"/>
          <w:spacing w:val="-4"/>
          <w:sz w:val="20"/>
          <w:szCs w:val="20"/>
          <w:vertAlign w:val="superscript"/>
        </w:rPr>
        <w:endnoteReference w:id="663"/>
      </w:r>
      <w:r w:rsidR="00447357" w:rsidRPr="00207748">
        <w:rPr>
          <w:rStyle w:val="Ohne"/>
          <w:rFonts w:ascii="Cambria" w:hAnsi="Cambria" w:cs="Arial"/>
          <w:spacing w:val="-4"/>
          <w:sz w:val="20"/>
          <w:szCs w:val="20"/>
        </w:rPr>
        <w:t xml:space="preserve"> Die Pathophysiologie ist nicht vollständig geklärt und mit großer Wahrscheinlichkeit multifaktoriell. Die</w:t>
      </w:r>
      <w:r w:rsidR="002B1061">
        <w:rPr>
          <w:rStyle w:val="Ohne"/>
          <w:rFonts w:ascii="Cambria" w:hAnsi="Cambria" w:cs="Arial"/>
          <w:spacing w:val="-4"/>
          <w:sz w:val="20"/>
          <w:szCs w:val="20"/>
        </w:rPr>
        <w:t xml:space="preserve"> </w:t>
      </w:r>
      <w:r w:rsidR="00447357" w:rsidRPr="00207748">
        <w:rPr>
          <w:rStyle w:val="Ohne"/>
          <w:rFonts w:ascii="Cambria" w:hAnsi="Cambria" w:cs="Arial"/>
          <w:spacing w:val="-4"/>
          <w:sz w:val="20"/>
          <w:szCs w:val="20"/>
        </w:rPr>
        <w:t>Gastroparese kann durch häufig in der Intensivmedizin verwendete Pharmaka begünstigt werden (z.B. Sedativa, Opiode oder NMBAs), oder auch die Folge einer schockbedingten Minderperfusion im Gastrointestinaltrakt, einer</w:t>
      </w:r>
      <w:r w:rsidR="002B1061">
        <w:rPr>
          <w:rStyle w:val="Ohne"/>
          <w:rFonts w:ascii="Cambria" w:hAnsi="Cambria" w:cs="Arial"/>
          <w:spacing w:val="-4"/>
          <w:sz w:val="20"/>
          <w:szCs w:val="20"/>
        </w:rPr>
        <w:t xml:space="preserve"> </w:t>
      </w:r>
      <w:r w:rsidR="00447357" w:rsidRPr="00207748">
        <w:rPr>
          <w:rStyle w:val="Ohne"/>
          <w:rFonts w:ascii="Cambria" w:hAnsi="Cambria" w:cs="Arial"/>
          <w:spacing w:val="-4"/>
          <w:sz w:val="20"/>
          <w:szCs w:val="20"/>
        </w:rPr>
        <w:t>Hyperglykämie oder der Gabe von Katecholaminen sein</w:t>
      </w:r>
      <w:r w:rsidR="003F7F50" w:rsidRPr="00207748">
        <w:rPr>
          <w:rStyle w:val="Ohne"/>
          <w:rFonts w:ascii="Cambria" w:hAnsi="Cambria" w:cs="Arial"/>
          <w:spacing w:val="-4"/>
          <w:sz w:val="20"/>
          <w:szCs w:val="20"/>
        </w:rPr>
        <w:t>.</w:t>
      </w:r>
      <w:r w:rsidR="00447357" w:rsidRPr="00207748">
        <w:rPr>
          <w:rStyle w:val="Ohne"/>
          <w:rFonts w:ascii="Cambria" w:eastAsia="Arial" w:hAnsi="Cambria" w:cs="Arial"/>
          <w:spacing w:val="-4"/>
          <w:sz w:val="20"/>
          <w:szCs w:val="20"/>
          <w:vertAlign w:val="superscript"/>
        </w:rPr>
        <w:endnoteReference w:id="664"/>
      </w:r>
    </w:p>
    <w:p w14:paraId="285B7FB7" w14:textId="2B4CF2C2" w:rsidR="00E11869" w:rsidRPr="00207748" w:rsidRDefault="00447357" w:rsidP="004454B6">
      <w:pPr>
        <w:spacing w:before="240"/>
        <w:rPr>
          <w:rStyle w:val="Ohne"/>
          <w:rFonts w:ascii="Cambria" w:eastAsia="Arial" w:hAnsi="Cambria" w:cs="Arial"/>
          <w:spacing w:val="-2"/>
          <w:sz w:val="20"/>
          <w:szCs w:val="20"/>
        </w:rPr>
      </w:pPr>
      <w:r w:rsidRPr="00207748">
        <w:rPr>
          <w:rStyle w:val="Ohne"/>
          <w:rFonts w:ascii="Cambria" w:hAnsi="Cambria" w:cs="Arial"/>
          <w:spacing w:val="-1"/>
          <w:sz w:val="20"/>
          <w:szCs w:val="20"/>
        </w:rPr>
        <w:t xml:space="preserve">Bei einer Gastroparese bietet die postpylorische Sondenplatzierung theoretische Vorteile zur Verbesserung der Ernährungsintoleranz, da die </w:t>
      </w:r>
      <w:r w:rsidR="00342FB3" w:rsidRPr="00207748">
        <w:rPr>
          <w:rStyle w:val="Ohne"/>
          <w:rFonts w:ascii="Cambria" w:hAnsi="Cambria" w:cs="Arial"/>
          <w:spacing w:val="-1"/>
          <w:sz w:val="20"/>
          <w:szCs w:val="20"/>
        </w:rPr>
        <w:t>Applikation der</w:t>
      </w:r>
      <w:r w:rsidRPr="00207748">
        <w:rPr>
          <w:rStyle w:val="Ohne"/>
          <w:rFonts w:ascii="Cambria" w:hAnsi="Cambria" w:cs="Arial"/>
          <w:spacing w:val="-1"/>
          <w:sz w:val="20"/>
          <w:szCs w:val="20"/>
        </w:rPr>
        <w:t xml:space="preserve"> Nahrung unter Umgehung des Magens direkt in den </w:t>
      </w:r>
      <w:r w:rsidR="00342FB3" w:rsidRPr="00207748">
        <w:rPr>
          <w:rStyle w:val="Ohne"/>
          <w:rFonts w:ascii="Cambria" w:hAnsi="Cambria" w:cs="Arial"/>
          <w:spacing w:val="-1"/>
          <w:sz w:val="20"/>
          <w:szCs w:val="20"/>
        </w:rPr>
        <w:t>Dünndarm ermöglicht</w:t>
      </w:r>
      <w:r w:rsidRPr="00207748">
        <w:rPr>
          <w:rStyle w:val="Ohne"/>
          <w:rFonts w:ascii="Cambria" w:hAnsi="Cambria" w:cs="Arial"/>
          <w:spacing w:val="-1"/>
          <w:sz w:val="20"/>
          <w:szCs w:val="20"/>
        </w:rPr>
        <w:t xml:space="preserve"> </w:t>
      </w:r>
      <w:r w:rsidR="00342FB3" w:rsidRPr="00207748">
        <w:rPr>
          <w:rStyle w:val="Ohne"/>
          <w:rFonts w:ascii="Cambria" w:hAnsi="Cambria" w:cs="Arial"/>
          <w:spacing w:val="-1"/>
          <w:sz w:val="20"/>
          <w:szCs w:val="20"/>
        </w:rPr>
        <w:t>wird.</w:t>
      </w:r>
      <w:r w:rsidRPr="00207748">
        <w:rPr>
          <w:rStyle w:val="Ohne"/>
          <w:rFonts w:ascii="Cambria" w:hAnsi="Cambria" w:cs="Arial"/>
          <w:spacing w:val="-1"/>
          <w:sz w:val="20"/>
          <w:szCs w:val="20"/>
        </w:rPr>
        <w:t xml:space="preserve"> Postpylorische Ernährungssonden sind sicher, sind jedoch nicht immer verfügbar und erfordern besonderen technischen Aufwand und Expertise zur erfolgreichen Positionierung. Eine gastrische Luftinsufflation und Prokinetika sind jeweils</w:t>
      </w:r>
      <w:r w:rsidR="00D60A69">
        <w:rPr>
          <w:rStyle w:val="Ohne"/>
          <w:rFonts w:ascii="Cambria" w:hAnsi="Cambria" w:cs="Arial"/>
          <w:spacing w:val="-1"/>
          <w:sz w:val="20"/>
          <w:szCs w:val="20"/>
        </w:rPr>
        <w:t xml:space="preserve"> effektive Hilfsmittel für die </w:t>
      </w:r>
      <w:r w:rsidRPr="00207748">
        <w:rPr>
          <w:rStyle w:val="Ohne"/>
          <w:rFonts w:ascii="Cambria" w:hAnsi="Cambria" w:cs="Arial"/>
          <w:spacing w:val="-1"/>
          <w:sz w:val="20"/>
          <w:szCs w:val="20"/>
        </w:rPr>
        <w:t>Platzierung</w:t>
      </w:r>
      <w:r w:rsidR="00D60A69">
        <w:rPr>
          <w:rStyle w:val="Ohne"/>
          <w:rFonts w:ascii="Cambria" w:hAnsi="Cambria" w:cs="Arial"/>
          <w:spacing w:val="-1"/>
          <w:sz w:val="20"/>
          <w:szCs w:val="20"/>
        </w:rPr>
        <w:t xml:space="preserve"> </w:t>
      </w:r>
      <w:r w:rsidRPr="00207748">
        <w:rPr>
          <w:rStyle w:val="Ohne"/>
          <w:rFonts w:ascii="Cambria" w:eastAsia="Arial" w:hAnsi="Cambria" w:cs="Arial"/>
          <w:spacing w:val="-1"/>
          <w:sz w:val="20"/>
          <w:szCs w:val="20"/>
          <w:vertAlign w:val="superscript"/>
        </w:rPr>
        <w:endnoteReference w:id="665"/>
      </w:r>
      <w:r w:rsidRPr="00207748">
        <w:rPr>
          <w:rStyle w:val="Ohne"/>
          <w:rFonts w:ascii="Cambria" w:hAnsi="Cambria" w:cs="Arial"/>
          <w:spacing w:val="-1"/>
          <w:sz w:val="20"/>
          <w:szCs w:val="20"/>
        </w:rPr>
        <w:t>. Ferner kann die Positionierung endoskopisch erfolgen oder ein externes Magnetsystem zur Führung der Sonde verwendet werden.</w:t>
      </w:r>
      <w:r w:rsidRPr="00207748">
        <w:rPr>
          <w:rStyle w:val="Ohne"/>
          <w:rFonts w:ascii="Cambria" w:hAnsi="Cambria" w:cs="Arial"/>
          <w:spacing w:val="-3"/>
          <w:sz w:val="20"/>
          <w:szCs w:val="20"/>
        </w:rPr>
        <w:t xml:space="preserve"> Eine systematische Übersicht</w:t>
      </w:r>
      <w:r w:rsidR="00CF59DE">
        <w:rPr>
          <w:rStyle w:val="Ohne"/>
          <w:rFonts w:ascii="Cambria" w:hAnsi="Cambria" w:cs="Arial"/>
          <w:spacing w:val="-3"/>
          <w:sz w:val="20"/>
          <w:szCs w:val="20"/>
        </w:rPr>
        <w:t>sarbeit</w:t>
      </w:r>
      <w:r w:rsidR="002B1061">
        <w:rPr>
          <w:rStyle w:val="Ohne"/>
          <w:rFonts w:ascii="Cambria" w:hAnsi="Cambria" w:cs="Arial"/>
          <w:spacing w:val="-3"/>
          <w:sz w:val="20"/>
          <w:szCs w:val="20"/>
        </w:rPr>
        <w:t xml:space="preserve"> </w:t>
      </w:r>
      <w:r w:rsidRPr="00207748">
        <w:rPr>
          <w:rStyle w:val="Ohne"/>
          <w:rFonts w:ascii="Cambria" w:hAnsi="Cambria" w:cs="Arial"/>
          <w:spacing w:val="-3"/>
          <w:sz w:val="20"/>
          <w:szCs w:val="20"/>
        </w:rPr>
        <w:t xml:space="preserve">und </w:t>
      </w:r>
      <w:r w:rsidR="00CF59DE">
        <w:rPr>
          <w:rStyle w:val="Ohne"/>
          <w:rFonts w:ascii="Cambria" w:hAnsi="Cambria" w:cs="Arial"/>
          <w:spacing w:val="-3"/>
          <w:sz w:val="20"/>
          <w:szCs w:val="20"/>
        </w:rPr>
        <w:t>eine</w:t>
      </w:r>
      <w:r w:rsidRPr="00207748">
        <w:rPr>
          <w:rStyle w:val="Ohne"/>
          <w:rFonts w:ascii="Cambria" w:hAnsi="Cambria" w:cs="Arial"/>
          <w:spacing w:val="-3"/>
          <w:sz w:val="20"/>
          <w:szCs w:val="20"/>
        </w:rPr>
        <w:t xml:space="preserve"> Meta-Analyse von randomisierten Studien untersuchten die </w:t>
      </w:r>
      <w:r w:rsidR="00342FB3" w:rsidRPr="00207748">
        <w:rPr>
          <w:rStyle w:val="Ohne"/>
          <w:rFonts w:ascii="Cambria" w:hAnsi="Cambria" w:cs="Arial"/>
          <w:spacing w:val="-3"/>
          <w:sz w:val="20"/>
          <w:szCs w:val="20"/>
        </w:rPr>
        <w:t>Auswirkungen der</w:t>
      </w:r>
      <w:r w:rsidRPr="00207748">
        <w:rPr>
          <w:rStyle w:val="Ohne"/>
          <w:rFonts w:ascii="Cambria" w:hAnsi="Cambria" w:cs="Arial"/>
          <w:spacing w:val="-3"/>
          <w:sz w:val="20"/>
          <w:szCs w:val="20"/>
        </w:rPr>
        <w:t xml:space="preserve"> postpylorischen (im Vergleich zur Magensonden-) Ernährung. Es wurden 21 RCTs mit 1.579 Patienten einbezogen. Die Ernährung über eine postpylorische Sonde reduzierte das Risiko einer Pneumonie im Vergleich zu einer Ernährung über Magensonden (RR, 0,75; 95 % CI, 0,59–0,94; niedrige Evidenzqualität). Dies entspricht einer 2,5 %igen (95 % CI, 0,6 %–4,1 %) absoluten Reduzierung des Pneumonie</w:t>
      </w:r>
      <w:r w:rsidR="001A58EF" w:rsidRPr="00207748">
        <w:rPr>
          <w:rStyle w:val="Ohne"/>
          <w:rFonts w:ascii="Cambria" w:hAnsi="Cambria" w:cs="Arial"/>
          <w:spacing w:val="-3"/>
          <w:sz w:val="20"/>
          <w:szCs w:val="20"/>
        </w:rPr>
        <w:t>-R</w:t>
      </w:r>
      <w:r w:rsidRPr="00207748">
        <w:rPr>
          <w:rStyle w:val="Ohne"/>
          <w:rFonts w:ascii="Cambria" w:hAnsi="Cambria" w:cs="Arial"/>
          <w:spacing w:val="-3"/>
          <w:sz w:val="20"/>
          <w:szCs w:val="20"/>
        </w:rPr>
        <w:t xml:space="preserve">isikos. Es wurde jedoch keine signifikante Auswirkung auf die </w:t>
      </w:r>
      <w:r w:rsidR="00CF59DE">
        <w:rPr>
          <w:rStyle w:val="Ohne"/>
          <w:rFonts w:ascii="Cambria" w:hAnsi="Cambria" w:cs="Arial"/>
          <w:spacing w:val="-3"/>
          <w:sz w:val="20"/>
          <w:szCs w:val="20"/>
        </w:rPr>
        <w:t>Mortalität</w:t>
      </w:r>
      <w:r w:rsidRPr="00207748">
        <w:rPr>
          <w:rStyle w:val="Ohne"/>
          <w:rFonts w:ascii="Cambria" w:hAnsi="Cambria" w:cs="Arial"/>
          <w:spacing w:val="-3"/>
          <w:sz w:val="20"/>
          <w:szCs w:val="20"/>
        </w:rPr>
        <w:t>, die Aspiration oder das Erbrechen festgestellt</w:t>
      </w:r>
      <w:r w:rsidR="003B1537" w:rsidRPr="00207748">
        <w:rPr>
          <w:rStyle w:val="Ohne"/>
          <w:rFonts w:ascii="Cambria" w:hAnsi="Cambria" w:cs="Arial"/>
          <w:spacing w:val="-3"/>
          <w:sz w:val="20"/>
          <w:szCs w:val="20"/>
        </w:rPr>
        <w:t>.</w:t>
      </w:r>
      <w:r w:rsidRPr="00207748">
        <w:rPr>
          <w:rStyle w:val="Ohne"/>
          <w:rFonts w:ascii="Cambria" w:hAnsi="Cambria" w:cs="Arial"/>
          <w:spacing w:val="-3"/>
          <w:sz w:val="20"/>
          <w:szCs w:val="20"/>
        </w:rPr>
        <w:t xml:space="preserve"> Dies steht im Einklang mit den Ergebnissen anderer Meta-Analysen</w:t>
      </w:r>
      <w:r w:rsidR="00EF1A9E">
        <w:rPr>
          <w:rStyle w:val="Ohne"/>
          <w:rFonts w:ascii="Cambria" w:hAnsi="Cambria" w:cs="Arial"/>
          <w:spacing w:val="-3"/>
          <w:sz w:val="20"/>
          <w:szCs w:val="20"/>
        </w:rPr>
        <w:t>.</w:t>
      </w:r>
      <w:r w:rsidRPr="00207748">
        <w:rPr>
          <w:rStyle w:val="Ohne"/>
          <w:rFonts w:ascii="Cambria" w:hAnsi="Cambria" w:cs="Arial"/>
          <w:spacing w:val="-3"/>
          <w:sz w:val="20"/>
          <w:szCs w:val="20"/>
        </w:rPr>
        <w:t xml:space="preserve"> </w:t>
      </w:r>
      <w:bookmarkStart w:id="494" w:name="_Ref31188510"/>
      <w:r w:rsidRPr="00D60A69">
        <w:rPr>
          <w:rStyle w:val="EndnoteRealZchn"/>
        </w:rPr>
        <w:endnoteReference w:id="666"/>
      </w:r>
      <w:bookmarkEnd w:id="494"/>
    </w:p>
    <w:p w14:paraId="593F5F94" w14:textId="77777777" w:rsidR="00E11869" w:rsidRPr="00207748" w:rsidRDefault="00447357" w:rsidP="004454B6">
      <w:pPr>
        <w:spacing w:before="240"/>
        <w:rPr>
          <w:rStyle w:val="Ohne"/>
          <w:rFonts w:ascii="Cambria" w:eastAsia="Arial" w:hAnsi="Cambria" w:cs="Arial"/>
          <w:sz w:val="20"/>
          <w:szCs w:val="20"/>
        </w:rPr>
      </w:pPr>
      <w:r w:rsidRPr="00207748">
        <w:rPr>
          <w:rStyle w:val="Ohne"/>
          <w:rFonts w:ascii="Cambria" w:hAnsi="Cambria" w:cs="Arial"/>
          <w:spacing w:val="-3"/>
          <w:sz w:val="20"/>
          <w:szCs w:val="20"/>
        </w:rPr>
        <w:t xml:space="preserve">Obwohl die Nutzung von postpylorischen Sonden das Risiko einer Pneumonie reduziert, ist die Evidenzqualität niedrig und </w:t>
      </w:r>
      <w:r w:rsidRPr="00207748">
        <w:rPr>
          <w:rStyle w:val="Ohne"/>
          <w:rFonts w:ascii="Cambria" w:hAnsi="Cambria" w:cs="Arial"/>
          <w:sz w:val="20"/>
          <w:szCs w:val="20"/>
        </w:rPr>
        <w:t xml:space="preserve">der quantifizierbare </w:t>
      </w:r>
      <w:r w:rsidR="00342FB3" w:rsidRPr="00207748">
        <w:rPr>
          <w:rStyle w:val="Ohne"/>
          <w:rFonts w:ascii="Cambria" w:hAnsi="Cambria" w:cs="Arial"/>
          <w:sz w:val="20"/>
          <w:szCs w:val="20"/>
        </w:rPr>
        <w:t>Nutzen gering</w:t>
      </w:r>
      <w:r w:rsidRPr="00207748">
        <w:rPr>
          <w:rStyle w:val="Ohne"/>
          <w:rFonts w:ascii="Cambria" w:hAnsi="Cambria" w:cs="Arial"/>
          <w:sz w:val="20"/>
          <w:szCs w:val="20"/>
        </w:rPr>
        <w:t>. Weitere Auswirkungen für den Patienten sind nicht sicher geklärt. Zur ökonomischen Bewertung der postpylorischen Sondenplatzierung besteht ein Bedarf für Kosten-Nutzen-Analysen. Daher ist bei Niedrig-</w:t>
      </w:r>
      <w:r w:rsidRPr="00207748">
        <w:rPr>
          <w:rStyle w:val="Ohne"/>
          <w:rFonts w:ascii="Cambria" w:hAnsi="Cambria" w:cs="Arial"/>
          <w:sz w:val="20"/>
          <w:szCs w:val="20"/>
        </w:rPr>
        <w:lastRenderedPageBreak/>
        <w:t>Risiko-Patienten die Indikation bei Abwägung zwischen erwünschten und unerwünschten Folgen relativ. Bei Patienten mit hohem Aspirationsrisiko (d.h. solche mit wiederholter Aspiration in der Anamnese, einer schweren Gastroparese oder einer persistierenden Ernährungsintoleranz bei gastraler Ernährung) kann die postpylorische Sondenplatzierung gerechtfertigt sein.</w:t>
      </w:r>
    </w:p>
    <w:p w14:paraId="6F429145" w14:textId="77777777" w:rsidR="00E11869" w:rsidRPr="00207748" w:rsidRDefault="00447357" w:rsidP="004454B6">
      <w:pPr>
        <w:spacing w:before="240"/>
        <w:rPr>
          <w:rStyle w:val="Ohne"/>
          <w:rFonts w:ascii="Cambria" w:eastAsia="Arial" w:hAnsi="Cambria" w:cs="Arial"/>
          <w:iCs/>
          <w:spacing w:val="-2"/>
          <w:sz w:val="20"/>
          <w:szCs w:val="20"/>
        </w:rPr>
      </w:pPr>
      <w:r w:rsidRPr="00207748">
        <w:rPr>
          <w:rStyle w:val="Ohne"/>
          <w:rFonts w:ascii="Cambria" w:hAnsi="Cambria" w:cs="Arial"/>
          <w:spacing w:val="-3"/>
          <w:sz w:val="20"/>
          <w:szCs w:val="20"/>
        </w:rPr>
        <w:t>Hier besteht Konsens mit den o.g. Leitlinien nationaler und internationaler Ernährungsgesellschaften.</w:t>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18"/>
        <w:gridCol w:w="834"/>
      </w:tblGrid>
      <w:tr w:rsidR="00E11869" w:rsidRPr="00207748" w14:paraId="207D1DF9"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7CC0278"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T.7</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18879FEB"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260ECA8C"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2F71207A" w14:textId="77777777" w:rsidTr="00182D07">
        <w:trPr>
          <w:trHeight w:val="192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3AD60"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Empfehlungsgrad</w:t>
            </w:r>
          </w:p>
          <w:p w14:paraId="714F267F" w14:textId="77777777" w:rsidR="00E11869" w:rsidRPr="00207748" w:rsidRDefault="00E11869" w:rsidP="004454B6">
            <w:pPr>
              <w:spacing w:after="0"/>
              <w:rPr>
                <w:rStyle w:val="Ohne"/>
                <w:rFonts w:ascii="Cambria" w:eastAsia="Arial" w:hAnsi="Cambria" w:cs="Arial"/>
                <w:sz w:val="20"/>
                <w:szCs w:val="20"/>
              </w:rPr>
            </w:pPr>
          </w:p>
          <w:p w14:paraId="0484C243" w14:textId="77777777" w:rsidR="00E11869" w:rsidRPr="00207748" w:rsidRDefault="00447357" w:rsidP="004454B6">
            <w:pPr>
              <w:spacing w:after="0"/>
              <w:rPr>
                <w:rStyle w:val="Ohne"/>
                <w:rFonts w:ascii="Cambria" w:eastAsia="Arial" w:hAnsi="Cambria" w:cs="Arial"/>
                <w:b/>
                <w:bCs/>
                <w:sz w:val="20"/>
                <w:szCs w:val="20"/>
              </w:rPr>
            </w:pPr>
            <w:r w:rsidRPr="00207748">
              <w:rPr>
                <w:rStyle w:val="Ohne"/>
                <w:rFonts w:ascii="Cambria" w:hAnsi="Cambria" w:cs="Arial"/>
                <w:b/>
                <w:bCs/>
                <w:sz w:val="20"/>
                <w:szCs w:val="20"/>
              </w:rPr>
              <w:t>stark</w:t>
            </w:r>
          </w:p>
          <w:p w14:paraId="741D3C02" w14:textId="77777777" w:rsidR="00E11869" w:rsidRPr="00207748" w:rsidRDefault="00E11869" w:rsidP="004454B6">
            <w:pPr>
              <w:spacing w:after="0"/>
              <w:rPr>
                <w:rStyle w:val="Ohne"/>
                <w:rFonts w:ascii="Cambria" w:eastAsia="Arial" w:hAnsi="Cambria" w:cs="Arial"/>
                <w:b/>
                <w:bCs/>
                <w:sz w:val="20"/>
                <w:szCs w:val="20"/>
              </w:rPr>
            </w:pPr>
          </w:p>
          <w:p w14:paraId="2094175C"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Evidenzgrad</w:t>
            </w:r>
          </w:p>
          <w:p w14:paraId="6C50D6FF" w14:textId="77777777" w:rsidR="00E11869" w:rsidRPr="00207748" w:rsidRDefault="00E11869" w:rsidP="004454B6">
            <w:pPr>
              <w:spacing w:after="0"/>
              <w:rPr>
                <w:rStyle w:val="Ohne"/>
                <w:rFonts w:ascii="Cambria" w:eastAsia="Arial" w:hAnsi="Cambria" w:cs="Arial"/>
                <w:sz w:val="20"/>
                <w:szCs w:val="20"/>
              </w:rPr>
            </w:pPr>
          </w:p>
          <w:p w14:paraId="7454E5C7"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moderat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FE7EB"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Wir empfehlen, dass von der Verwendung von intravenösem Selen bei der Behandlung von Patienten mit Sepsis und septischem Schock abgesehen wird.</w:t>
            </w:r>
          </w:p>
        </w:tc>
      </w:tr>
      <w:tr w:rsidR="00E11869" w:rsidRPr="00207748" w14:paraId="1B7C64B0" w14:textId="77777777" w:rsidTr="00342FB3">
        <w:trPr>
          <w:trHeight w:val="603"/>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21F7B6C6"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B843A"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SSC</w:t>
            </w:r>
            <w:r w:rsidR="001A58EF" w:rsidRPr="00207748">
              <w:rPr>
                <w:rStyle w:val="Ohne"/>
                <w:rFonts w:ascii="Cambria" w:hAnsi="Cambria" w:cs="Arial"/>
                <w:b/>
                <w:bCs/>
                <w:sz w:val="20"/>
                <w:szCs w:val="20"/>
              </w:rPr>
              <w:t>-</w:t>
            </w:r>
            <w:r w:rsidRPr="00207748">
              <w:rPr>
                <w:rStyle w:val="Ohne"/>
                <w:rFonts w:ascii="Cambria" w:hAnsi="Cambria" w:cs="Arial"/>
                <w:b/>
                <w:bCs/>
                <w:sz w:val="20"/>
                <w:szCs w:val="20"/>
              </w:rPr>
              <w:t>Leitlinien</w:t>
            </w:r>
            <w:r w:rsidR="00E873A9" w:rsidRPr="00207748">
              <w:rPr>
                <w:rStyle w:val="Ohne"/>
                <w:rFonts w:ascii="Cambria" w:hAnsi="Cambria" w:cs="Arial"/>
                <w:b/>
                <w:bCs/>
                <w:sz w:val="20"/>
                <w:szCs w:val="20"/>
              </w:rPr>
              <w:t>adaptation</w:t>
            </w:r>
            <w:r w:rsidRPr="00207748">
              <w:rPr>
                <w:rStyle w:val="Ohne"/>
                <w:rFonts w:ascii="Cambria" w:hAnsi="Cambria" w:cs="Arial"/>
                <w:b/>
                <w:bCs/>
                <w:sz w:val="20"/>
                <w:szCs w:val="20"/>
              </w:rPr>
              <w:t xml:space="preserve"> </w:t>
            </w:r>
          </w:p>
        </w:tc>
      </w:tr>
      <w:tr w:rsidR="00E11869" w:rsidRPr="00207748" w14:paraId="2677172F"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F6F95"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87115"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Konsensstärke: 100 %</w:t>
            </w:r>
          </w:p>
        </w:tc>
      </w:tr>
    </w:tbl>
    <w:p w14:paraId="41C136C6" w14:textId="7F13EE9D" w:rsidR="00E11869" w:rsidRPr="00207748" w:rsidRDefault="00420A45" w:rsidP="004454B6">
      <w:pPr>
        <w:shd w:val="clear" w:color="auto" w:fill="FFFFFF"/>
        <w:spacing w:before="240"/>
        <w:rPr>
          <w:rStyle w:val="Ohne"/>
          <w:rFonts w:ascii="Cambria" w:hAnsi="Cambria" w:cs="Arial"/>
          <w:sz w:val="20"/>
          <w:szCs w:val="20"/>
        </w:rPr>
      </w:pPr>
      <w:r w:rsidRPr="00207748">
        <w:rPr>
          <w:rStyle w:val="Ohne"/>
          <w:rFonts w:ascii="Cambria" w:hAnsi="Cambria" w:cs="Arial"/>
          <w:b/>
          <w:bCs/>
          <w:sz w:val="20"/>
          <w:szCs w:val="20"/>
        </w:rPr>
        <w:t>Begründung:</w:t>
      </w:r>
      <w:r w:rsidR="00447357" w:rsidRPr="00207748">
        <w:rPr>
          <w:rStyle w:val="Ohne"/>
          <w:rFonts w:ascii="Cambria" w:hAnsi="Cambria" w:cs="Arial"/>
          <w:b/>
          <w:bCs/>
          <w:iCs/>
          <w:sz w:val="20"/>
          <w:szCs w:val="20"/>
        </w:rPr>
        <w:t xml:space="preserve"> </w:t>
      </w:r>
      <w:r w:rsidR="00447357" w:rsidRPr="00207748">
        <w:rPr>
          <w:rStyle w:val="Ohne"/>
          <w:rFonts w:ascii="Cambria" w:hAnsi="Cambria" w:cs="Arial"/>
          <w:sz w:val="20"/>
          <w:szCs w:val="20"/>
        </w:rPr>
        <w:t>Selen wird mit der Intention verabreicht, eine Verminderung der Selen-Konzentration im Rahmen der Sepsis zu korrigieren und einen positiven pharmakologischen Effekt auf die antioxidative Kapazität zu erzielen. Obwohl einige RCTs verfügbar sind, ist die Evidenz für den Nutzen von intravenösem Selen nicht überzeugend. Zwei aktuelle Meta-Analysen suggerieren (mit schwachen Ergebnissen) einen potenziellen Vorteil einer hochdosierten Selen-Supplementierung bei Sepsis</w:t>
      </w:r>
      <w:r w:rsidR="00264D62" w:rsidRPr="00D60A69">
        <w:rPr>
          <w:rStyle w:val="EndnoteRealZchn"/>
        </w:rPr>
        <w:t>.</w:t>
      </w:r>
      <w:r w:rsidR="00EF1A9E">
        <w:rPr>
          <w:rStyle w:val="EndnoteRealZchn"/>
        </w:rPr>
        <w:fldChar w:fldCharType="begin"/>
      </w:r>
      <w:r w:rsidR="00EF1A9E">
        <w:rPr>
          <w:rStyle w:val="EndnoteRealZchn"/>
        </w:rPr>
        <w:instrText xml:space="preserve"> NOTEREF _Ref31188510 \h </w:instrText>
      </w:r>
      <w:r w:rsidR="00EF1A9E">
        <w:rPr>
          <w:rStyle w:val="EndnoteRealZchn"/>
        </w:rPr>
      </w:r>
      <w:r w:rsidR="00EF1A9E">
        <w:rPr>
          <w:rStyle w:val="EndnoteRealZchn"/>
        </w:rPr>
        <w:fldChar w:fldCharType="separate"/>
      </w:r>
      <w:r w:rsidR="00EF1A9E">
        <w:rPr>
          <w:rStyle w:val="EndnoteRealZchn"/>
        </w:rPr>
        <w:t>676</w:t>
      </w:r>
      <w:r w:rsidR="00EF1A9E">
        <w:rPr>
          <w:rStyle w:val="EndnoteRealZchn"/>
        </w:rPr>
        <w:fldChar w:fldCharType="end"/>
      </w:r>
      <w:r w:rsidR="00264D62" w:rsidRPr="00D60A69">
        <w:rPr>
          <w:rStyle w:val="EndnoteRealZchn"/>
        </w:rPr>
        <w:t xml:space="preserve"> </w:t>
      </w:r>
      <w:r w:rsidR="00447357" w:rsidRPr="00D60A69">
        <w:rPr>
          <w:rStyle w:val="EndnoteRealZchn"/>
        </w:rPr>
        <w:endnoteReference w:id="667"/>
      </w:r>
      <w:r w:rsidR="00264D62" w:rsidRPr="00207748">
        <w:rPr>
          <w:rStyle w:val="Ohne"/>
          <w:rFonts w:ascii="Cambria" w:hAnsi="Cambria" w:cs="Arial"/>
          <w:sz w:val="20"/>
          <w:szCs w:val="20"/>
        </w:rPr>
        <w:t xml:space="preserve"> </w:t>
      </w:r>
      <w:r w:rsidR="00447357" w:rsidRPr="00207748">
        <w:rPr>
          <w:rStyle w:val="Ohne"/>
          <w:rFonts w:ascii="Cambria" w:hAnsi="Cambria" w:cs="Arial"/>
          <w:sz w:val="20"/>
          <w:szCs w:val="20"/>
        </w:rPr>
        <w:t>Die hochdosierte Gabe von Selen (Natrium Selenit 1000ug/d für max. 21 Tage ) vs. Placebo wurde in einer multizentrischen randomisiert-kontrollierten Studie (SISPCT) an 1.089 Patienten mit schwerer Sepsis oder septischem Schock neben einer Procalcitonin-gesteuerten Antibiotikatherapie untersucht</w:t>
      </w:r>
      <w:r w:rsidR="00264D62" w:rsidRPr="00207748">
        <w:rPr>
          <w:rStyle w:val="Ohne"/>
          <w:rFonts w:ascii="Cambria" w:hAnsi="Cambria" w:cs="Arial"/>
          <w:sz w:val="20"/>
          <w:szCs w:val="20"/>
        </w:rPr>
        <w:t>.</w:t>
      </w:r>
      <w:r w:rsidR="00447357" w:rsidRPr="00D60A69">
        <w:rPr>
          <w:rStyle w:val="EndnoteRealZchn"/>
        </w:rPr>
        <w:endnoteReference w:id="668"/>
      </w:r>
      <w:r w:rsidR="00264D62" w:rsidRPr="00D60A69">
        <w:rPr>
          <w:rStyle w:val="EndnoteRealZchn"/>
        </w:rPr>
        <w:t xml:space="preserve"> </w:t>
      </w:r>
      <w:r w:rsidR="00447357" w:rsidRPr="00207748">
        <w:rPr>
          <w:rStyle w:val="Ohne"/>
          <w:rFonts w:ascii="Cambria" w:hAnsi="Cambria" w:cs="Arial"/>
          <w:sz w:val="20"/>
          <w:szCs w:val="20"/>
        </w:rPr>
        <w:t xml:space="preserve">In der "Intention-to-treat“-Analyse von 543 Patienten </w:t>
      </w:r>
      <w:r w:rsidR="00447357" w:rsidRPr="00207748">
        <w:rPr>
          <w:rStyle w:val="Ohne"/>
          <w:rFonts w:ascii="Cambria" w:hAnsi="Cambria" w:cs="Arial"/>
          <w:sz w:val="20"/>
          <w:szCs w:val="20"/>
        </w:rPr>
        <w:lastRenderedPageBreak/>
        <w:t>mit Selengabe vs. 546 mit Placebo zeigte sich im primären Endpunkt 28-Tage Letalität mit 28,3 % (95 % CI, 24,5-32,3 %) vs 25,5 % (95 % CI, 22,9-29,5 %) kein signifikanter Unterschied (p=0.30)</w:t>
      </w:r>
      <w:r w:rsidR="00264D62" w:rsidRPr="00207748">
        <w:rPr>
          <w:rStyle w:val="Ohne"/>
          <w:rFonts w:ascii="Cambria" w:hAnsi="Cambria" w:cs="Arial"/>
          <w:sz w:val="20"/>
          <w:szCs w:val="20"/>
        </w:rPr>
        <w:t>.</w:t>
      </w:r>
      <w:r w:rsidR="00447357" w:rsidRPr="00D60A69">
        <w:rPr>
          <w:rStyle w:val="EndnoteZchn"/>
        </w:rPr>
        <w:endnoteReference w:id="669"/>
      </w:r>
      <w:r w:rsidR="00447357" w:rsidRPr="00207748">
        <w:rPr>
          <w:rStyle w:val="Ohne"/>
          <w:rFonts w:ascii="Cambria" w:hAnsi="Cambria" w:cs="Arial"/>
          <w:sz w:val="20"/>
          <w:szCs w:val="20"/>
        </w:rPr>
        <w:t xml:space="preserve"> </w:t>
      </w:r>
    </w:p>
    <w:p w14:paraId="2C5F1575" w14:textId="34B24EC1" w:rsidR="00E11869" w:rsidRPr="00207748" w:rsidRDefault="00447357" w:rsidP="004454B6">
      <w:pPr>
        <w:spacing w:before="240"/>
        <w:ind w:right="216"/>
        <w:rPr>
          <w:rStyle w:val="Ohne"/>
          <w:rFonts w:ascii="Cambria" w:eastAsia="Arial" w:hAnsi="Cambria" w:cs="Arial"/>
          <w:iCs/>
          <w:sz w:val="20"/>
          <w:szCs w:val="20"/>
        </w:rPr>
      </w:pPr>
      <w:r w:rsidRPr="00207748">
        <w:rPr>
          <w:rStyle w:val="Ohne"/>
          <w:rFonts w:ascii="Cambria" w:hAnsi="Cambria" w:cs="Arial"/>
          <w:sz w:val="20"/>
          <w:szCs w:val="20"/>
        </w:rPr>
        <w:t xml:space="preserve">Desweiteren wurden keine Unterschiede in Bezug auf die sekundären Endpunkte hinsichtlich des Auftretend einer nosokomialen Pneumonie oder der Aufenthaltsdauer auf ITS festgestellt. Bei der Aktualisierung der SSC-Meta-Analyse unter Einbeziehung der SISPCT-Studienergebnisse wurde kein Vorteil bezüglich der </w:t>
      </w:r>
      <w:r w:rsidR="00B7508E">
        <w:rPr>
          <w:rStyle w:val="Ohne"/>
          <w:rFonts w:ascii="Cambria" w:hAnsi="Cambria" w:cs="Arial"/>
          <w:sz w:val="20"/>
          <w:szCs w:val="20"/>
        </w:rPr>
        <w:t>Mortalität</w:t>
      </w:r>
      <w:r w:rsidRPr="00207748">
        <w:rPr>
          <w:rStyle w:val="Ohne"/>
          <w:rFonts w:ascii="Cambria" w:hAnsi="Cambria" w:cs="Arial"/>
          <w:sz w:val="20"/>
          <w:szCs w:val="20"/>
        </w:rPr>
        <w:t xml:space="preserve"> bei hochdo</w:t>
      </w:r>
      <w:r w:rsidR="00D60A69">
        <w:rPr>
          <w:rStyle w:val="Ohne"/>
          <w:rFonts w:ascii="Cambria" w:hAnsi="Cambria" w:cs="Arial"/>
          <w:sz w:val="20"/>
          <w:szCs w:val="20"/>
        </w:rPr>
        <w:t>sierter Selengabe nachgewiesen.</w:t>
      </w:r>
      <w:r w:rsidRPr="00207748">
        <w:rPr>
          <w:rStyle w:val="Ohne"/>
          <w:rFonts w:ascii="Cambria" w:hAnsi="Cambria" w:cs="Arial"/>
          <w:sz w:val="20"/>
          <w:szCs w:val="20"/>
        </w:rPr>
        <w:t xml:space="preserve"> So kann die intravenöse Gabe von Selen bei septischen Patienten nicht empfohlen werden.</w:t>
      </w: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18"/>
        <w:gridCol w:w="834"/>
      </w:tblGrid>
      <w:tr w:rsidR="00E11869" w:rsidRPr="00207748" w14:paraId="0284160E"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6C706F0"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T.8</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2C62126F"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4969FFB8"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3A8C38F4" w14:textId="77777777" w:rsidTr="00264D62">
        <w:trPr>
          <w:trHeight w:val="2041"/>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ED341"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Empfehlungsgrad</w:t>
            </w:r>
          </w:p>
          <w:p w14:paraId="0B0B38FD" w14:textId="77777777" w:rsidR="00E11869" w:rsidRPr="00207748" w:rsidRDefault="00E11869" w:rsidP="004454B6">
            <w:pPr>
              <w:spacing w:after="0"/>
              <w:rPr>
                <w:rStyle w:val="Ohne"/>
                <w:rFonts w:ascii="Cambria" w:eastAsia="Arial" w:hAnsi="Cambria" w:cs="Arial"/>
                <w:sz w:val="20"/>
                <w:szCs w:val="20"/>
              </w:rPr>
            </w:pPr>
          </w:p>
          <w:p w14:paraId="4895FA42" w14:textId="77777777" w:rsidR="00E11869" w:rsidRPr="00207748" w:rsidRDefault="00447357" w:rsidP="004454B6">
            <w:pPr>
              <w:spacing w:after="0"/>
              <w:rPr>
                <w:rStyle w:val="Ohne"/>
                <w:rFonts w:ascii="Cambria" w:eastAsia="Arial" w:hAnsi="Cambria" w:cs="Arial"/>
                <w:b/>
                <w:bCs/>
                <w:sz w:val="20"/>
                <w:szCs w:val="20"/>
              </w:rPr>
            </w:pPr>
            <w:r w:rsidRPr="00207748">
              <w:rPr>
                <w:rStyle w:val="Ohne"/>
                <w:rFonts w:ascii="Cambria" w:hAnsi="Cambria" w:cs="Arial"/>
                <w:b/>
                <w:bCs/>
                <w:sz w:val="20"/>
                <w:szCs w:val="20"/>
              </w:rPr>
              <w:t>stark</w:t>
            </w:r>
          </w:p>
          <w:p w14:paraId="3CAE803B" w14:textId="77777777" w:rsidR="00E11869" w:rsidRPr="00207748" w:rsidRDefault="00E11869" w:rsidP="004454B6">
            <w:pPr>
              <w:spacing w:after="0"/>
              <w:rPr>
                <w:rStyle w:val="Ohne"/>
                <w:rFonts w:ascii="Cambria" w:eastAsia="Arial" w:hAnsi="Cambria" w:cs="Arial"/>
                <w:b/>
                <w:bCs/>
                <w:sz w:val="20"/>
                <w:szCs w:val="20"/>
              </w:rPr>
            </w:pPr>
          </w:p>
          <w:p w14:paraId="0D7A3180"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Evidenzgrad</w:t>
            </w:r>
          </w:p>
          <w:p w14:paraId="23C9BBB7" w14:textId="77777777" w:rsidR="00E11869" w:rsidRPr="00207748" w:rsidRDefault="00E11869" w:rsidP="004454B6">
            <w:pPr>
              <w:spacing w:after="0"/>
              <w:rPr>
                <w:rStyle w:val="Ohne"/>
                <w:rFonts w:ascii="Cambria" w:eastAsia="Arial" w:hAnsi="Cambria" w:cs="Arial"/>
                <w:sz w:val="20"/>
                <w:szCs w:val="20"/>
              </w:rPr>
            </w:pPr>
          </w:p>
          <w:p w14:paraId="0D332883"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moderat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A5D292"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Wir empfehlen, dass von der Verwendung von Glutamin bei der Behandlung von Patienten mit Sepsis oder septischem Schock abgesehen wird.</w:t>
            </w:r>
          </w:p>
        </w:tc>
      </w:tr>
      <w:tr w:rsidR="00E11869" w:rsidRPr="00207748" w14:paraId="40E6ACB3" w14:textId="77777777" w:rsidTr="00342FB3">
        <w:trPr>
          <w:trHeight w:val="603"/>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3071C3AE"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CB84A" w14:textId="77777777" w:rsidR="00E11869" w:rsidRPr="00207748" w:rsidRDefault="00B20D2B" w:rsidP="004454B6">
            <w:pPr>
              <w:spacing w:after="0"/>
              <w:rPr>
                <w:rFonts w:ascii="Cambria" w:hAnsi="Cambria" w:cs="Arial"/>
                <w:sz w:val="20"/>
                <w:szCs w:val="20"/>
              </w:rPr>
            </w:pPr>
            <w:r w:rsidRPr="00207748">
              <w:rPr>
                <w:rStyle w:val="Ohne"/>
                <w:rFonts w:ascii="Cambria" w:hAnsi="Cambria" w:cs="Arial"/>
                <w:b/>
                <w:bCs/>
                <w:sz w:val="20"/>
                <w:szCs w:val="20"/>
              </w:rPr>
              <w:t>SSC-</w:t>
            </w:r>
            <w:r w:rsidR="00447357" w:rsidRPr="00207748">
              <w:rPr>
                <w:rStyle w:val="Ohne"/>
                <w:rFonts w:ascii="Cambria" w:hAnsi="Cambria" w:cs="Arial"/>
                <w:b/>
                <w:bCs/>
                <w:sz w:val="20"/>
                <w:szCs w:val="20"/>
              </w:rPr>
              <w:t xml:space="preserve">Leitlinienadaptation </w:t>
            </w:r>
          </w:p>
        </w:tc>
      </w:tr>
      <w:tr w:rsidR="00E11869" w:rsidRPr="00207748" w14:paraId="327D8374" w14:textId="77777777" w:rsidTr="00342FB3">
        <w:trPr>
          <w:trHeight w:val="92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C233F"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CDE78" w14:textId="77777777" w:rsidR="00B26F79" w:rsidRDefault="00447357" w:rsidP="004454B6">
            <w:pPr>
              <w:spacing w:after="0"/>
              <w:rPr>
                <w:rStyle w:val="Ohne"/>
                <w:rFonts w:ascii="Cambria" w:hAnsi="Cambria" w:cs="Arial"/>
                <w:sz w:val="20"/>
                <w:szCs w:val="20"/>
              </w:rPr>
            </w:pPr>
            <w:r w:rsidRPr="00207748">
              <w:rPr>
                <w:rStyle w:val="Ohne"/>
                <w:rFonts w:ascii="Cambria" w:hAnsi="Cambria" w:cs="Arial"/>
                <w:sz w:val="20"/>
                <w:szCs w:val="20"/>
              </w:rPr>
              <w:t xml:space="preserve">Konsensstärke bei Doppelabstimmung: </w:t>
            </w:r>
          </w:p>
          <w:p w14:paraId="71610804" w14:textId="473E3E67" w:rsidR="0078135D" w:rsidRPr="00207748" w:rsidRDefault="00447357" w:rsidP="004454B6">
            <w:pPr>
              <w:spacing w:after="0"/>
              <w:rPr>
                <w:rFonts w:ascii="Cambria" w:hAnsi="Cambria" w:cs="Arial"/>
                <w:sz w:val="20"/>
                <w:szCs w:val="20"/>
              </w:rPr>
            </w:pPr>
            <w:r w:rsidRPr="00207748">
              <w:rPr>
                <w:rStyle w:val="Ohne"/>
                <w:rFonts w:ascii="Cambria" w:hAnsi="Cambria" w:cs="Arial"/>
                <w:sz w:val="20"/>
                <w:szCs w:val="20"/>
              </w:rPr>
              <w:t xml:space="preserve">100 </w:t>
            </w:r>
            <w:r w:rsidR="003B1537" w:rsidRPr="00207748">
              <w:rPr>
                <w:rStyle w:val="Ohne"/>
                <w:rFonts w:ascii="Cambria" w:hAnsi="Cambria" w:cs="Arial"/>
                <w:sz w:val="20"/>
                <w:szCs w:val="20"/>
              </w:rPr>
              <w:t>%</w:t>
            </w:r>
          </w:p>
        </w:tc>
      </w:tr>
    </w:tbl>
    <w:p w14:paraId="1428D8AD" w14:textId="6B0C4D1F" w:rsidR="00E11869" w:rsidRPr="00207748" w:rsidRDefault="00420A45" w:rsidP="004454B6">
      <w:pPr>
        <w:spacing w:before="240"/>
        <w:rPr>
          <w:rStyle w:val="Ohne"/>
          <w:rFonts w:ascii="Cambria" w:eastAsia="Arial" w:hAnsi="Cambria" w:cs="Arial"/>
          <w:sz w:val="20"/>
          <w:szCs w:val="20"/>
        </w:rPr>
      </w:pPr>
      <w:r w:rsidRPr="00207748">
        <w:rPr>
          <w:rStyle w:val="Ohne"/>
          <w:rFonts w:ascii="Cambria" w:hAnsi="Cambria" w:cs="Arial"/>
          <w:b/>
          <w:bCs/>
          <w:sz w:val="20"/>
          <w:szCs w:val="20"/>
        </w:rPr>
        <w:t>Begründung:</w:t>
      </w:r>
      <w:r w:rsidR="009159D7" w:rsidRPr="00207748">
        <w:rPr>
          <w:rStyle w:val="Ohne"/>
          <w:rFonts w:ascii="Cambria" w:hAnsi="Cambria"/>
          <w:b/>
          <w:bCs/>
          <w:iCs/>
          <w:sz w:val="20"/>
          <w:szCs w:val="20"/>
        </w:rPr>
        <w:t xml:space="preserve"> </w:t>
      </w:r>
      <w:r w:rsidR="00447357" w:rsidRPr="00207748">
        <w:rPr>
          <w:rStyle w:val="Ohne"/>
          <w:rFonts w:ascii="Cambria" w:hAnsi="Cambria" w:cs="Arial"/>
          <w:sz w:val="20"/>
          <w:szCs w:val="20"/>
        </w:rPr>
        <w:t xml:space="preserve">Die Glutamin-Konzentration im Plasma kann während einer kritischen Erkrankung reduziert sein. Plasma-Glutaminspiegel sind bei nicht-elektiven Aufnahmen auf die ITS signifikant niedriger als bei elektiven Patienten. Niedrige Glutaminspiegel sind Ausdruck der Schwere der Erkrankung und einer Infektion. Die exogene Supplementierung kann die Atrophie und Permeabilität der Darmschleimhaut verbessern und möglicherweise zu einer Reduktion der bakteriellen Translokation führen. Zu den anderen potenziellen Vorteilen gehören eine verbesserte Funktion von Immunzellen, eine </w:t>
      </w:r>
      <w:r w:rsidR="00447357" w:rsidRPr="00207748">
        <w:rPr>
          <w:rStyle w:val="Ohne"/>
          <w:rFonts w:ascii="Cambria" w:hAnsi="Cambria" w:cs="Arial"/>
          <w:sz w:val="20"/>
          <w:szCs w:val="20"/>
        </w:rPr>
        <w:lastRenderedPageBreak/>
        <w:t>verringerte proinflammatorische Zytokinproduktion und höhere Konzentrationen von Glutathion und damit eine erhöhte antioxidative Kapazität. Die klinische Signifikanz dieser pathophysiologischen Erkenntnisse wurde jedoch noch nicht eindeutig festgestellt.</w:t>
      </w:r>
    </w:p>
    <w:p w14:paraId="7E0D2F06" w14:textId="5A95C0A2" w:rsidR="00E11869" w:rsidRPr="00207748" w:rsidRDefault="00447357" w:rsidP="004454B6">
      <w:pPr>
        <w:spacing w:before="240"/>
        <w:rPr>
          <w:rStyle w:val="Ohne"/>
          <w:rFonts w:ascii="Cambria" w:eastAsia="Arial" w:hAnsi="Cambria" w:cs="Arial"/>
          <w:sz w:val="20"/>
          <w:szCs w:val="20"/>
        </w:rPr>
      </w:pPr>
      <w:r w:rsidRPr="00207748">
        <w:rPr>
          <w:rStyle w:val="Ohne"/>
          <w:rFonts w:ascii="Cambria" w:hAnsi="Cambria" w:cs="Arial"/>
          <w:spacing w:val="-2"/>
          <w:sz w:val="20"/>
          <w:szCs w:val="20"/>
        </w:rPr>
        <w:t>Obwohl eine frühere Meta-Analyse eine Reduktion</w:t>
      </w:r>
      <w:r w:rsidR="002B1061">
        <w:rPr>
          <w:rStyle w:val="Ohne"/>
          <w:rFonts w:ascii="Cambria" w:hAnsi="Cambria" w:cs="Arial"/>
          <w:spacing w:val="-2"/>
          <w:sz w:val="20"/>
          <w:szCs w:val="20"/>
        </w:rPr>
        <w:t xml:space="preserve"> </w:t>
      </w:r>
      <w:r w:rsidRPr="00207748">
        <w:rPr>
          <w:rStyle w:val="Ohne"/>
          <w:rFonts w:ascii="Cambria" w:hAnsi="Cambria" w:cs="Arial"/>
          <w:spacing w:val="-2"/>
          <w:sz w:val="20"/>
          <w:szCs w:val="20"/>
        </w:rPr>
        <w:t xml:space="preserve">der </w:t>
      </w:r>
      <w:r w:rsidR="00B7508E">
        <w:rPr>
          <w:rStyle w:val="Ohne"/>
          <w:rFonts w:ascii="Cambria" w:hAnsi="Cambria" w:cs="Arial"/>
          <w:spacing w:val="-2"/>
          <w:sz w:val="20"/>
          <w:szCs w:val="20"/>
        </w:rPr>
        <w:t>Mortalität</w:t>
      </w:r>
      <w:r w:rsidRPr="00207748">
        <w:rPr>
          <w:rStyle w:val="Ohne"/>
          <w:rFonts w:ascii="Cambria" w:hAnsi="Cambria" w:cs="Arial"/>
          <w:spacing w:val="-2"/>
          <w:sz w:val="20"/>
          <w:szCs w:val="20"/>
        </w:rPr>
        <w:t xml:space="preserve"> demonstrierte</w:t>
      </w:r>
      <w:r w:rsidRPr="00207748">
        <w:rPr>
          <w:rStyle w:val="Ohne"/>
          <w:rFonts w:ascii="Cambria" w:eastAsia="Arial" w:hAnsi="Cambria" w:cs="Arial"/>
          <w:spacing w:val="-2"/>
          <w:sz w:val="20"/>
          <w:szCs w:val="20"/>
          <w:vertAlign w:val="superscript"/>
        </w:rPr>
        <w:endnoteReference w:id="670"/>
      </w:r>
      <w:r w:rsidRPr="00207748">
        <w:rPr>
          <w:rStyle w:val="Ohne"/>
          <w:rFonts w:ascii="Cambria" w:hAnsi="Cambria" w:cs="Arial"/>
          <w:spacing w:val="-2"/>
          <w:sz w:val="20"/>
          <w:szCs w:val="20"/>
        </w:rPr>
        <w:t>, war dies bei neueren Meta-Analysen nicht der Fall</w:t>
      </w:r>
      <w:r w:rsidR="00264D62" w:rsidRPr="00207748">
        <w:rPr>
          <w:rStyle w:val="Ohne"/>
          <w:rFonts w:ascii="Cambria" w:hAnsi="Cambria" w:cs="Arial"/>
          <w:spacing w:val="-2"/>
          <w:sz w:val="20"/>
          <w:szCs w:val="20"/>
        </w:rPr>
        <w:t>.</w:t>
      </w:r>
      <w:r w:rsidRPr="00207748">
        <w:rPr>
          <w:rStyle w:val="Ohne"/>
          <w:rFonts w:ascii="Cambria" w:eastAsia="Arial" w:hAnsi="Cambria" w:cs="Arial"/>
          <w:spacing w:val="-2"/>
          <w:sz w:val="20"/>
          <w:szCs w:val="20"/>
          <w:vertAlign w:val="superscript"/>
        </w:rPr>
        <w:endnoteReference w:id="671"/>
      </w:r>
      <w:r w:rsidRPr="00207748">
        <w:rPr>
          <w:rStyle w:val="Ohne"/>
          <w:rFonts w:ascii="Cambria" w:hAnsi="Cambria" w:cs="Arial"/>
          <w:spacing w:val="-2"/>
          <w:sz w:val="20"/>
          <w:szCs w:val="20"/>
        </w:rPr>
        <w:t xml:space="preserve"> </w:t>
      </w:r>
      <w:r w:rsidR="00EF1A9E">
        <w:rPr>
          <w:rStyle w:val="Endnotenzeichen"/>
          <w:rFonts w:ascii="Cambria" w:hAnsi="Cambria" w:cs="Arial"/>
          <w:spacing w:val="-2"/>
          <w:sz w:val="20"/>
          <w:szCs w:val="20"/>
        </w:rPr>
        <w:endnoteReference w:id="672"/>
      </w:r>
      <w:r w:rsidR="00EF1A9E">
        <w:rPr>
          <w:rStyle w:val="Ohne"/>
          <w:rFonts w:ascii="Cambria" w:hAnsi="Cambria" w:cs="Arial"/>
          <w:spacing w:val="-2"/>
          <w:sz w:val="20"/>
          <w:szCs w:val="20"/>
        </w:rPr>
        <w:t xml:space="preserve"> </w:t>
      </w:r>
      <w:r w:rsidR="00EF1A9E">
        <w:rPr>
          <w:rStyle w:val="Endnotenzeichen"/>
          <w:rFonts w:ascii="Cambria" w:hAnsi="Cambria" w:cs="Arial"/>
          <w:spacing w:val="-2"/>
          <w:sz w:val="20"/>
          <w:szCs w:val="20"/>
        </w:rPr>
        <w:endnoteReference w:id="673"/>
      </w:r>
      <w:r w:rsidR="00EF1A9E">
        <w:rPr>
          <w:rStyle w:val="Ohne"/>
          <w:rFonts w:ascii="Cambria" w:hAnsi="Cambria" w:cs="Arial"/>
          <w:spacing w:val="-2"/>
          <w:sz w:val="20"/>
          <w:szCs w:val="20"/>
        </w:rPr>
        <w:t xml:space="preserve"> </w:t>
      </w:r>
      <w:r w:rsidR="00EF1A9E">
        <w:rPr>
          <w:rStyle w:val="Endnotenzeichen"/>
          <w:rFonts w:ascii="Cambria" w:hAnsi="Cambria" w:cs="Arial"/>
          <w:spacing w:val="-2"/>
          <w:sz w:val="20"/>
          <w:szCs w:val="20"/>
        </w:rPr>
        <w:endnoteReference w:id="674"/>
      </w:r>
      <w:r w:rsidRPr="00207748">
        <w:rPr>
          <w:rStyle w:val="Ohne"/>
          <w:rFonts w:ascii="Cambria" w:hAnsi="Cambria" w:cs="Arial"/>
          <w:spacing w:val="-2"/>
          <w:sz w:val="20"/>
          <w:szCs w:val="20"/>
        </w:rPr>
        <w:t xml:space="preserve">Vier aktuelle gut konzipierte Studien wiesen in den Primäranalysen ebenfalls keinen </w:t>
      </w:r>
      <w:r w:rsidR="00B7508E">
        <w:rPr>
          <w:rStyle w:val="Ohne"/>
          <w:rFonts w:ascii="Cambria" w:hAnsi="Cambria" w:cs="Arial"/>
          <w:spacing w:val="-2"/>
          <w:sz w:val="20"/>
          <w:szCs w:val="20"/>
        </w:rPr>
        <w:t>Mortalitäts</w:t>
      </w:r>
      <w:r w:rsidR="00B7508E" w:rsidRPr="00207748">
        <w:rPr>
          <w:rStyle w:val="Ohne"/>
          <w:rFonts w:ascii="Cambria" w:hAnsi="Cambria" w:cs="Arial"/>
          <w:spacing w:val="-2"/>
          <w:sz w:val="20"/>
          <w:szCs w:val="20"/>
        </w:rPr>
        <w:t>vorteil</w:t>
      </w:r>
      <w:r w:rsidRPr="00207748">
        <w:rPr>
          <w:rStyle w:val="Ohne"/>
          <w:rFonts w:ascii="Cambria" w:hAnsi="Cambria" w:cs="Arial"/>
          <w:spacing w:val="-2"/>
          <w:sz w:val="20"/>
          <w:szCs w:val="20"/>
        </w:rPr>
        <w:t xml:space="preserve"> nach, wobei keine dieser Studien spezifisch auf septische Patienten fokussiert war</w:t>
      </w:r>
      <w:r w:rsidR="00264D62" w:rsidRPr="00207748">
        <w:rPr>
          <w:rStyle w:val="Ohne"/>
          <w:rFonts w:ascii="Cambria" w:hAnsi="Cambria" w:cs="Arial"/>
          <w:spacing w:val="-2"/>
          <w:sz w:val="20"/>
          <w:szCs w:val="20"/>
        </w:rPr>
        <w:t>.</w:t>
      </w:r>
      <w:r w:rsidRPr="00207748">
        <w:rPr>
          <w:rStyle w:val="Ohne"/>
          <w:rFonts w:ascii="Cambria" w:eastAsia="Arial" w:hAnsi="Cambria" w:cs="Arial"/>
          <w:spacing w:val="-2"/>
          <w:sz w:val="20"/>
          <w:szCs w:val="20"/>
          <w:vertAlign w:val="superscript"/>
        </w:rPr>
        <w:endnoteReference w:id="675"/>
      </w:r>
      <w:r w:rsidRPr="00207748">
        <w:rPr>
          <w:rStyle w:val="Ohne"/>
          <w:rFonts w:ascii="Cambria" w:hAnsi="Cambria" w:cs="Arial"/>
          <w:spacing w:val="-2"/>
          <w:sz w:val="20"/>
          <w:szCs w:val="20"/>
        </w:rPr>
        <w:t xml:space="preserve"> </w:t>
      </w:r>
      <w:r w:rsidR="00EF1A9E">
        <w:rPr>
          <w:rStyle w:val="Endnotenzeichen"/>
          <w:rFonts w:ascii="Cambria" w:hAnsi="Cambria" w:cs="Arial"/>
          <w:spacing w:val="-2"/>
          <w:sz w:val="20"/>
          <w:szCs w:val="20"/>
        </w:rPr>
        <w:endnoteReference w:id="676"/>
      </w:r>
      <w:r w:rsidR="00EF1A9E">
        <w:rPr>
          <w:rStyle w:val="Ohne"/>
          <w:rFonts w:ascii="Cambria" w:hAnsi="Cambria" w:cs="Arial"/>
          <w:spacing w:val="-2"/>
          <w:sz w:val="20"/>
          <w:szCs w:val="20"/>
        </w:rPr>
        <w:t xml:space="preserve"> </w:t>
      </w:r>
      <w:r w:rsidR="00EF1A9E">
        <w:rPr>
          <w:rStyle w:val="Endnotenzeichen"/>
          <w:rFonts w:ascii="Cambria" w:hAnsi="Cambria" w:cs="Arial"/>
          <w:spacing w:val="-2"/>
          <w:sz w:val="20"/>
          <w:szCs w:val="20"/>
        </w:rPr>
        <w:endnoteReference w:id="677"/>
      </w:r>
      <w:r w:rsidR="00EF1A9E">
        <w:rPr>
          <w:rStyle w:val="Ohne"/>
          <w:rFonts w:ascii="Cambria" w:hAnsi="Cambria" w:cs="Arial"/>
          <w:spacing w:val="-2"/>
          <w:sz w:val="20"/>
          <w:szCs w:val="20"/>
        </w:rPr>
        <w:t xml:space="preserve"> </w:t>
      </w:r>
      <w:r w:rsidR="00EF1A9E">
        <w:rPr>
          <w:rStyle w:val="Endnotenzeichen"/>
          <w:rFonts w:ascii="Cambria" w:hAnsi="Cambria" w:cs="Arial"/>
          <w:spacing w:val="-2"/>
          <w:sz w:val="20"/>
          <w:szCs w:val="20"/>
        </w:rPr>
        <w:endnoteReference w:id="678"/>
      </w:r>
      <w:r w:rsidRPr="00207748">
        <w:rPr>
          <w:rStyle w:val="Ohne"/>
          <w:rFonts w:ascii="Cambria" w:hAnsi="Cambria" w:cs="Arial"/>
          <w:spacing w:val="-2"/>
          <w:sz w:val="20"/>
          <w:szCs w:val="20"/>
        </w:rPr>
        <w:t>In der Studie von Heyland und Mitarbeitern</w:t>
      </w:r>
      <w:r w:rsidRPr="00207748">
        <w:rPr>
          <w:rStyle w:val="Ohne"/>
          <w:rFonts w:ascii="Cambria" w:eastAsia="Arial" w:hAnsi="Cambria" w:cs="Arial"/>
          <w:spacing w:val="-2"/>
          <w:sz w:val="20"/>
          <w:szCs w:val="20"/>
          <w:vertAlign w:val="superscript"/>
        </w:rPr>
        <w:endnoteReference w:id="679"/>
      </w:r>
      <w:r w:rsidRPr="00207748">
        <w:rPr>
          <w:rStyle w:val="Ohne"/>
          <w:rFonts w:ascii="Cambria" w:hAnsi="Cambria" w:cs="Arial"/>
          <w:spacing w:val="-2"/>
          <w:sz w:val="20"/>
          <w:szCs w:val="20"/>
        </w:rPr>
        <w:t xml:space="preserve"> war eine hochdosierte Glutamin-Supplementierung bei Patienten mit Multiorganversagen (31 % der Patienten mit Sepsis als Diagnose) sogar mit einer signifikant höheren 6-Monate-</w:t>
      </w:r>
      <w:r w:rsidR="00B7508E">
        <w:rPr>
          <w:rStyle w:val="Ohne"/>
          <w:rFonts w:ascii="Cambria" w:hAnsi="Cambria" w:cs="Arial"/>
          <w:spacing w:val="-2"/>
          <w:sz w:val="20"/>
          <w:szCs w:val="20"/>
        </w:rPr>
        <w:t>Mortalität</w:t>
      </w:r>
      <w:r w:rsidRPr="00207748">
        <w:rPr>
          <w:rStyle w:val="Ohne"/>
          <w:rFonts w:ascii="Cambria" w:hAnsi="Cambria" w:cs="Arial"/>
          <w:spacing w:val="-2"/>
          <w:sz w:val="20"/>
          <w:szCs w:val="20"/>
        </w:rPr>
        <w:t xml:space="preserve"> assoziiert. Zwei kleine Studien an septischen Patienten ergaben keinen Vorteil in Bezug auf die </w:t>
      </w:r>
      <w:r w:rsidR="00B7508E">
        <w:rPr>
          <w:rStyle w:val="Ohne"/>
          <w:rFonts w:ascii="Cambria" w:hAnsi="Cambria" w:cs="Arial"/>
          <w:spacing w:val="-2"/>
          <w:sz w:val="20"/>
          <w:szCs w:val="20"/>
        </w:rPr>
        <w:t>Mortalitäts</w:t>
      </w:r>
      <w:r w:rsidR="00B7508E" w:rsidRPr="00207748">
        <w:rPr>
          <w:rStyle w:val="Ohne"/>
          <w:rFonts w:ascii="Cambria" w:hAnsi="Cambria" w:cs="Arial"/>
          <w:spacing w:val="-2"/>
          <w:sz w:val="20"/>
          <w:szCs w:val="20"/>
        </w:rPr>
        <w:t>raten</w:t>
      </w:r>
      <w:r w:rsidRPr="00207748">
        <w:rPr>
          <w:rStyle w:val="Ohne"/>
          <w:rFonts w:ascii="Cambria" w:hAnsi="Cambria" w:cs="Arial"/>
          <w:spacing w:val="-2"/>
          <w:sz w:val="20"/>
          <w:szCs w:val="20"/>
        </w:rPr>
        <w:t xml:space="preserve"> </w:t>
      </w:r>
      <w:r w:rsidRPr="00207748">
        <w:rPr>
          <w:rStyle w:val="Ohne"/>
          <w:rFonts w:ascii="Cambria" w:eastAsia="Arial" w:hAnsi="Cambria" w:cs="Arial"/>
          <w:spacing w:val="-2"/>
          <w:sz w:val="20"/>
          <w:szCs w:val="20"/>
          <w:vertAlign w:val="superscript"/>
        </w:rPr>
        <w:endnoteReference w:id="680"/>
      </w:r>
      <w:r w:rsidR="00264D62" w:rsidRPr="00207748">
        <w:rPr>
          <w:rStyle w:val="Ohne"/>
          <w:rFonts w:ascii="Cambria" w:hAnsi="Cambria" w:cs="Arial"/>
          <w:spacing w:val="-2"/>
          <w:sz w:val="20"/>
          <w:szCs w:val="20"/>
        </w:rPr>
        <w:t xml:space="preserve"> </w:t>
      </w:r>
      <w:r w:rsidRPr="00207748">
        <w:rPr>
          <w:rStyle w:val="Ohne"/>
          <w:rFonts w:ascii="Cambria" w:eastAsia="Arial" w:hAnsi="Cambria" w:cs="Arial"/>
          <w:spacing w:val="-2"/>
          <w:sz w:val="20"/>
          <w:szCs w:val="20"/>
          <w:vertAlign w:val="superscript"/>
        </w:rPr>
        <w:endnoteReference w:id="681"/>
      </w:r>
      <w:r w:rsidRPr="00207748">
        <w:rPr>
          <w:rStyle w:val="Ohne"/>
          <w:rFonts w:ascii="Cambria" w:hAnsi="Cambria" w:cs="Arial"/>
          <w:spacing w:val="-2"/>
          <w:sz w:val="20"/>
          <w:szCs w:val="20"/>
        </w:rPr>
        <w:t xml:space="preserve">, demonstrierten aber eine signifikante Reduktion </w:t>
      </w:r>
      <w:r w:rsidR="00D60A69">
        <w:rPr>
          <w:rStyle w:val="Ohne"/>
          <w:rFonts w:ascii="Cambria" w:hAnsi="Cambria" w:cs="Arial"/>
          <w:spacing w:val="-2"/>
          <w:sz w:val="20"/>
          <w:szCs w:val="20"/>
        </w:rPr>
        <w:t>der Rate</w:t>
      </w:r>
      <w:r w:rsidRPr="00207748">
        <w:rPr>
          <w:rStyle w:val="Ohne"/>
          <w:rFonts w:ascii="Cambria" w:hAnsi="Cambria" w:cs="Arial"/>
          <w:spacing w:val="-2"/>
          <w:sz w:val="20"/>
          <w:szCs w:val="20"/>
        </w:rPr>
        <w:t xml:space="preserve"> infektiöser Komplikationen und eine schnellere Erholung der Organfunktion.</w:t>
      </w:r>
    </w:p>
    <w:p w14:paraId="5AD1F2A3" w14:textId="249DDE8E" w:rsidR="00E11869" w:rsidRPr="00D60A69" w:rsidRDefault="00447357" w:rsidP="004454B6">
      <w:pPr>
        <w:tabs>
          <w:tab w:val="decimal" w:pos="432"/>
        </w:tabs>
        <w:spacing w:before="240"/>
        <w:rPr>
          <w:rStyle w:val="EndnoteRealZchn"/>
        </w:rPr>
      </w:pPr>
      <w:r w:rsidRPr="00207748">
        <w:rPr>
          <w:rStyle w:val="Ohne"/>
          <w:rFonts w:ascii="Cambria" w:hAnsi="Cambria" w:cs="Arial"/>
          <w:spacing w:val="-2"/>
          <w:sz w:val="20"/>
          <w:szCs w:val="20"/>
        </w:rPr>
        <w:t>Eine von der Arbeitsgruppe als qualitativ gut bewerteten</w:t>
      </w:r>
      <w:r w:rsidR="002B1061">
        <w:rPr>
          <w:rStyle w:val="Ohne"/>
          <w:rFonts w:ascii="Cambria" w:hAnsi="Cambria" w:cs="Arial"/>
          <w:spacing w:val="-2"/>
          <w:sz w:val="20"/>
          <w:szCs w:val="20"/>
        </w:rPr>
        <w:t xml:space="preserve"> </w:t>
      </w:r>
      <w:r w:rsidRPr="00207748">
        <w:rPr>
          <w:rStyle w:val="Ohne"/>
          <w:rFonts w:ascii="Cambria" w:hAnsi="Cambria" w:cs="Arial"/>
          <w:spacing w:val="-2"/>
          <w:sz w:val="20"/>
          <w:szCs w:val="20"/>
        </w:rPr>
        <w:t>„Umbrella“-Übersicht von 22 Meta-Analysen sowie eine aktuelle hier noch nicht eingeschlossene Meta-Analyse von 15 randomisierten Studien hat Vorteile für die Glutamin-Supplementierung bei Intensivpatienten i</w:t>
      </w:r>
      <w:r w:rsidR="001A58EF" w:rsidRPr="00207748">
        <w:rPr>
          <w:rStyle w:val="Ohne"/>
          <w:rFonts w:ascii="Cambria" w:hAnsi="Cambria" w:cs="Arial"/>
          <w:spacing w:val="-2"/>
          <w:sz w:val="20"/>
          <w:szCs w:val="20"/>
        </w:rPr>
        <w:t>n</w:t>
      </w:r>
      <w:r w:rsidRPr="00207748">
        <w:rPr>
          <w:rStyle w:val="Ohne"/>
          <w:rFonts w:ascii="Cambria" w:hAnsi="Cambria" w:cs="Arial"/>
          <w:spacing w:val="-2"/>
          <w:sz w:val="20"/>
          <w:szCs w:val="20"/>
        </w:rPr>
        <w:t xml:space="preserve"> Bezug auf die Rate infektiöser Komplikationen und der Krankenhausverweildauer gezeigt</w:t>
      </w:r>
      <w:r w:rsidR="00D60A69">
        <w:rPr>
          <w:rStyle w:val="Ohne"/>
          <w:rFonts w:ascii="Cambria" w:hAnsi="Cambria" w:cs="Arial"/>
          <w:spacing w:val="-2"/>
          <w:sz w:val="20"/>
          <w:szCs w:val="20"/>
        </w:rPr>
        <w:t xml:space="preserve"> </w:t>
      </w:r>
      <w:bookmarkStart w:id="495" w:name="_Ref31188283"/>
      <w:r w:rsidRPr="00D60A69">
        <w:rPr>
          <w:rStyle w:val="EndnoteZchn"/>
        </w:rPr>
        <w:endnoteReference w:id="682"/>
      </w:r>
      <w:bookmarkEnd w:id="495"/>
      <w:r w:rsidRPr="00D60A69">
        <w:rPr>
          <w:rStyle w:val="EndnoteZchn"/>
        </w:rPr>
        <w:t xml:space="preserve"> </w:t>
      </w:r>
      <w:r w:rsidRPr="00D60A69">
        <w:rPr>
          <w:rStyle w:val="EndnoteZchn"/>
        </w:rPr>
        <w:endnoteReference w:id="683"/>
      </w:r>
      <w:r w:rsidRPr="00D60A69">
        <w:rPr>
          <w:rStyle w:val="EndnoteZchn"/>
        </w:rPr>
        <w:t>.</w:t>
      </w:r>
      <w:r w:rsidR="00D60A69">
        <w:rPr>
          <w:rStyle w:val="Ohne"/>
          <w:rFonts w:ascii="Cambria" w:hAnsi="Cambria" w:cs="Arial"/>
          <w:spacing w:val="-2"/>
          <w:sz w:val="20"/>
          <w:szCs w:val="20"/>
        </w:rPr>
        <w:t xml:space="preserve"> </w:t>
      </w:r>
      <w:r w:rsidRPr="00207748">
        <w:rPr>
          <w:rStyle w:val="Ohne"/>
          <w:rFonts w:ascii="Cambria" w:hAnsi="Cambria" w:cs="Arial"/>
          <w:spacing w:val="-2"/>
          <w:sz w:val="20"/>
          <w:szCs w:val="20"/>
        </w:rPr>
        <w:t>In der Mehrheit der Meta-Analysen wurde jedoch keine statistische Signifikanz erreicht. Hingewiesen worden ist auch auf die erhebliche und statistisch signifikante Heterogenität der Studien und Meta-Analysen</w:t>
      </w:r>
      <w:r w:rsidR="00264D62" w:rsidRPr="00D60A69">
        <w:rPr>
          <w:rStyle w:val="EndnoteRealZchn"/>
        </w:rPr>
        <w:t>.</w:t>
      </w:r>
      <w:r w:rsidR="00EF1A9E">
        <w:rPr>
          <w:rStyle w:val="EndnoteRealZchn"/>
        </w:rPr>
        <w:fldChar w:fldCharType="begin"/>
      </w:r>
      <w:r w:rsidR="00EF1A9E">
        <w:rPr>
          <w:rStyle w:val="EndnoteRealZchn"/>
        </w:rPr>
        <w:instrText xml:space="preserve"> NOTEREF _Ref31188283 \h </w:instrText>
      </w:r>
      <w:r w:rsidR="00EF1A9E">
        <w:rPr>
          <w:rStyle w:val="EndnoteRealZchn"/>
        </w:rPr>
      </w:r>
      <w:r w:rsidR="00EF1A9E">
        <w:rPr>
          <w:rStyle w:val="EndnoteRealZchn"/>
        </w:rPr>
        <w:fldChar w:fldCharType="separate"/>
      </w:r>
      <w:r w:rsidR="00EF1A9E">
        <w:rPr>
          <w:rStyle w:val="EndnoteRealZchn"/>
        </w:rPr>
        <w:t>687</w:t>
      </w:r>
      <w:r w:rsidR="00EF1A9E">
        <w:rPr>
          <w:rStyle w:val="EndnoteRealZchn"/>
        </w:rPr>
        <w:fldChar w:fldCharType="end"/>
      </w:r>
    </w:p>
    <w:p w14:paraId="435641FD" w14:textId="77777777" w:rsidR="00E11869" w:rsidRPr="00207748" w:rsidRDefault="00447357" w:rsidP="004454B6">
      <w:pPr>
        <w:tabs>
          <w:tab w:val="decimal" w:pos="432"/>
        </w:tabs>
        <w:spacing w:before="240"/>
        <w:ind w:right="216"/>
        <w:rPr>
          <w:rStyle w:val="Ohne"/>
          <w:rFonts w:ascii="Cambria" w:hAnsi="Cambria" w:cs="Arial"/>
          <w:spacing w:val="-2"/>
          <w:sz w:val="20"/>
          <w:szCs w:val="20"/>
        </w:rPr>
      </w:pPr>
      <w:r w:rsidRPr="00207748">
        <w:rPr>
          <w:rStyle w:val="Ohne"/>
          <w:rFonts w:ascii="Cambria" w:hAnsi="Cambria" w:cs="Arial"/>
          <w:spacing w:val="-2"/>
          <w:sz w:val="20"/>
          <w:szCs w:val="20"/>
        </w:rPr>
        <w:t>In der Zusammenschau der Daten für Intensivpatienten kann der Einsatz von Glutamin beim septischen Patienten mit Organdysfunktion nicht empfohlen werden.</w:t>
      </w:r>
    </w:p>
    <w:p w14:paraId="5F2E5A87" w14:textId="77777777" w:rsidR="00E11869" w:rsidRPr="00207748" w:rsidRDefault="00E11869" w:rsidP="004454B6">
      <w:pPr>
        <w:tabs>
          <w:tab w:val="decimal" w:pos="432"/>
        </w:tabs>
        <w:spacing w:after="0"/>
        <w:ind w:right="216"/>
        <w:rPr>
          <w:rStyle w:val="Ohne"/>
          <w:rFonts w:ascii="Cambria" w:eastAsia="Arial" w:hAnsi="Cambria" w:cs="Arial"/>
          <w:sz w:val="20"/>
          <w:szCs w:val="20"/>
        </w:rPr>
      </w:pPr>
    </w:p>
    <w:tbl>
      <w:tblPr>
        <w:tblStyle w:val="TableNormal"/>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73"/>
        <w:gridCol w:w="1716"/>
        <w:gridCol w:w="836"/>
      </w:tblGrid>
      <w:tr w:rsidR="00E11869" w:rsidRPr="00207748" w14:paraId="4FF8B7E5" w14:textId="77777777" w:rsidTr="00342FB3">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1053E229"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T.9</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7D17EEB2"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 xml:space="preserve">Empfehlung </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1A2D1E86" w14:textId="77777777" w:rsidR="00E11869" w:rsidRPr="00207748" w:rsidRDefault="00447357" w:rsidP="008B1A6E">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407AF22A" w14:textId="77777777" w:rsidTr="00182D07">
        <w:trPr>
          <w:trHeight w:val="3321"/>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3B565" w14:textId="77777777" w:rsidR="00E11869" w:rsidRPr="00207748" w:rsidRDefault="00447357" w:rsidP="004454B6">
            <w:pPr>
              <w:rPr>
                <w:rStyle w:val="Ohne"/>
                <w:rFonts w:ascii="Cambria" w:eastAsia="Arial" w:hAnsi="Cambria" w:cs="Arial"/>
                <w:sz w:val="20"/>
                <w:szCs w:val="20"/>
              </w:rPr>
            </w:pPr>
            <w:r w:rsidRPr="00207748">
              <w:rPr>
                <w:rStyle w:val="Ohne"/>
                <w:rFonts w:ascii="Cambria" w:hAnsi="Cambria" w:cs="Arial"/>
                <w:sz w:val="20"/>
                <w:szCs w:val="20"/>
              </w:rPr>
              <w:lastRenderedPageBreak/>
              <w:t>Empfehlungsgrad</w:t>
            </w:r>
          </w:p>
          <w:p w14:paraId="70429810" w14:textId="77777777" w:rsidR="00E11869" w:rsidRPr="00207748" w:rsidRDefault="00447357" w:rsidP="004454B6">
            <w:pPr>
              <w:rPr>
                <w:rStyle w:val="Ohne"/>
                <w:rFonts w:ascii="Cambria" w:eastAsia="Arial" w:hAnsi="Cambria" w:cs="Arial"/>
                <w:b/>
                <w:bCs/>
                <w:sz w:val="20"/>
                <w:szCs w:val="20"/>
              </w:rPr>
            </w:pPr>
            <w:r w:rsidRPr="00207748">
              <w:rPr>
                <w:rStyle w:val="Ohne"/>
                <w:rFonts w:ascii="Cambria" w:hAnsi="Cambria" w:cs="Arial"/>
                <w:b/>
                <w:bCs/>
                <w:sz w:val="20"/>
                <w:szCs w:val="20"/>
              </w:rPr>
              <w:t>stark</w:t>
            </w:r>
          </w:p>
          <w:p w14:paraId="45D09CBE" w14:textId="77777777" w:rsidR="00E11869" w:rsidRPr="00207748" w:rsidRDefault="00447357" w:rsidP="004454B6">
            <w:pPr>
              <w:rPr>
                <w:rStyle w:val="Ohne"/>
                <w:rFonts w:ascii="Cambria" w:eastAsia="Arial" w:hAnsi="Cambria" w:cs="Arial"/>
                <w:sz w:val="20"/>
                <w:szCs w:val="20"/>
              </w:rPr>
            </w:pPr>
            <w:r w:rsidRPr="00207748">
              <w:rPr>
                <w:rStyle w:val="Ohne"/>
                <w:rFonts w:ascii="Cambria" w:hAnsi="Cambria" w:cs="Arial"/>
                <w:sz w:val="20"/>
                <w:szCs w:val="20"/>
              </w:rPr>
              <w:t>Evidenzgrad</w:t>
            </w:r>
          </w:p>
          <w:p w14:paraId="6F19F379" w14:textId="77777777" w:rsidR="00E11869" w:rsidRPr="00207748" w:rsidRDefault="00447357" w:rsidP="004454B6">
            <w:pPr>
              <w:rPr>
                <w:rFonts w:ascii="Cambria" w:hAnsi="Cambria" w:cs="Arial"/>
                <w:sz w:val="20"/>
                <w:szCs w:val="20"/>
              </w:rPr>
            </w:pPr>
            <w:r w:rsidRPr="00207748">
              <w:rPr>
                <w:rStyle w:val="Ohne"/>
                <w:rFonts w:ascii="Cambria" w:hAnsi="Cambria" w:cs="Arial"/>
                <w:b/>
                <w:bCs/>
                <w:sz w:val="20"/>
                <w:szCs w:val="20"/>
              </w:rPr>
              <w:t>niedrig</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E499D"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Wir empfehlen, dass von der Verwendung von Omega-3-Fettsäuren als Immunsupplement bei kritisch kranken Patienten mit Sepsis oder septischen Schock abgesehen wird (dies betrifft nicht den Einsatz Omega-3-fetthaltiger Lipidemulsionen im Rahmen der parenteralen Ernährung).</w:t>
            </w:r>
          </w:p>
        </w:tc>
      </w:tr>
      <w:tr w:rsidR="00E11869" w:rsidRPr="00207748" w14:paraId="30AE1A3B" w14:textId="77777777" w:rsidTr="00342FB3">
        <w:trPr>
          <w:trHeight w:val="603"/>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47A8FED6"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53FD1" w14:textId="77777777" w:rsidR="00E11869" w:rsidRPr="00207748" w:rsidRDefault="00B20D2B" w:rsidP="004454B6">
            <w:pPr>
              <w:spacing w:after="0"/>
              <w:rPr>
                <w:rFonts w:ascii="Cambria" w:hAnsi="Cambria" w:cs="Arial"/>
                <w:sz w:val="20"/>
                <w:szCs w:val="20"/>
              </w:rPr>
            </w:pPr>
            <w:r w:rsidRPr="00207748">
              <w:rPr>
                <w:rStyle w:val="Ohne"/>
                <w:rFonts w:ascii="Cambria" w:hAnsi="Cambria" w:cs="Arial"/>
                <w:b/>
                <w:bCs/>
                <w:sz w:val="20"/>
                <w:szCs w:val="20"/>
              </w:rPr>
              <w:t>SSC-</w:t>
            </w:r>
            <w:r w:rsidR="00447357" w:rsidRPr="00207748">
              <w:rPr>
                <w:rStyle w:val="Ohne"/>
                <w:rFonts w:ascii="Cambria" w:hAnsi="Cambria" w:cs="Arial"/>
                <w:b/>
                <w:bCs/>
                <w:sz w:val="20"/>
                <w:szCs w:val="20"/>
              </w:rPr>
              <w:t xml:space="preserve">Leitlinienadaptation </w:t>
            </w:r>
          </w:p>
        </w:tc>
      </w:tr>
      <w:tr w:rsidR="00E11869" w:rsidRPr="00207748" w14:paraId="19449474" w14:textId="77777777" w:rsidTr="00342FB3">
        <w:trPr>
          <w:trHeight w:val="92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11317" w14:textId="77777777" w:rsidR="00E11869" w:rsidRPr="00207748" w:rsidRDefault="00E11869" w:rsidP="004454B6">
            <w:pPr>
              <w:rPr>
                <w:rFonts w:ascii="Cambria" w:hAnsi="Cambria"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0882F" w14:textId="77777777" w:rsidR="00B26F79" w:rsidRDefault="00447357" w:rsidP="004454B6">
            <w:pPr>
              <w:spacing w:after="0"/>
              <w:rPr>
                <w:rStyle w:val="Ohne"/>
                <w:rFonts w:ascii="Cambria" w:hAnsi="Cambria" w:cs="Arial"/>
                <w:sz w:val="20"/>
                <w:szCs w:val="20"/>
              </w:rPr>
            </w:pPr>
            <w:r w:rsidRPr="00207748">
              <w:rPr>
                <w:rStyle w:val="Ohne"/>
                <w:rFonts w:ascii="Cambria" w:hAnsi="Cambria" w:cs="Arial"/>
                <w:sz w:val="20"/>
                <w:szCs w:val="20"/>
              </w:rPr>
              <w:t>Konsensstärke bei Doppelabstimmung:</w:t>
            </w:r>
          </w:p>
          <w:p w14:paraId="4FB62209" w14:textId="2F0A537D" w:rsidR="00274770" w:rsidRPr="00207748" w:rsidRDefault="00447357" w:rsidP="004454B6">
            <w:pPr>
              <w:spacing w:after="0"/>
              <w:rPr>
                <w:rFonts w:ascii="Cambria" w:hAnsi="Cambria" w:cs="Arial"/>
                <w:sz w:val="20"/>
                <w:szCs w:val="20"/>
              </w:rPr>
            </w:pPr>
            <w:r w:rsidRPr="00207748">
              <w:rPr>
                <w:rStyle w:val="Ohne"/>
                <w:rFonts w:ascii="Cambria" w:hAnsi="Cambria" w:cs="Arial"/>
                <w:sz w:val="20"/>
                <w:szCs w:val="20"/>
              </w:rPr>
              <w:t>100 %</w:t>
            </w:r>
          </w:p>
        </w:tc>
      </w:tr>
    </w:tbl>
    <w:p w14:paraId="76FFF02B" w14:textId="77777777" w:rsidR="00E11869" w:rsidRPr="00207748" w:rsidRDefault="00E11869" w:rsidP="004454B6">
      <w:pPr>
        <w:widowControl w:val="0"/>
        <w:tabs>
          <w:tab w:val="decimal" w:pos="432"/>
        </w:tabs>
        <w:spacing w:after="0"/>
        <w:rPr>
          <w:rStyle w:val="Ohne"/>
          <w:rFonts w:ascii="Cambria" w:eastAsia="Arial" w:hAnsi="Cambria" w:cs="Arial"/>
          <w:sz w:val="20"/>
          <w:szCs w:val="20"/>
        </w:rPr>
      </w:pPr>
    </w:p>
    <w:p w14:paraId="53AD8D24" w14:textId="77777777" w:rsidR="00420A45" w:rsidRPr="00207748" w:rsidRDefault="00420A45" w:rsidP="004454B6">
      <w:pPr>
        <w:tabs>
          <w:tab w:val="decimal" w:pos="432"/>
        </w:tabs>
        <w:spacing w:after="0"/>
        <w:ind w:right="216"/>
        <w:rPr>
          <w:rStyle w:val="Ohne"/>
          <w:rFonts w:ascii="Cambria" w:hAnsi="Cambria" w:cs="Arial"/>
          <w:spacing w:val="-2"/>
          <w:sz w:val="20"/>
          <w:szCs w:val="20"/>
        </w:rPr>
      </w:pPr>
      <w:r w:rsidRPr="00207748">
        <w:rPr>
          <w:rStyle w:val="Ohne"/>
          <w:rFonts w:ascii="Cambria" w:hAnsi="Cambria" w:cs="Arial"/>
          <w:b/>
          <w:bCs/>
          <w:spacing w:val="-2"/>
          <w:sz w:val="20"/>
          <w:szCs w:val="20"/>
        </w:rPr>
        <w:t>Begründung</w:t>
      </w:r>
      <w:r w:rsidRPr="00207748">
        <w:rPr>
          <w:rStyle w:val="Ohne"/>
          <w:rFonts w:ascii="Cambria" w:hAnsi="Cambria" w:cs="Arial"/>
          <w:spacing w:val="-2"/>
          <w:sz w:val="20"/>
          <w:szCs w:val="20"/>
        </w:rPr>
        <w:t>:</w:t>
      </w:r>
      <w:r w:rsidR="00447357" w:rsidRPr="00207748">
        <w:rPr>
          <w:rStyle w:val="Ohne"/>
          <w:rFonts w:ascii="Cambria" w:hAnsi="Cambria" w:cs="Arial"/>
          <w:spacing w:val="-2"/>
          <w:sz w:val="20"/>
          <w:szCs w:val="20"/>
        </w:rPr>
        <w:t xml:space="preserve"> Pathophysiologisch legt das hohe antiinflammatorische Potenzial durch den Shift der </w:t>
      </w:r>
      <w:r w:rsidR="00342FB3" w:rsidRPr="00207748">
        <w:rPr>
          <w:rStyle w:val="Ohne"/>
          <w:rFonts w:ascii="Cambria" w:hAnsi="Cambria" w:cs="Arial"/>
          <w:spacing w:val="-2"/>
          <w:sz w:val="20"/>
          <w:szCs w:val="20"/>
        </w:rPr>
        <w:t>Mediatorsynthese die</w:t>
      </w:r>
      <w:r w:rsidR="00447357" w:rsidRPr="00207748">
        <w:rPr>
          <w:rStyle w:val="Ohne"/>
          <w:rFonts w:ascii="Cambria" w:hAnsi="Cambria" w:cs="Arial"/>
          <w:spacing w:val="-2"/>
          <w:sz w:val="20"/>
          <w:szCs w:val="20"/>
        </w:rPr>
        <w:t xml:space="preserve"> Gabe von Fischöl bzw. Omega-3-Fettsäuren bei Intensivpatienten sogar mit Sepsis und septischem Schock nahe.</w:t>
      </w:r>
      <w:r w:rsidR="00264D62" w:rsidRPr="00D60A69">
        <w:rPr>
          <w:rStyle w:val="EndnoteRealZchn"/>
        </w:rPr>
        <w:endnoteReference w:id="684"/>
      </w:r>
      <w:r w:rsidR="00447357" w:rsidRPr="00D60A69">
        <w:rPr>
          <w:rStyle w:val="EndnoteRealZchn"/>
        </w:rPr>
        <w:t xml:space="preserve"> </w:t>
      </w:r>
      <w:r w:rsidR="00447357" w:rsidRPr="00207748">
        <w:rPr>
          <w:rStyle w:val="Ohne"/>
          <w:rFonts w:ascii="Cambria" w:hAnsi="Cambria" w:cs="Arial"/>
          <w:spacing w:val="-2"/>
          <w:sz w:val="20"/>
          <w:szCs w:val="20"/>
        </w:rPr>
        <w:t>Andererseits kann eine bereits bestehende Immunsuppression zusätzlich verstärkt werde</w:t>
      </w:r>
      <w:r w:rsidRPr="00207748">
        <w:rPr>
          <w:rStyle w:val="Ohne"/>
          <w:rFonts w:ascii="Cambria" w:hAnsi="Cambria" w:cs="Arial"/>
          <w:spacing w:val="-2"/>
          <w:sz w:val="20"/>
          <w:szCs w:val="20"/>
        </w:rPr>
        <w:t>n.</w:t>
      </w:r>
    </w:p>
    <w:p w14:paraId="440C9118" w14:textId="6E2AB9AD" w:rsidR="00E11869" w:rsidRPr="00D60A69" w:rsidRDefault="00420A45" w:rsidP="004454B6">
      <w:pPr>
        <w:tabs>
          <w:tab w:val="decimal" w:pos="432"/>
        </w:tabs>
        <w:spacing w:before="240"/>
        <w:rPr>
          <w:rStyle w:val="EndnoteRealZchn"/>
        </w:rPr>
      </w:pPr>
      <w:r w:rsidRPr="00207748">
        <w:rPr>
          <w:rStyle w:val="Ohne"/>
          <w:rFonts w:ascii="Cambria" w:hAnsi="Cambria" w:cs="Arial"/>
          <w:spacing w:val="-2"/>
          <w:sz w:val="20"/>
          <w:szCs w:val="20"/>
        </w:rPr>
        <w:t>In de</w:t>
      </w:r>
      <w:r w:rsidR="00447357" w:rsidRPr="00207748">
        <w:rPr>
          <w:rStyle w:val="Ohne"/>
          <w:rFonts w:ascii="Cambria" w:hAnsi="Cambria" w:cs="Arial"/>
          <w:spacing w:val="-2"/>
          <w:sz w:val="20"/>
          <w:szCs w:val="20"/>
        </w:rPr>
        <w:t>n der SSC</w:t>
      </w:r>
      <w:r w:rsidRPr="00207748">
        <w:rPr>
          <w:rStyle w:val="Ohne"/>
          <w:rFonts w:ascii="Cambria" w:hAnsi="Cambria" w:cs="Arial"/>
          <w:spacing w:val="-2"/>
          <w:sz w:val="20"/>
          <w:szCs w:val="20"/>
        </w:rPr>
        <w:t>-</w:t>
      </w:r>
      <w:r w:rsidR="00447357" w:rsidRPr="00207748">
        <w:rPr>
          <w:rStyle w:val="Ohne"/>
          <w:rFonts w:ascii="Cambria" w:hAnsi="Cambria" w:cs="Arial"/>
          <w:spacing w:val="-2"/>
          <w:sz w:val="20"/>
          <w:szCs w:val="20"/>
        </w:rPr>
        <w:t>Arbeitsgruppe vorliegenden systematischen Übersichten zur Omega-3-Supplementierung bei Intensivpatienten und auch solchen mit ARDS wurde ein therapeutischer Nutzen nicht sicher gezeigt. Eine große randomisierte kontrollierte Studie bei 272 Patienten mit Lungen</w:t>
      </w:r>
      <w:r w:rsidR="00B7508E">
        <w:rPr>
          <w:rStyle w:val="Ohne"/>
          <w:rFonts w:ascii="Cambria" w:hAnsi="Cambria" w:cs="Arial"/>
          <w:spacing w:val="-2"/>
          <w:sz w:val="20"/>
          <w:szCs w:val="20"/>
        </w:rPr>
        <w:t>versagen</w:t>
      </w:r>
      <w:r w:rsidR="00447357" w:rsidRPr="00207748">
        <w:rPr>
          <w:rStyle w:val="Ohne"/>
          <w:rFonts w:ascii="Cambria" w:hAnsi="Cambria" w:cs="Arial"/>
          <w:spacing w:val="-2"/>
          <w:sz w:val="20"/>
          <w:szCs w:val="20"/>
        </w:rPr>
        <w:t xml:space="preserve"> hatte sogar ein erhöhtes Risiko für </w:t>
      </w:r>
      <w:r w:rsidR="00B7508E">
        <w:rPr>
          <w:rStyle w:val="Ohne"/>
          <w:rFonts w:ascii="Cambria" w:hAnsi="Cambria" w:cs="Arial"/>
          <w:spacing w:val="-2"/>
          <w:sz w:val="20"/>
          <w:szCs w:val="20"/>
        </w:rPr>
        <w:t>Mortalität</w:t>
      </w:r>
      <w:r w:rsidR="00447357" w:rsidRPr="00207748">
        <w:rPr>
          <w:rStyle w:val="Ohne"/>
          <w:rFonts w:ascii="Cambria" w:hAnsi="Cambria" w:cs="Arial"/>
          <w:spacing w:val="-2"/>
          <w:sz w:val="20"/>
          <w:szCs w:val="20"/>
        </w:rPr>
        <w:t>, sowie verlängerte Beatmungs- und Intensivliegedauer</w:t>
      </w:r>
      <w:r w:rsidR="001A58EF" w:rsidRPr="00207748">
        <w:rPr>
          <w:rStyle w:val="Ohne"/>
          <w:rFonts w:ascii="Cambria" w:hAnsi="Cambria" w:cs="Arial"/>
          <w:spacing w:val="-2"/>
          <w:sz w:val="20"/>
          <w:szCs w:val="20"/>
        </w:rPr>
        <w:t xml:space="preserve"> </w:t>
      </w:r>
      <w:r w:rsidR="00342FB3" w:rsidRPr="00207748">
        <w:rPr>
          <w:rStyle w:val="Ohne"/>
          <w:rFonts w:ascii="Cambria" w:hAnsi="Cambria" w:cs="Arial"/>
          <w:spacing w:val="-2"/>
          <w:sz w:val="20"/>
          <w:szCs w:val="20"/>
        </w:rPr>
        <w:t>ergeben</w:t>
      </w:r>
      <w:r w:rsidR="00342FB3" w:rsidRPr="00D60A69">
        <w:rPr>
          <w:rStyle w:val="EndnoteRealZchn"/>
        </w:rPr>
        <w:t>.</w:t>
      </w:r>
      <w:r w:rsidR="00264D62" w:rsidRPr="00D60A69">
        <w:rPr>
          <w:rStyle w:val="EndnoteRealZchn"/>
        </w:rPr>
        <w:endnoteReference w:id="685"/>
      </w:r>
    </w:p>
    <w:p w14:paraId="31271897" w14:textId="77777777" w:rsidR="00E11869" w:rsidRPr="00207748" w:rsidRDefault="00447357" w:rsidP="004454B6">
      <w:pPr>
        <w:tabs>
          <w:tab w:val="decimal" w:pos="432"/>
        </w:tabs>
        <w:spacing w:before="240"/>
        <w:rPr>
          <w:rStyle w:val="Ohne"/>
          <w:rFonts w:ascii="Cambria" w:hAnsi="Cambria" w:cs="Arial"/>
          <w:spacing w:val="-2"/>
          <w:sz w:val="20"/>
          <w:szCs w:val="20"/>
        </w:rPr>
      </w:pPr>
      <w:r w:rsidRPr="00207748">
        <w:rPr>
          <w:rStyle w:val="Ohne"/>
          <w:rFonts w:ascii="Cambria" w:hAnsi="Cambria" w:cs="Arial"/>
          <w:spacing w:val="-2"/>
          <w:sz w:val="20"/>
          <w:szCs w:val="20"/>
        </w:rPr>
        <w:t>In vielen Studien bei Intensivpatienten wurden vor allem enteral Omega-3-Fettsäuren mit Vitaminen und Spurenelementen kombiniert, so dass die isolierte Beurteilung erschwert ist. Aus diesem Grund hat die SSC</w:t>
      </w:r>
      <w:r w:rsidR="001A58EF" w:rsidRPr="00207748">
        <w:rPr>
          <w:rStyle w:val="Ohne"/>
          <w:rFonts w:ascii="Cambria" w:hAnsi="Cambria" w:cs="Arial"/>
          <w:spacing w:val="-2"/>
          <w:sz w:val="20"/>
          <w:szCs w:val="20"/>
        </w:rPr>
        <w:t>-</w:t>
      </w:r>
      <w:r w:rsidRPr="00207748">
        <w:rPr>
          <w:rStyle w:val="Ohne"/>
          <w:rFonts w:ascii="Cambria" w:hAnsi="Cambria" w:cs="Arial"/>
          <w:spacing w:val="-2"/>
          <w:sz w:val="20"/>
          <w:szCs w:val="20"/>
        </w:rPr>
        <w:t>Arbeitsgruppe eine Meta-Analyse der Studien mit ausschließlicher Gabe von Omega-3-Fettsäuren im Interventionsarm vorgenommen. 16 Studien mit 1</w:t>
      </w:r>
      <w:r w:rsidR="00420A45" w:rsidRPr="00207748">
        <w:rPr>
          <w:rStyle w:val="Ohne"/>
          <w:rFonts w:ascii="Cambria" w:hAnsi="Cambria" w:cs="Arial"/>
          <w:spacing w:val="-2"/>
          <w:sz w:val="20"/>
          <w:szCs w:val="20"/>
        </w:rPr>
        <w:t>.</w:t>
      </w:r>
      <w:r w:rsidRPr="00207748">
        <w:rPr>
          <w:rStyle w:val="Ohne"/>
          <w:rFonts w:ascii="Cambria" w:hAnsi="Cambria" w:cs="Arial"/>
          <w:spacing w:val="-2"/>
          <w:sz w:val="20"/>
          <w:szCs w:val="20"/>
        </w:rPr>
        <w:t xml:space="preserve">216 Patienten wurden eingeschlossen. Es gab keinen signifikanten Unterschied in der Letalität </w:t>
      </w:r>
      <w:r w:rsidRPr="00207748">
        <w:rPr>
          <w:rStyle w:val="Ohne"/>
          <w:rFonts w:ascii="Cambria" w:hAnsi="Cambria" w:cs="Arial"/>
          <w:spacing w:val="-2"/>
          <w:sz w:val="20"/>
          <w:szCs w:val="20"/>
        </w:rPr>
        <w:lastRenderedPageBreak/>
        <w:t xml:space="preserve">(RR 0,86; 95 %CI, 0,71-1.03; niedrige Evidenzqualität. Die Intensivliegedauer war jedoch bei Einsatz von Omega-3-Fettsäuren signifikant verkürzt (MD -3,84 Tage, 95 %CI, -5,57 bis -2,12. (sehr niedrige Evidenzqualität). Insgesamt wurde die Evidenz als niedrig bewertet. Aufgrund der Unsicherheit über Nutzen und Nebenwirkungen wurde von der SSC-Arbeitsgruppe auch in Anbetracht der Kosten vom Einsatz außerhalb von randomisierten Studien stark abgeraten. </w:t>
      </w:r>
    </w:p>
    <w:p w14:paraId="43E72EA6" w14:textId="77777777" w:rsidR="00E11869" w:rsidRPr="00207748" w:rsidRDefault="00447357" w:rsidP="004454B6">
      <w:pPr>
        <w:tabs>
          <w:tab w:val="decimal" w:pos="432"/>
        </w:tabs>
        <w:spacing w:before="240"/>
        <w:rPr>
          <w:rStyle w:val="Ohne"/>
          <w:rFonts w:ascii="Cambria" w:hAnsi="Cambria" w:cs="Arial"/>
          <w:spacing w:val="-2"/>
          <w:sz w:val="20"/>
          <w:szCs w:val="20"/>
        </w:rPr>
      </w:pPr>
      <w:r w:rsidRPr="00207748">
        <w:rPr>
          <w:rStyle w:val="Ohne"/>
          <w:rFonts w:ascii="Cambria" w:hAnsi="Cambria" w:cs="Arial"/>
          <w:spacing w:val="-2"/>
          <w:sz w:val="20"/>
          <w:szCs w:val="20"/>
        </w:rPr>
        <w:t xml:space="preserve">Die DSG-Arbeitsgruppe hat die seit 2016 erschienenen Studien und Meta-Analysen mit Fokus auf Patienten mit Sepsis bewertet. </w:t>
      </w:r>
    </w:p>
    <w:p w14:paraId="16F56F53" w14:textId="2C064E9F" w:rsidR="00E11869" w:rsidRPr="00D60A69" w:rsidRDefault="00447357" w:rsidP="004454B6">
      <w:pPr>
        <w:tabs>
          <w:tab w:val="decimal" w:pos="432"/>
        </w:tabs>
        <w:spacing w:before="240"/>
        <w:rPr>
          <w:rStyle w:val="EndnoteRealZchn"/>
        </w:rPr>
      </w:pPr>
      <w:r w:rsidRPr="00207748">
        <w:rPr>
          <w:rStyle w:val="Ohne"/>
          <w:rFonts w:ascii="Cambria" w:hAnsi="Cambria" w:cs="Arial"/>
          <w:spacing w:val="-2"/>
          <w:sz w:val="20"/>
          <w:szCs w:val="20"/>
        </w:rPr>
        <w:t xml:space="preserve">In einer aktuellen Meta-Analyse der randomisiert-kontrollierten Studien mit septischen Patienten wurden 11 Studien mit 898 Patienten eingeschlossen. Hier wurde </w:t>
      </w:r>
      <w:r w:rsidR="00342FB3" w:rsidRPr="00207748">
        <w:rPr>
          <w:rStyle w:val="Ohne"/>
          <w:rFonts w:ascii="Cambria" w:hAnsi="Cambria" w:cs="Arial"/>
          <w:spacing w:val="-2"/>
          <w:sz w:val="20"/>
          <w:szCs w:val="20"/>
        </w:rPr>
        <w:t>kein Einfluss</w:t>
      </w:r>
      <w:r w:rsidRPr="00207748">
        <w:rPr>
          <w:rStyle w:val="Ohne"/>
          <w:rFonts w:ascii="Cambria" w:hAnsi="Cambria" w:cs="Arial"/>
          <w:spacing w:val="-2"/>
          <w:sz w:val="20"/>
          <w:szCs w:val="20"/>
        </w:rPr>
        <w:t xml:space="preserve"> der Ernährung mit Omega-3-Fettsäuren auf die Letalität (RR 0,84; 95 %CI: 0,67-1,05, p=0,17) und die Rate infektiöser Komplikationen gezeigt (RR 0,95 %CI; 0,77-1,</w:t>
      </w:r>
      <w:r w:rsidR="00342FB3" w:rsidRPr="00207748">
        <w:rPr>
          <w:rStyle w:val="Ohne"/>
          <w:rFonts w:ascii="Cambria" w:hAnsi="Cambria" w:cs="Arial"/>
          <w:spacing w:val="-2"/>
          <w:sz w:val="20"/>
          <w:szCs w:val="20"/>
        </w:rPr>
        <w:t>25 -</w:t>
      </w:r>
      <w:r w:rsidRPr="00207748">
        <w:rPr>
          <w:rStyle w:val="Ohne"/>
          <w:rFonts w:ascii="Cambria" w:hAnsi="Cambria" w:cs="Arial"/>
          <w:spacing w:val="-2"/>
          <w:sz w:val="20"/>
          <w:szCs w:val="20"/>
        </w:rPr>
        <w:t xml:space="preserve"> p=0,70). Signifikant reduziert war bei den mit Omega-3-Fettsäuren ernährten Patienten die Dauer der mechanischen Beatmung (-3,82, 95 % CI -4,61 – 3,04, p&lt;0,00001). Eine signifikante Heterogenität der Daten wurde für die Krankenhausverweil- und Intensivliegedauer festgestellt (Tao et al, BMC Anesthesiol 2016). Eine weitere ebenfalls auf Patienten mit Sepsis fokussierte Meta-Analyse von 17 Studien mit 1.239 Patienten konnte für die Supplementierung mit Omega-3-Fettsäuren keinen signifikanten Effekt auf die </w:t>
      </w:r>
      <w:r w:rsidR="00B7508E">
        <w:rPr>
          <w:rStyle w:val="Ohne"/>
          <w:rFonts w:ascii="Cambria" w:hAnsi="Cambria" w:cs="Arial"/>
          <w:spacing w:val="-2"/>
          <w:sz w:val="20"/>
          <w:szCs w:val="20"/>
        </w:rPr>
        <w:t>Mortalität</w:t>
      </w:r>
      <w:r w:rsidRPr="00207748">
        <w:rPr>
          <w:rStyle w:val="Ohne"/>
          <w:rFonts w:ascii="Cambria" w:hAnsi="Cambria" w:cs="Arial"/>
          <w:spacing w:val="-2"/>
          <w:sz w:val="20"/>
          <w:szCs w:val="20"/>
        </w:rPr>
        <w:t xml:space="preserve"> (RR 0,85; 95 % CI 0,71, 1,03, p=0,10, I2=0 %) beobachten, führte aber zu einer signifikanten Verkürzung des Intensivaufenthalts (-3,79 Tage, 95 % CI -5,49 - -2,09, p&lt;0,0001, I2=82 %) und Dauer der mechanischen Beatmung (-2,27 Tage; 95 %CI -4.27 - 0,27, p=0,003, I2 =60 %). Aufgrund</w:t>
      </w:r>
      <w:r w:rsidR="002B1061">
        <w:rPr>
          <w:rStyle w:val="Ohne"/>
          <w:rFonts w:ascii="Cambria" w:hAnsi="Cambria" w:cs="Arial"/>
          <w:spacing w:val="-2"/>
          <w:sz w:val="20"/>
          <w:szCs w:val="20"/>
        </w:rPr>
        <w:t xml:space="preserve"> </w:t>
      </w:r>
      <w:r w:rsidRPr="00207748">
        <w:rPr>
          <w:rStyle w:val="Ohne"/>
          <w:rFonts w:ascii="Cambria" w:hAnsi="Cambria" w:cs="Arial"/>
          <w:spacing w:val="-2"/>
          <w:sz w:val="20"/>
          <w:szCs w:val="20"/>
        </w:rPr>
        <w:t>der Heterogenität der Studien halten die Autoren selbst die Evidenz für nicht ausreichend, um eine Empfehlung zum Routineeinsatz beim septischen Patienten zu rechtfertigen</w:t>
      </w:r>
      <w:r w:rsidR="00264D62" w:rsidRPr="00D60A69">
        <w:rPr>
          <w:rStyle w:val="EndnoteRealZchn"/>
        </w:rPr>
        <w:t>.</w:t>
      </w:r>
      <w:r w:rsidRPr="00D60A69">
        <w:rPr>
          <w:rStyle w:val="EndnoteRealZchn"/>
        </w:rPr>
        <w:endnoteReference w:id="686"/>
      </w:r>
    </w:p>
    <w:p w14:paraId="60BC6E89" w14:textId="395FA9E5" w:rsidR="00E11869" w:rsidRPr="00D60A69" w:rsidRDefault="00447357" w:rsidP="004454B6">
      <w:pPr>
        <w:rPr>
          <w:rStyle w:val="EndnoteRealZchn"/>
        </w:rPr>
      </w:pPr>
      <w:r w:rsidRPr="00207748">
        <w:rPr>
          <w:rStyle w:val="Ohne"/>
          <w:rFonts w:ascii="Cambria" w:hAnsi="Cambria"/>
          <w:spacing w:val="-2"/>
          <w:sz w:val="20"/>
          <w:szCs w:val="20"/>
        </w:rPr>
        <w:t xml:space="preserve">Für septische Patienten, die aufgrund einer schweren gastrointestinalen Dysfunktion nach den SSC-Leitlinien behandelt und ausschließlich parenteral ernährt </w:t>
      </w:r>
      <w:r w:rsidR="00D60A69">
        <w:rPr>
          <w:rStyle w:val="Ohne"/>
          <w:rFonts w:ascii="Cambria" w:hAnsi="Cambria"/>
          <w:spacing w:val="-2"/>
          <w:sz w:val="20"/>
          <w:szCs w:val="20"/>
        </w:rPr>
        <w:t xml:space="preserve">wurden, haben Chen et al </w:t>
      </w:r>
      <w:r w:rsidRPr="00207748">
        <w:rPr>
          <w:rStyle w:val="Ohne"/>
          <w:rFonts w:ascii="Cambria" w:hAnsi="Cambria"/>
          <w:spacing w:val="-2"/>
          <w:sz w:val="20"/>
          <w:szCs w:val="20"/>
        </w:rPr>
        <w:t xml:space="preserve">in einer randomisierten, verblindeten Pilotstudie </w:t>
      </w:r>
      <w:r w:rsidRPr="00207748">
        <w:rPr>
          <w:rStyle w:val="Ohne"/>
          <w:rFonts w:ascii="Cambria" w:hAnsi="Cambria"/>
          <w:spacing w:val="-2"/>
          <w:sz w:val="20"/>
          <w:szCs w:val="20"/>
        </w:rPr>
        <w:lastRenderedPageBreak/>
        <w:t>bei Supplementierung mit 100ml Fischöl (10g Fischöl/d) eine signifikant niedrigere 28-Tage-Letalität in der Interventionsgruppe gezeigt (12,5 % vs. 41,7 %, p=0,023</w:t>
      </w:r>
      <w:r w:rsidR="001A58EF" w:rsidRPr="00207748">
        <w:rPr>
          <w:rStyle w:val="Ohne"/>
          <w:rFonts w:ascii="Cambria" w:hAnsi="Cambria"/>
          <w:spacing w:val="-2"/>
          <w:sz w:val="20"/>
          <w:szCs w:val="20"/>
        </w:rPr>
        <w:t>)</w:t>
      </w:r>
      <w:r w:rsidRPr="00207748">
        <w:rPr>
          <w:rStyle w:val="Ohne"/>
          <w:rFonts w:ascii="Cambria" w:hAnsi="Cambria"/>
          <w:spacing w:val="-2"/>
          <w:sz w:val="20"/>
          <w:szCs w:val="20"/>
        </w:rPr>
        <w:t xml:space="preserve">. Die verminderte </w:t>
      </w:r>
      <w:r w:rsidR="00B7508E">
        <w:rPr>
          <w:rStyle w:val="Ohne"/>
          <w:rFonts w:ascii="Cambria" w:hAnsi="Cambria"/>
          <w:spacing w:val="-2"/>
          <w:sz w:val="20"/>
          <w:szCs w:val="20"/>
        </w:rPr>
        <w:t>Mortalität</w:t>
      </w:r>
      <w:r w:rsidRPr="00207748">
        <w:rPr>
          <w:rStyle w:val="Ohne"/>
          <w:rFonts w:ascii="Cambria" w:hAnsi="Cambria"/>
          <w:spacing w:val="-2"/>
          <w:sz w:val="20"/>
          <w:szCs w:val="20"/>
        </w:rPr>
        <w:t xml:space="preserve"> wurde von einem signifikant niedrigeren APACHE II und Marshall</w:t>
      </w:r>
      <w:r w:rsidR="00B7508E">
        <w:rPr>
          <w:rStyle w:val="Ohne"/>
          <w:rFonts w:ascii="Cambria" w:hAnsi="Cambria"/>
          <w:spacing w:val="-2"/>
          <w:sz w:val="20"/>
          <w:szCs w:val="20"/>
        </w:rPr>
        <w:t>-</w:t>
      </w:r>
      <w:r w:rsidRPr="00207748">
        <w:rPr>
          <w:rStyle w:val="Ohne"/>
          <w:rFonts w:ascii="Cambria" w:hAnsi="Cambria"/>
          <w:spacing w:val="-2"/>
          <w:sz w:val="20"/>
          <w:szCs w:val="20"/>
        </w:rPr>
        <w:t xml:space="preserve"> Multiorgandysfunktionsscore an Tag 7 (p&lt;0,05) sowie </w:t>
      </w:r>
      <w:r w:rsidR="00342FB3" w:rsidRPr="00207748">
        <w:rPr>
          <w:rStyle w:val="Ohne"/>
          <w:rFonts w:ascii="Cambria" w:hAnsi="Cambria"/>
          <w:spacing w:val="-2"/>
          <w:sz w:val="20"/>
          <w:szCs w:val="20"/>
        </w:rPr>
        <w:t>einer höheren</w:t>
      </w:r>
      <w:r w:rsidRPr="00207748">
        <w:rPr>
          <w:rStyle w:val="Ohne"/>
          <w:rFonts w:ascii="Cambria" w:hAnsi="Cambria"/>
          <w:spacing w:val="-2"/>
          <w:sz w:val="20"/>
          <w:szCs w:val="20"/>
        </w:rPr>
        <w:t xml:space="preserve"> Rate von T-Helfer/Inducer und CD4/CD8 Lymphozyten (p&lt;0,01) begleitet</w:t>
      </w:r>
      <w:r w:rsidRPr="00D60A69">
        <w:rPr>
          <w:rStyle w:val="EndnoteRealZchn"/>
        </w:rPr>
        <w:t>.</w:t>
      </w:r>
      <w:r w:rsidR="003B1537" w:rsidRPr="00D60A69">
        <w:rPr>
          <w:rStyle w:val="EndnoteRealZchn"/>
        </w:rPr>
        <w:endnoteReference w:id="687"/>
      </w:r>
    </w:p>
    <w:p w14:paraId="37E95E21" w14:textId="62B9C316" w:rsidR="00E11869" w:rsidRPr="00207748" w:rsidRDefault="00447357" w:rsidP="004454B6">
      <w:pPr>
        <w:rPr>
          <w:rStyle w:val="Ohne"/>
          <w:rFonts w:ascii="Cambria" w:hAnsi="Cambria"/>
          <w:spacing w:val="-2"/>
          <w:sz w:val="20"/>
          <w:szCs w:val="20"/>
        </w:rPr>
      </w:pPr>
      <w:r w:rsidRPr="00207748">
        <w:rPr>
          <w:rStyle w:val="Ohne"/>
          <w:rFonts w:ascii="Cambria" w:hAnsi="Cambria"/>
          <w:spacing w:val="-2"/>
          <w:sz w:val="20"/>
          <w:szCs w:val="20"/>
        </w:rPr>
        <w:t>Von derselben Arbeitsgruppe</w:t>
      </w:r>
      <w:r w:rsidR="003B1537" w:rsidRPr="00207748">
        <w:rPr>
          <w:rStyle w:val="Ohne"/>
          <w:rFonts w:ascii="Cambria" w:hAnsi="Cambria"/>
          <w:spacing w:val="-2"/>
          <w:sz w:val="20"/>
          <w:szCs w:val="20"/>
        </w:rPr>
        <w:t xml:space="preserve"> </w:t>
      </w:r>
      <w:r w:rsidRPr="00207748">
        <w:rPr>
          <w:rStyle w:val="Ohne"/>
          <w:rFonts w:ascii="Cambria" w:hAnsi="Cambria"/>
          <w:spacing w:val="-2"/>
          <w:sz w:val="20"/>
          <w:szCs w:val="20"/>
        </w:rPr>
        <w:t>wurde In einer zweiten analog durchgeführten randomisierten Studie (n=78) eine grenzwertig signifikant niedrigere 60-Tage-</w:t>
      </w:r>
      <w:r w:rsidR="00B7508E">
        <w:rPr>
          <w:rStyle w:val="Ohne"/>
          <w:rFonts w:ascii="Cambria" w:hAnsi="Cambria"/>
          <w:spacing w:val="-2"/>
          <w:sz w:val="20"/>
          <w:szCs w:val="20"/>
        </w:rPr>
        <w:t>Mortalität</w:t>
      </w:r>
      <w:r w:rsidRPr="00207748">
        <w:rPr>
          <w:rStyle w:val="Ohne"/>
          <w:rFonts w:ascii="Cambria" w:hAnsi="Cambria"/>
          <w:spacing w:val="-2"/>
          <w:sz w:val="20"/>
          <w:szCs w:val="20"/>
        </w:rPr>
        <w:t xml:space="preserve"> bei parenteraler Fischölsupplementierung gezeigt: 26,8 % vs.48,6 % (OR 0,387; (CI 0,150-0,996), p=0,046). Die 28-Tage-Letalität war hier ohne Unterschied. Das Verhältnis Omega-</w:t>
      </w:r>
      <w:r w:rsidR="00342FB3" w:rsidRPr="00207748">
        <w:rPr>
          <w:rStyle w:val="Ohne"/>
          <w:rFonts w:ascii="Cambria" w:hAnsi="Cambria"/>
          <w:spacing w:val="-2"/>
          <w:sz w:val="20"/>
          <w:szCs w:val="20"/>
        </w:rPr>
        <w:t>6:3 betrug 5:1</w:t>
      </w:r>
      <w:r w:rsidRPr="00207748">
        <w:rPr>
          <w:rStyle w:val="Ohne"/>
          <w:rFonts w:ascii="Cambria" w:hAnsi="Cambria"/>
          <w:spacing w:val="-2"/>
          <w:sz w:val="20"/>
          <w:szCs w:val="20"/>
        </w:rPr>
        <w:t xml:space="preserve">. In der multivariaten Analyse profitierten besonders Patienten mit hohem intraabdominellem Druck und intraabdomineller Sepsis, passend zu der früheren Beobachtungsstudie von Heller et al (2006). Methodisch sieht die DSG-Arbeitsgruppe hier Schwächen. Nicht klar ist, ob es sich wirklich um zwei getrennte Studien handelt oder die Daten der Pilotstudie in der zweiten Studie enthalten sind. Auch die Definition der primären und sekundären Endpunkte ist nicht deutlich. </w:t>
      </w:r>
    </w:p>
    <w:p w14:paraId="0ECCE218" w14:textId="78B2BE38" w:rsidR="00E11869" w:rsidRPr="00D60A69" w:rsidRDefault="00447357" w:rsidP="004454B6">
      <w:pPr>
        <w:tabs>
          <w:tab w:val="decimal" w:pos="432"/>
        </w:tabs>
        <w:spacing w:before="240"/>
        <w:rPr>
          <w:rStyle w:val="EndnoteRealZchn"/>
        </w:rPr>
      </w:pPr>
      <w:r w:rsidRPr="00207748">
        <w:rPr>
          <w:rStyle w:val="Ohne"/>
          <w:rFonts w:ascii="Cambria" w:hAnsi="Cambria" w:cs="Arial"/>
          <w:spacing w:val="-2"/>
          <w:sz w:val="20"/>
          <w:szCs w:val="20"/>
        </w:rPr>
        <w:t>In einer prospektiven nicht randomisierten, nach Auffassung der Arbeitsgruppe qualitativ guten Beobachtungsstudie (2+) bei 112 Patienten mit Sepsis war eine parenterale Supplementierung mit Omega-3-Fettsäuren mit einer signifikant geringeren Gesamtletalität (20 vs. 10 % - p=0.034) und Intensivverweildauer assoziiert. Keine Unterschiede wurden für TNFalpha- und Procalcitoninspiegel sowie die 28-Tage-</w:t>
      </w:r>
      <w:r w:rsidR="00B7508E">
        <w:rPr>
          <w:rStyle w:val="Ohne"/>
          <w:rFonts w:ascii="Cambria" w:hAnsi="Cambria" w:cs="Arial"/>
          <w:spacing w:val="-2"/>
          <w:sz w:val="20"/>
          <w:szCs w:val="20"/>
        </w:rPr>
        <w:t>Mortalität</w:t>
      </w:r>
      <w:r w:rsidRPr="00207748">
        <w:rPr>
          <w:rStyle w:val="Ohne"/>
          <w:rFonts w:ascii="Cambria" w:hAnsi="Cambria" w:cs="Arial"/>
          <w:spacing w:val="-2"/>
          <w:sz w:val="20"/>
          <w:szCs w:val="20"/>
        </w:rPr>
        <w:t xml:space="preserve">, die Krankenhausverweildauer und die Dauer der mechanischen Beatmung beobachtet. Medikamentöse Nebenwirkungen wurden nicht beobachtet. </w:t>
      </w:r>
      <w:r w:rsidRPr="00D60A69">
        <w:rPr>
          <w:rStyle w:val="EndnoteRealZchn"/>
        </w:rPr>
        <w:endnoteReference w:id="688"/>
      </w:r>
    </w:p>
    <w:p w14:paraId="5EB11349" w14:textId="26787610" w:rsidR="00E11869" w:rsidRPr="00DA3A66" w:rsidRDefault="00447357" w:rsidP="004454B6">
      <w:pPr>
        <w:shd w:val="clear" w:color="auto" w:fill="FFFFFF"/>
        <w:spacing w:before="240"/>
        <w:rPr>
          <w:rStyle w:val="Ohne"/>
          <w:rFonts w:ascii="Cambria" w:eastAsia="Arial" w:hAnsi="Cambria" w:cs="Arial"/>
          <w:vertAlign w:val="superscript"/>
        </w:rPr>
      </w:pPr>
      <w:r w:rsidRPr="00207748">
        <w:rPr>
          <w:rStyle w:val="Ohne"/>
          <w:rFonts w:ascii="Cambria" w:hAnsi="Cambria" w:cs="Arial"/>
          <w:spacing w:val="-2"/>
          <w:sz w:val="20"/>
          <w:szCs w:val="20"/>
        </w:rPr>
        <w:t xml:space="preserve">Bei der Gabe von Omega-3-Fettsäuren gilt ein Verhältnis von Omega-6/Omega-3 von 2,1:1 als immunneutral. Die auf dem Markt verfügbaren Omega-3-haltigen Infusionslösungen berücksichtigen dieses Verhältnis, was eine Erklärung für die bisher nicht eindeutig gezeigten klinischen Vorteile bei Intensivpatienten sein </w:t>
      </w:r>
      <w:r w:rsidRPr="00207748">
        <w:rPr>
          <w:rStyle w:val="Ohne"/>
          <w:rFonts w:ascii="Cambria" w:hAnsi="Cambria" w:cs="Arial"/>
          <w:spacing w:val="-2"/>
          <w:sz w:val="20"/>
          <w:szCs w:val="20"/>
        </w:rPr>
        <w:lastRenderedPageBreak/>
        <w:t>kann, die zumeist erst in Meta-Analysen gepoolter Daten herausgearbeitet wurden. Auch eine aktuelle produktspezifische von der Arbeitsgruppe als qualitativ gut bewertete Meta-Analyse hat keine signifikanten Unterschiede gezeigt</w:t>
      </w:r>
      <w:r w:rsidR="00264D62" w:rsidRPr="00D60A69">
        <w:rPr>
          <w:rStyle w:val="EndnoteRealZchn"/>
        </w:rPr>
        <w:t>.</w:t>
      </w:r>
      <w:r w:rsidRPr="00D60A69">
        <w:rPr>
          <w:rStyle w:val="EndnoteRealZchn"/>
        </w:rPr>
        <w:endnoteReference w:id="689"/>
      </w:r>
      <w:r w:rsidRPr="00207748">
        <w:rPr>
          <w:rStyle w:val="Ohne"/>
          <w:rFonts w:ascii="Cambria" w:hAnsi="Cambria" w:cs="Arial"/>
          <w:spacing w:val="-2"/>
          <w:sz w:val="20"/>
          <w:szCs w:val="20"/>
        </w:rPr>
        <w:t xml:space="preserve"> Insgesamt sind große multizentrische Studien auch zur Dosisfindung erforderlich.</w:t>
      </w:r>
    </w:p>
    <w:p w14:paraId="108837FE" w14:textId="012D388D" w:rsidR="00DA3A66" w:rsidRDefault="00447357" w:rsidP="004454B6">
      <w:pPr>
        <w:tabs>
          <w:tab w:val="decimal" w:pos="432"/>
        </w:tabs>
        <w:spacing w:before="240"/>
        <w:ind w:right="216"/>
        <w:rPr>
          <w:rStyle w:val="EndnoteRealZchn"/>
        </w:rPr>
      </w:pPr>
      <w:r w:rsidRPr="00207748">
        <w:rPr>
          <w:rStyle w:val="Ohne"/>
          <w:rFonts w:ascii="Cambria" w:hAnsi="Cambria" w:cs="Arial"/>
          <w:spacing w:val="-2"/>
          <w:sz w:val="20"/>
          <w:szCs w:val="20"/>
        </w:rPr>
        <w:t>In Zusammenschau der Heterogenität der Daten und im Einklang mit der aktuellen DGEM-S2k-Leitlinie kann die Empfehlung der SSC, bei septischen Patienten keine Omega-3-Fettsäuren einzusetzen, nur vor dem Hintergrund des „primum nil nocere“ (unter Nichtberücksichtung der positiven Daten) verstanden werden. D</w:t>
      </w:r>
      <w:r w:rsidR="00524587" w:rsidRPr="00207748">
        <w:rPr>
          <w:rStyle w:val="Ohne"/>
          <w:rFonts w:ascii="Cambria" w:hAnsi="Cambria" w:cs="Arial"/>
          <w:spacing w:val="-2"/>
          <w:sz w:val="20"/>
          <w:szCs w:val="20"/>
        </w:rPr>
        <w:t>ie</w:t>
      </w:r>
      <w:r w:rsidRPr="00207748">
        <w:rPr>
          <w:rStyle w:val="Ohne"/>
          <w:rFonts w:ascii="Cambria" w:hAnsi="Cambria" w:cs="Arial"/>
          <w:spacing w:val="-2"/>
          <w:sz w:val="20"/>
          <w:szCs w:val="20"/>
        </w:rPr>
        <w:t xml:space="preserve"> DSG-Leitlinien</w:t>
      </w:r>
      <w:r w:rsidR="00524587" w:rsidRPr="00207748">
        <w:rPr>
          <w:rStyle w:val="Ohne"/>
          <w:rFonts w:ascii="Cambria" w:hAnsi="Cambria" w:cs="Arial"/>
          <w:spacing w:val="-2"/>
          <w:sz w:val="20"/>
          <w:szCs w:val="20"/>
        </w:rPr>
        <w:t>kommission</w:t>
      </w:r>
      <w:r w:rsidRPr="00207748">
        <w:rPr>
          <w:rStyle w:val="Ohne"/>
          <w:rFonts w:ascii="Cambria" w:hAnsi="Cambria" w:cs="Arial"/>
          <w:spacing w:val="-2"/>
          <w:sz w:val="20"/>
          <w:szCs w:val="20"/>
        </w:rPr>
        <w:t xml:space="preserve"> hat daher in der o.g. Empfehlung den Zusatz mit angeführt, dass die Nicht-Verwendung von Omega-3-Fettsäuren als (hochdosiertes) Immunsupplement bei kritisch kranken Patienten mit Sepsis oder septischen Schock nicht den Einsatz Omega-3-fetthaltiger Lipidemulsionen im Rahmen der parenteralen Ernährung betrifft, da bisher keine schädlichen Wirkungen beschrieben wurden, und klinische sowie experimentelle Studien mögliche Vorteile suggerieren. Auch die aktualisierte ESPEN-Leitlinie empfiehlt, dass enterale, hochdosierte Omega-3-Nährlösungen nicht routinemäßig oder als Bolus zugeführt werden sollten, Omega-3-Fettsäuren als ernährungsrelevanter Bestandteil enteraler Nährlösungen jedoch eingesetzt werden können. Bei Einsatz von parenteralen Lipidlösungen angereichert mit Fischöl können diese in einer Dosierung von 0,1-0,2 g/kg/d verwendet werden</w:t>
      </w:r>
      <w:r w:rsidR="00264D62" w:rsidRPr="00207748">
        <w:rPr>
          <w:rStyle w:val="Ohne"/>
          <w:rFonts w:ascii="Cambria" w:hAnsi="Cambria" w:cs="Arial"/>
          <w:spacing w:val="-2"/>
          <w:sz w:val="20"/>
          <w:szCs w:val="20"/>
        </w:rPr>
        <w:t>.</w:t>
      </w:r>
      <w:r w:rsidR="00D60A69" w:rsidRPr="00D60A69">
        <w:rPr>
          <w:rStyle w:val="EndnoteRealZchn"/>
        </w:rPr>
        <w:fldChar w:fldCharType="begin"/>
      </w:r>
      <w:r w:rsidR="00D60A69" w:rsidRPr="00D60A69">
        <w:rPr>
          <w:rStyle w:val="EndnoteRealZchn"/>
        </w:rPr>
        <w:instrText xml:space="preserve"> NOTEREF _Ref30664204 \h </w:instrText>
      </w:r>
      <w:r w:rsidR="00D60A69">
        <w:rPr>
          <w:rStyle w:val="EndnoteRealZchn"/>
        </w:rPr>
        <w:instrText xml:space="preserve"> \* MERGEFORMAT </w:instrText>
      </w:r>
      <w:r w:rsidR="00D60A69" w:rsidRPr="00D60A69">
        <w:rPr>
          <w:rStyle w:val="EndnoteRealZchn"/>
        </w:rPr>
      </w:r>
      <w:r w:rsidR="00D60A69" w:rsidRPr="00D60A69">
        <w:rPr>
          <w:rStyle w:val="EndnoteRealZchn"/>
        </w:rPr>
        <w:fldChar w:fldCharType="separate"/>
      </w:r>
      <w:r w:rsidR="001A283B">
        <w:rPr>
          <w:rStyle w:val="EndnoteRealZchn"/>
        </w:rPr>
        <w:t>648</w:t>
      </w:r>
      <w:r w:rsidR="00D60A69" w:rsidRPr="00D60A69">
        <w:rPr>
          <w:rStyle w:val="EndnoteRealZchn"/>
        </w:rPr>
        <w:fldChar w:fldCharType="end"/>
      </w:r>
    </w:p>
    <w:p w14:paraId="0FDF5780" w14:textId="6DD77227" w:rsidR="00DA3A66" w:rsidRDefault="00DA3A66" w:rsidP="004454B6">
      <w:pPr>
        <w:tabs>
          <w:tab w:val="decimal" w:pos="432"/>
        </w:tabs>
        <w:spacing w:before="240"/>
        <w:ind w:right="216"/>
        <w:rPr>
          <w:rStyle w:val="EndnoteRealZchn"/>
        </w:rPr>
      </w:pPr>
    </w:p>
    <w:p w14:paraId="7D434657" w14:textId="77777777" w:rsidR="00DA3A66" w:rsidRPr="00D60A69" w:rsidRDefault="00DA3A66" w:rsidP="004454B6">
      <w:pPr>
        <w:tabs>
          <w:tab w:val="decimal" w:pos="432"/>
        </w:tabs>
        <w:spacing w:before="240"/>
        <w:ind w:right="216"/>
        <w:rPr>
          <w:rStyle w:val="EndnoteRealZchn"/>
        </w:rPr>
      </w:pPr>
    </w:p>
    <w:p w14:paraId="3E714583" w14:textId="7F5E0A77" w:rsidR="00E11869" w:rsidRPr="00182D07" w:rsidRDefault="00447357" w:rsidP="00430319">
      <w:pPr>
        <w:pStyle w:val="berschrift2"/>
        <w:ind w:left="0"/>
        <w:rPr>
          <w:rStyle w:val="Ohne"/>
          <w:b w:val="0"/>
        </w:rPr>
      </w:pPr>
      <w:bookmarkStart w:id="496" w:name="_Toc25845130"/>
      <w:bookmarkStart w:id="497" w:name="_Toc437861476"/>
      <w:bookmarkStart w:id="498" w:name="_Toc31278514"/>
      <w:r w:rsidRPr="00182D07">
        <w:rPr>
          <w:rStyle w:val="Ohne"/>
        </w:rPr>
        <w:t>U. Setzen von Behandlungszielen</w:t>
      </w:r>
      <w:bookmarkEnd w:id="496"/>
      <w:bookmarkEnd w:id="497"/>
      <w:bookmarkEnd w:id="498"/>
    </w:p>
    <w:p w14:paraId="55C46539" w14:textId="77777777" w:rsidR="004454B6" w:rsidRPr="00207748" w:rsidRDefault="004454B6" w:rsidP="00430319">
      <w:pPr>
        <w:pStyle w:val="KeinLeerraum"/>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839"/>
        <w:gridCol w:w="1663"/>
        <w:gridCol w:w="831"/>
      </w:tblGrid>
      <w:tr w:rsidR="00E11869" w:rsidRPr="00207748" w14:paraId="71FFB37F" w14:textId="77777777" w:rsidTr="001A283B">
        <w:trPr>
          <w:trHeight w:val="282"/>
        </w:trPr>
        <w:tc>
          <w:tcPr>
            <w:tcW w:w="2122"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1A8495F3" w14:textId="77777777" w:rsidR="00E11869" w:rsidRPr="00207748" w:rsidRDefault="00447357" w:rsidP="004454B6">
            <w:pPr>
              <w:rPr>
                <w:rStyle w:val="Ohne"/>
                <w:rFonts w:ascii="Cambria" w:hAnsi="Cambria"/>
                <w:b/>
                <w:bCs/>
                <w:sz w:val="20"/>
                <w:szCs w:val="20"/>
              </w:rPr>
            </w:pPr>
            <w:r w:rsidRPr="00207748">
              <w:rPr>
                <w:rStyle w:val="Ohne"/>
                <w:rFonts w:ascii="Cambria" w:hAnsi="Cambria" w:cs="Arial"/>
                <w:b/>
                <w:bCs/>
                <w:sz w:val="20"/>
                <w:szCs w:val="20"/>
              </w:rPr>
              <w:t>U.1</w:t>
            </w:r>
          </w:p>
        </w:tc>
        <w:tc>
          <w:tcPr>
            <w:tcW w:w="1919"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B793935" w14:textId="77777777" w:rsidR="00E11869" w:rsidRPr="00207748" w:rsidRDefault="00447357" w:rsidP="00430319">
            <w:pPr>
              <w:rPr>
                <w:rStyle w:val="Ohne"/>
                <w:rFonts w:ascii="Cambria" w:hAnsi="Cambria"/>
                <w:b/>
                <w:bCs/>
                <w:sz w:val="20"/>
                <w:szCs w:val="20"/>
              </w:rPr>
            </w:pPr>
            <w:r w:rsidRPr="00207748">
              <w:rPr>
                <w:rStyle w:val="Ohne"/>
                <w:rFonts w:ascii="Cambria" w:hAnsi="Cambria" w:cs="Arial"/>
                <w:b/>
                <w:bCs/>
                <w:sz w:val="20"/>
                <w:szCs w:val="20"/>
              </w:rPr>
              <w:t xml:space="preserve">Empfehlung </w:t>
            </w:r>
          </w:p>
        </w:tc>
        <w:tc>
          <w:tcPr>
            <w:tcW w:w="959"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24948D5B" w14:textId="77777777" w:rsidR="00E11869" w:rsidRPr="00207748" w:rsidRDefault="00447357" w:rsidP="00430319">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2155326C" w14:textId="77777777" w:rsidTr="001A283B">
        <w:trPr>
          <w:trHeight w:val="1962"/>
        </w:trPr>
        <w:tc>
          <w:tcPr>
            <w:tcW w:w="212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960E5D"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lastRenderedPageBreak/>
              <w:t>Expertenkonsens</w:t>
            </w:r>
          </w:p>
        </w:tc>
        <w:tc>
          <w:tcPr>
            <w:tcW w:w="2878"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1F01D"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Wir empfehlen, dass die Behandlungsziele und die Prognose mit den Patienten und deren Angehörigen/Betreuern besprochen werden.</w:t>
            </w:r>
          </w:p>
        </w:tc>
      </w:tr>
      <w:tr w:rsidR="00E11869" w:rsidRPr="00207748" w14:paraId="080AA5B5" w14:textId="77777777" w:rsidTr="001A283B">
        <w:trPr>
          <w:trHeight w:val="562"/>
        </w:trPr>
        <w:tc>
          <w:tcPr>
            <w:tcW w:w="2122" w:type="pct"/>
            <w:vMerge/>
            <w:tcBorders>
              <w:top w:val="single" w:sz="4" w:space="0" w:color="000000"/>
              <w:left w:val="single" w:sz="4" w:space="0" w:color="000000"/>
              <w:bottom w:val="single" w:sz="4" w:space="0" w:color="000000"/>
              <w:right w:val="single" w:sz="4" w:space="0" w:color="000000"/>
            </w:tcBorders>
            <w:shd w:val="clear" w:color="auto" w:fill="auto"/>
          </w:tcPr>
          <w:p w14:paraId="5C7C2150" w14:textId="77777777" w:rsidR="00E11869" w:rsidRPr="00207748" w:rsidRDefault="00E11869" w:rsidP="004454B6">
            <w:pPr>
              <w:rPr>
                <w:rFonts w:ascii="Cambria" w:hAnsi="Cambria" w:cs="Arial"/>
                <w:sz w:val="20"/>
                <w:szCs w:val="20"/>
              </w:rPr>
            </w:pPr>
          </w:p>
        </w:tc>
        <w:tc>
          <w:tcPr>
            <w:tcW w:w="2878"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6F03A"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SSC</w:t>
            </w:r>
            <w:r w:rsidR="001A58EF" w:rsidRPr="00207748">
              <w:rPr>
                <w:rStyle w:val="Ohne"/>
                <w:rFonts w:ascii="Cambria" w:hAnsi="Cambria" w:cs="Arial"/>
                <w:b/>
                <w:bCs/>
                <w:sz w:val="20"/>
                <w:szCs w:val="20"/>
              </w:rPr>
              <w:t>-</w:t>
            </w:r>
            <w:r w:rsidRPr="00207748">
              <w:rPr>
                <w:rStyle w:val="Ohne"/>
                <w:rFonts w:ascii="Cambria" w:hAnsi="Cambria" w:cs="Arial"/>
                <w:b/>
                <w:bCs/>
                <w:sz w:val="20"/>
                <w:szCs w:val="20"/>
              </w:rPr>
              <w:t xml:space="preserve">Leitlinienadaptation </w:t>
            </w:r>
          </w:p>
        </w:tc>
      </w:tr>
      <w:tr w:rsidR="00E11869" w:rsidRPr="00207748" w14:paraId="351740C5" w14:textId="77777777" w:rsidTr="001A283B">
        <w:trPr>
          <w:trHeight w:val="282"/>
        </w:trPr>
        <w:tc>
          <w:tcPr>
            <w:tcW w:w="212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3D2EB" w14:textId="77777777" w:rsidR="00E11869" w:rsidRPr="00207748" w:rsidRDefault="00E11869" w:rsidP="004454B6">
            <w:pPr>
              <w:rPr>
                <w:rFonts w:ascii="Cambria" w:hAnsi="Cambria" w:cs="Arial"/>
                <w:sz w:val="20"/>
                <w:szCs w:val="20"/>
              </w:rPr>
            </w:pPr>
          </w:p>
        </w:tc>
        <w:tc>
          <w:tcPr>
            <w:tcW w:w="2878"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F43C2"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 xml:space="preserve">Konsensstärke: 100 % </w:t>
            </w:r>
          </w:p>
        </w:tc>
      </w:tr>
    </w:tbl>
    <w:p w14:paraId="581C907E" w14:textId="77777777" w:rsidR="00E11869" w:rsidRPr="00207748" w:rsidRDefault="00E11869" w:rsidP="004454B6">
      <w:pPr>
        <w:tabs>
          <w:tab w:val="decimal" w:pos="360"/>
        </w:tabs>
        <w:spacing w:before="240"/>
        <w:rPr>
          <w:rStyle w:val="Ohne"/>
          <w:rFonts w:ascii="Cambria" w:eastAsia="Arial" w:hAnsi="Cambria" w:cs="Arial"/>
          <w:sz w:val="20"/>
          <w:szCs w:val="20"/>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65"/>
        <w:gridCol w:w="1624"/>
        <w:gridCol w:w="944"/>
      </w:tblGrid>
      <w:tr w:rsidR="00E11869" w:rsidRPr="00207748" w14:paraId="4DCDE02C" w14:textId="77777777" w:rsidTr="001A283B">
        <w:trPr>
          <w:trHeight w:val="282"/>
        </w:trPr>
        <w:tc>
          <w:tcPr>
            <w:tcW w:w="2037"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5AE02430" w14:textId="77777777" w:rsidR="00E11869" w:rsidRPr="00207748" w:rsidRDefault="00447357" w:rsidP="004454B6">
            <w:pPr>
              <w:rPr>
                <w:rStyle w:val="Ohne"/>
                <w:rFonts w:ascii="Cambria" w:hAnsi="Cambria"/>
                <w:b/>
                <w:bCs/>
                <w:sz w:val="20"/>
                <w:szCs w:val="20"/>
              </w:rPr>
            </w:pPr>
            <w:r w:rsidRPr="00207748">
              <w:rPr>
                <w:rStyle w:val="Ohne"/>
                <w:rFonts w:ascii="Cambria" w:hAnsi="Cambria" w:cs="Arial"/>
                <w:b/>
                <w:bCs/>
                <w:sz w:val="20"/>
                <w:szCs w:val="20"/>
              </w:rPr>
              <w:t>U.2</w:t>
            </w:r>
          </w:p>
        </w:tc>
        <w:tc>
          <w:tcPr>
            <w:tcW w:w="1874"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63D92D49" w14:textId="77777777" w:rsidR="00E11869" w:rsidRPr="00207748" w:rsidRDefault="00447357" w:rsidP="00430319">
            <w:pPr>
              <w:rPr>
                <w:rStyle w:val="Ohne"/>
                <w:rFonts w:ascii="Cambria" w:hAnsi="Cambria"/>
                <w:b/>
                <w:bCs/>
                <w:sz w:val="20"/>
                <w:szCs w:val="20"/>
              </w:rPr>
            </w:pPr>
            <w:r w:rsidRPr="00207748">
              <w:rPr>
                <w:rStyle w:val="Ohne"/>
                <w:rFonts w:ascii="Cambria" w:hAnsi="Cambria" w:cs="Arial"/>
                <w:b/>
                <w:bCs/>
                <w:sz w:val="20"/>
                <w:szCs w:val="20"/>
              </w:rPr>
              <w:t xml:space="preserve">Empfehlung </w:t>
            </w:r>
          </w:p>
        </w:tc>
        <w:tc>
          <w:tcPr>
            <w:tcW w:w="1089" w:type="pct"/>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tcPr>
          <w:p w14:paraId="1DAB4049" w14:textId="77777777" w:rsidR="00E11869" w:rsidRPr="00207748" w:rsidRDefault="00447357" w:rsidP="00430319">
            <w:pPr>
              <w:rPr>
                <w:rStyle w:val="Ohne"/>
                <w:rFonts w:ascii="Cambria" w:hAnsi="Cambria"/>
                <w:b/>
                <w:bCs/>
                <w:sz w:val="20"/>
                <w:szCs w:val="20"/>
              </w:rPr>
            </w:pPr>
            <w:r w:rsidRPr="00207748">
              <w:rPr>
                <w:rStyle w:val="Ohne"/>
                <w:rFonts w:ascii="Cambria" w:hAnsi="Cambria" w:cs="Arial"/>
                <w:b/>
                <w:bCs/>
                <w:sz w:val="20"/>
                <w:szCs w:val="20"/>
              </w:rPr>
              <w:t>2018</w:t>
            </w:r>
          </w:p>
        </w:tc>
      </w:tr>
      <w:tr w:rsidR="00E11869" w:rsidRPr="00207748" w14:paraId="5BDC82FD" w14:textId="77777777" w:rsidTr="001A283B">
        <w:trPr>
          <w:trHeight w:val="3135"/>
        </w:trPr>
        <w:tc>
          <w:tcPr>
            <w:tcW w:w="2037"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DE5E7"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Empfehlungsgrad</w:t>
            </w:r>
          </w:p>
          <w:p w14:paraId="0C09BAAB" w14:textId="77777777" w:rsidR="00E11869" w:rsidRPr="00207748" w:rsidRDefault="00E11869" w:rsidP="004454B6">
            <w:pPr>
              <w:spacing w:after="0"/>
              <w:rPr>
                <w:rStyle w:val="Ohne"/>
                <w:rFonts w:ascii="Cambria" w:eastAsia="Arial" w:hAnsi="Cambria" w:cs="Arial"/>
                <w:sz w:val="20"/>
                <w:szCs w:val="20"/>
              </w:rPr>
            </w:pPr>
          </w:p>
          <w:p w14:paraId="6C4AED63" w14:textId="77777777" w:rsidR="00E11869" w:rsidRPr="00207748" w:rsidRDefault="00447357" w:rsidP="004454B6">
            <w:pPr>
              <w:spacing w:after="0"/>
              <w:rPr>
                <w:rStyle w:val="Ohne"/>
                <w:rFonts w:ascii="Cambria" w:eastAsia="Arial" w:hAnsi="Cambria" w:cs="Arial"/>
                <w:b/>
                <w:bCs/>
                <w:sz w:val="20"/>
                <w:szCs w:val="20"/>
              </w:rPr>
            </w:pPr>
            <w:r w:rsidRPr="00207748">
              <w:rPr>
                <w:rStyle w:val="Ohne"/>
                <w:rFonts w:ascii="Cambria" w:hAnsi="Cambria" w:cs="Arial"/>
                <w:b/>
                <w:bCs/>
                <w:sz w:val="20"/>
                <w:szCs w:val="20"/>
              </w:rPr>
              <w:t>stark</w:t>
            </w:r>
          </w:p>
          <w:p w14:paraId="1181E2CF" w14:textId="77777777" w:rsidR="00E11869" w:rsidRPr="00207748" w:rsidRDefault="00E11869" w:rsidP="004454B6">
            <w:pPr>
              <w:spacing w:after="0"/>
              <w:rPr>
                <w:rStyle w:val="Ohne"/>
                <w:rFonts w:ascii="Cambria" w:eastAsia="Arial" w:hAnsi="Cambria" w:cs="Arial"/>
                <w:b/>
                <w:bCs/>
                <w:sz w:val="20"/>
                <w:szCs w:val="20"/>
              </w:rPr>
            </w:pPr>
          </w:p>
          <w:p w14:paraId="3EE6CBC8" w14:textId="77777777" w:rsidR="00E11869" w:rsidRPr="00207748" w:rsidRDefault="00447357" w:rsidP="004454B6">
            <w:pPr>
              <w:spacing w:after="0"/>
              <w:rPr>
                <w:rStyle w:val="Ohne"/>
                <w:rFonts w:ascii="Cambria" w:eastAsia="Arial" w:hAnsi="Cambria" w:cs="Arial"/>
                <w:sz w:val="20"/>
                <w:szCs w:val="20"/>
              </w:rPr>
            </w:pPr>
            <w:r w:rsidRPr="00207748">
              <w:rPr>
                <w:rStyle w:val="Ohne"/>
                <w:rFonts w:ascii="Cambria" w:hAnsi="Cambria" w:cs="Arial"/>
                <w:sz w:val="20"/>
                <w:szCs w:val="20"/>
              </w:rPr>
              <w:t>Evidenzqualität</w:t>
            </w:r>
          </w:p>
          <w:p w14:paraId="3724946B" w14:textId="77777777" w:rsidR="00E11869" w:rsidRPr="00207748" w:rsidRDefault="00E11869" w:rsidP="004454B6">
            <w:pPr>
              <w:spacing w:after="0"/>
              <w:rPr>
                <w:rStyle w:val="Ohne"/>
                <w:rFonts w:ascii="Cambria" w:eastAsia="Arial" w:hAnsi="Cambria" w:cs="Arial"/>
                <w:sz w:val="20"/>
                <w:szCs w:val="20"/>
              </w:rPr>
            </w:pPr>
          </w:p>
          <w:p w14:paraId="115EA1C5"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moderat</w:t>
            </w:r>
          </w:p>
        </w:tc>
        <w:tc>
          <w:tcPr>
            <w:tcW w:w="2963"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8" w:type="dxa"/>
            </w:tcMar>
          </w:tcPr>
          <w:p w14:paraId="7670AE52" w14:textId="204FCD97" w:rsidR="00E11869" w:rsidRPr="00207748" w:rsidRDefault="00447357" w:rsidP="004454B6">
            <w:pPr>
              <w:spacing w:after="0"/>
              <w:ind w:right="288"/>
              <w:rPr>
                <w:rFonts w:ascii="Cambria" w:hAnsi="Cambria" w:cs="Arial"/>
                <w:sz w:val="20"/>
                <w:szCs w:val="20"/>
              </w:rPr>
            </w:pPr>
            <w:r w:rsidRPr="00207748">
              <w:rPr>
                <w:rStyle w:val="Ohne"/>
                <w:rFonts w:ascii="Cambria" w:hAnsi="Cambria" w:cs="Arial"/>
                <w:b/>
                <w:bCs/>
                <w:sz w:val="20"/>
                <w:szCs w:val="20"/>
              </w:rPr>
              <w:t>Wir empfehlen, dass die Behandlungsziele in die Therapie</w:t>
            </w:r>
            <w:r w:rsidR="00B26F79">
              <w:rPr>
                <w:rStyle w:val="Ohne"/>
                <w:rFonts w:ascii="Cambria" w:hAnsi="Cambria" w:cs="Arial"/>
                <w:b/>
                <w:bCs/>
                <w:sz w:val="20"/>
                <w:szCs w:val="20"/>
              </w:rPr>
              <w:t>-</w:t>
            </w:r>
            <w:r w:rsidRPr="00207748">
              <w:rPr>
                <w:rStyle w:val="Ohne"/>
                <w:rFonts w:ascii="Cambria" w:hAnsi="Cambria" w:cs="Arial"/>
                <w:b/>
                <w:bCs/>
                <w:sz w:val="20"/>
                <w:szCs w:val="20"/>
              </w:rPr>
              <w:t>planung und gegebenenfalls Sterbebegleitung einbezogen werden, wobei geeignete palliative Behandlungs</w:t>
            </w:r>
            <w:r w:rsidR="00B26F79">
              <w:rPr>
                <w:rStyle w:val="Ohne"/>
                <w:rFonts w:ascii="Cambria" w:hAnsi="Cambria" w:cs="Arial"/>
                <w:b/>
                <w:bCs/>
                <w:sz w:val="20"/>
                <w:szCs w:val="20"/>
              </w:rPr>
              <w:t>-</w:t>
            </w:r>
            <w:r w:rsidRPr="00207748">
              <w:rPr>
                <w:rStyle w:val="Ohne"/>
                <w:rFonts w:ascii="Cambria" w:hAnsi="Cambria" w:cs="Arial"/>
                <w:b/>
                <w:bCs/>
                <w:sz w:val="20"/>
                <w:szCs w:val="20"/>
              </w:rPr>
              <w:t>prinzipien genutzt werden sollten.</w:t>
            </w:r>
          </w:p>
        </w:tc>
      </w:tr>
      <w:tr w:rsidR="00E11869" w:rsidRPr="00207748" w14:paraId="3E071D90" w14:textId="77777777" w:rsidTr="001A283B">
        <w:trPr>
          <w:trHeight w:val="562"/>
        </w:trPr>
        <w:tc>
          <w:tcPr>
            <w:tcW w:w="2037" w:type="pct"/>
            <w:vMerge/>
            <w:tcBorders>
              <w:top w:val="single" w:sz="4" w:space="0" w:color="000000"/>
              <w:left w:val="single" w:sz="4" w:space="0" w:color="000000"/>
              <w:bottom w:val="single" w:sz="4" w:space="0" w:color="000000"/>
              <w:right w:val="single" w:sz="4" w:space="0" w:color="000000"/>
            </w:tcBorders>
            <w:shd w:val="clear" w:color="auto" w:fill="auto"/>
          </w:tcPr>
          <w:p w14:paraId="3599FFD9" w14:textId="77777777" w:rsidR="00E11869" w:rsidRPr="00207748" w:rsidRDefault="00E11869" w:rsidP="004454B6">
            <w:pPr>
              <w:rPr>
                <w:rFonts w:ascii="Cambria" w:hAnsi="Cambria" w:cs="Arial"/>
                <w:sz w:val="20"/>
                <w:szCs w:val="20"/>
              </w:rPr>
            </w:pPr>
          </w:p>
        </w:tc>
        <w:tc>
          <w:tcPr>
            <w:tcW w:w="2963"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8FCCC"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b/>
                <w:bCs/>
                <w:sz w:val="20"/>
                <w:szCs w:val="20"/>
              </w:rPr>
              <w:t>SSC</w:t>
            </w:r>
            <w:r w:rsidR="001A58EF" w:rsidRPr="00207748">
              <w:rPr>
                <w:rStyle w:val="Ohne"/>
                <w:rFonts w:ascii="Cambria" w:hAnsi="Cambria" w:cs="Arial"/>
                <w:b/>
                <w:bCs/>
                <w:sz w:val="20"/>
                <w:szCs w:val="20"/>
              </w:rPr>
              <w:t>-</w:t>
            </w:r>
            <w:r w:rsidRPr="00207748">
              <w:rPr>
                <w:rStyle w:val="Ohne"/>
                <w:rFonts w:ascii="Cambria" w:hAnsi="Cambria" w:cs="Arial"/>
                <w:b/>
                <w:bCs/>
                <w:sz w:val="20"/>
                <w:szCs w:val="20"/>
              </w:rPr>
              <w:t xml:space="preserve">Leitlinienadaptation </w:t>
            </w:r>
          </w:p>
        </w:tc>
      </w:tr>
      <w:tr w:rsidR="00E11869" w:rsidRPr="00207748" w14:paraId="253A9B07" w14:textId="77777777" w:rsidTr="001A283B">
        <w:trPr>
          <w:trHeight w:val="282"/>
        </w:trPr>
        <w:tc>
          <w:tcPr>
            <w:tcW w:w="20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5F61B" w14:textId="77777777" w:rsidR="00E11869" w:rsidRPr="00207748" w:rsidRDefault="00E11869" w:rsidP="004454B6">
            <w:pPr>
              <w:rPr>
                <w:rFonts w:ascii="Cambria" w:hAnsi="Cambria" w:cs="Arial"/>
                <w:sz w:val="20"/>
                <w:szCs w:val="20"/>
              </w:rPr>
            </w:pPr>
          </w:p>
        </w:tc>
        <w:tc>
          <w:tcPr>
            <w:tcW w:w="2963"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F26A7" w14:textId="77777777" w:rsidR="00E11869" w:rsidRPr="00207748" w:rsidRDefault="00447357" w:rsidP="004454B6">
            <w:pPr>
              <w:spacing w:after="0"/>
              <w:rPr>
                <w:rFonts w:ascii="Cambria" w:hAnsi="Cambria" w:cs="Arial"/>
                <w:sz w:val="20"/>
                <w:szCs w:val="20"/>
              </w:rPr>
            </w:pPr>
            <w:r w:rsidRPr="00207748">
              <w:rPr>
                <w:rStyle w:val="Ohne"/>
                <w:rFonts w:ascii="Cambria" w:hAnsi="Cambria" w:cs="Arial"/>
                <w:sz w:val="20"/>
                <w:szCs w:val="20"/>
              </w:rPr>
              <w:t xml:space="preserve">Konsensstärke: 100 % </w:t>
            </w:r>
          </w:p>
        </w:tc>
      </w:tr>
    </w:tbl>
    <w:p w14:paraId="545A2486" w14:textId="6AF493C3" w:rsidR="00E11869" w:rsidRPr="00207748" w:rsidRDefault="00420A45" w:rsidP="004454B6">
      <w:pPr>
        <w:spacing w:before="240"/>
        <w:rPr>
          <w:rStyle w:val="Ohne"/>
          <w:rFonts w:ascii="Cambria" w:eastAsia="Arial" w:hAnsi="Cambria" w:cs="Arial"/>
          <w:sz w:val="20"/>
          <w:szCs w:val="20"/>
        </w:rPr>
      </w:pPr>
      <w:r w:rsidRPr="00207748">
        <w:rPr>
          <w:rStyle w:val="Ohne"/>
          <w:rFonts w:ascii="Cambria" w:hAnsi="Cambria" w:cs="Arial"/>
          <w:b/>
          <w:bCs/>
          <w:spacing w:val="-3"/>
          <w:sz w:val="20"/>
          <w:szCs w:val="20"/>
        </w:rPr>
        <w:t>Begründung</w:t>
      </w:r>
      <w:r w:rsidR="00447357" w:rsidRPr="00207748">
        <w:rPr>
          <w:rStyle w:val="Ohne"/>
          <w:rFonts w:ascii="Cambria" w:hAnsi="Cambria" w:cs="Arial"/>
          <w:b/>
          <w:bCs/>
          <w:spacing w:val="-3"/>
          <w:sz w:val="20"/>
          <w:szCs w:val="20"/>
        </w:rPr>
        <w:t xml:space="preserve">: </w:t>
      </w:r>
      <w:r w:rsidR="00447357" w:rsidRPr="00207748">
        <w:rPr>
          <w:rStyle w:val="Ohne"/>
          <w:rFonts w:ascii="Cambria" w:hAnsi="Cambria" w:cs="Arial"/>
          <w:spacing w:val="-3"/>
          <w:sz w:val="20"/>
          <w:szCs w:val="20"/>
        </w:rPr>
        <w:t>Die Sterblichkeitsrate von Sepsis-Patienten mit multiplem Organsystemversagen ist hoch und die Langzeitfolgen nach überlebter Sepsis sind häufig schwer. Das Ergebnis einer intensivmedizinischen Behandlung bei kritisch erkrankten Patienten akkurat vorherzusagen ist problematisch. Dennoch ist die Aufstellung realistischer Therapieziele von außerordentlicher Wichtigkeit</w:t>
      </w:r>
      <w:r w:rsidR="00447357" w:rsidRPr="00207748">
        <w:rPr>
          <w:rStyle w:val="Ohne"/>
          <w:rFonts w:ascii="Cambria" w:eastAsia="Arial" w:hAnsi="Cambria" w:cs="Arial"/>
          <w:spacing w:val="-3"/>
          <w:sz w:val="20"/>
          <w:szCs w:val="20"/>
          <w:vertAlign w:val="superscript"/>
        </w:rPr>
        <w:endnoteReference w:id="690"/>
      </w:r>
      <w:r w:rsidR="00447357" w:rsidRPr="00207748">
        <w:rPr>
          <w:rStyle w:val="Ohne"/>
          <w:rFonts w:ascii="Cambria" w:hAnsi="Cambria" w:cs="Arial"/>
          <w:spacing w:val="-3"/>
          <w:sz w:val="20"/>
          <w:szCs w:val="20"/>
        </w:rPr>
        <w:t xml:space="preserve">, insbesondere weil falsche Erwartungen bezüglich der Prognose bei </w:t>
      </w:r>
      <w:r w:rsidR="00A277FD">
        <w:rPr>
          <w:rStyle w:val="Ohne"/>
          <w:rFonts w:ascii="Cambria" w:hAnsi="Cambria" w:cs="Arial"/>
          <w:spacing w:val="-3"/>
          <w:sz w:val="20"/>
          <w:szCs w:val="20"/>
        </w:rPr>
        <w:t>den Angehörigen</w:t>
      </w:r>
      <w:r w:rsidR="002B1061">
        <w:rPr>
          <w:rStyle w:val="Ohne"/>
          <w:rFonts w:ascii="Cambria" w:hAnsi="Cambria" w:cs="Arial"/>
          <w:spacing w:val="-3"/>
          <w:sz w:val="20"/>
          <w:szCs w:val="20"/>
        </w:rPr>
        <w:t xml:space="preserve"> </w:t>
      </w:r>
      <w:r w:rsidR="00447357" w:rsidRPr="00207748">
        <w:rPr>
          <w:rStyle w:val="Ohne"/>
          <w:rFonts w:ascii="Cambria" w:hAnsi="Cambria" w:cs="Arial"/>
          <w:spacing w:val="-3"/>
          <w:sz w:val="20"/>
          <w:szCs w:val="20"/>
        </w:rPr>
        <w:t>häufig vorkommen</w:t>
      </w:r>
      <w:r w:rsidR="00447357" w:rsidRPr="00207748">
        <w:rPr>
          <w:rStyle w:val="Ohne"/>
          <w:rFonts w:ascii="Cambria" w:eastAsia="Arial" w:hAnsi="Cambria" w:cs="Arial"/>
          <w:spacing w:val="-3"/>
          <w:sz w:val="20"/>
          <w:szCs w:val="20"/>
          <w:vertAlign w:val="superscript"/>
        </w:rPr>
        <w:endnoteReference w:id="691"/>
      </w:r>
      <w:r w:rsidR="00447357" w:rsidRPr="00207748">
        <w:rPr>
          <w:rStyle w:val="Ohne"/>
          <w:rFonts w:ascii="Cambria" w:hAnsi="Cambria" w:cs="Arial"/>
          <w:spacing w:val="-3"/>
          <w:sz w:val="20"/>
          <w:szCs w:val="20"/>
        </w:rPr>
        <w:t xml:space="preserve">. Eine nicht-vorteilhafte, vollumfängliche, lebensverlängernde </w:t>
      </w:r>
      <w:r w:rsidR="00447357" w:rsidRPr="00207748">
        <w:rPr>
          <w:rStyle w:val="Ohne"/>
          <w:rFonts w:ascii="Cambria" w:hAnsi="Cambria" w:cs="Arial"/>
          <w:spacing w:val="-3"/>
          <w:sz w:val="20"/>
          <w:szCs w:val="20"/>
        </w:rPr>
        <w:lastRenderedPageBreak/>
        <w:t>ITS-Behandlung steht nicht im Einklang mit dem Setzen von Behandlungszielen</w:t>
      </w:r>
      <w:r w:rsidR="00F65C3A" w:rsidRPr="00207748">
        <w:rPr>
          <w:rStyle w:val="Ohne"/>
          <w:rFonts w:ascii="Cambria" w:hAnsi="Cambria" w:cs="Arial"/>
          <w:spacing w:val="-3"/>
          <w:sz w:val="20"/>
          <w:szCs w:val="20"/>
        </w:rPr>
        <w:t>.</w:t>
      </w:r>
      <w:r w:rsidR="00447357" w:rsidRPr="00207748">
        <w:rPr>
          <w:rStyle w:val="Ohne"/>
          <w:rFonts w:ascii="Cambria" w:eastAsia="Arial" w:hAnsi="Cambria" w:cs="Arial"/>
          <w:spacing w:val="-3"/>
          <w:sz w:val="20"/>
          <w:szCs w:val="20"/>
          <w:vertAlign w:val="superscript"/>
        </w:rPr>
        <w:endnoteReference w:id="692"/>
      </w:r>
      <w:r w:rsidR="00EF1A9E">
        <w:rPr>
          <w:rStyle w:val="Ohne"/>
          <w:rFonts w:ascii="Cambria" w:eastAsia="Arial" w:hAnsi="Cambria" w:cs="Arial"/>
          <w:spacing w:val="-3"/>
          <w:sz w:val="20"/>
          <w:szCs w:val="20"/>
          <w:vertAlign w:val="superscript"/>
        </w:rPr>
        <w:t xml:space="preserve"> </w:t>
      </w:r>
      <w:r w:rsidR="00447357" w:rsidRPr="00207748">
        <w:rPr>
          <w:rStyle w:val="Ohne"/>
          <w:rFonts w:ascii="Cambria" w:eastAsia="Arial" w:hAnsi="Cambria" w:cs="Arial"/>
          <w:sz w:val="20"/>
          <w:szCs w:val="20"/>
          <w:vertAlign w:val="superscript"/>
        </w:rPr>
        <w:endnoteReference w:id="693"/>
      </w:r>
      <w:r w:rsidR="00447357" w:rsidRPr="00207748">
        <w:rPr>
          <w:rStyle w:val="Ohne"/>
          <w:rFonts w:ascii="Cambria" w:hAnsi="Cambria" w:cs="Arial"/>
          <w:sz w:val="20"/>
          <w:szCs w:val="20"/>
        </w:rPr>
        <w:t xml:space="preserve"> Die Nutzung von Behandlungskonferenzen zur Identifizierung von Patientenverfügungen und von Behandlungszielen innerhalb von 72 Stunden ab dem Zeitpunkt der Aufnahme auf der ITS fördert nachweislich die Kommunikation und die Verständigung zwischen der Familie des Patienten und dem Behandlungsteam, verbessert die Familienzufriedenheit, verringert Stress, Ängste und Depressionen bei den Verwandten, erleichtert die Entscheidungsfindung zur Sterbebegleitung und verkürzt die Aufenthaltsdauer auf ITS bei Patienten, die versterben</w:t>
      </w:r>
      <w:r w:rsidR="00F65C3A" w:rsidRPr="00207748">
        <w:rPr>
          <w:rStyle w:val="Ohne"/>
          <w:rFonts w:ascii="Cambria" w:hAnsi="Cambria" w:cs="Arial"/>
          <w:sz w:val="20"/>
          <w:szCs w:val="20"/>
        </w:rPr>
        <w:t>.</w:t>
      </w:r>
      <w:r w:rsidR="00447357" w:rsidRPr="00207748">
        <w:rPr>
          <w:rStyle w:val="Ohne"/>
          <w:rFonts w:ascii="Cambria" w:eastAsia="Arial" w:hAnsi="Cambria" w:cs="Arial"/>
          <w:sz w:val="20"/>
          <w:szCs w:val="20"/>
          <w:vertAlign w:val="superscript"/>
        </w:rPr>
        <w:endnoteReference w:id="694"/>
      </w:r>
      <w:r w:rsidR="00F65C3A" w:rsidRPr="00207748">
        <w:rPr>
          <w:rStyle w:val="Ohne"/>
          <w:rFonts w:ascii="Cambria" w:hAnsi="Cambria" w:cs="Arial"/>
          <w:sz w:val="20"/>
          <w:szCs w:val="20"/>
        </w:rPr>
        <w:t xml:space="preserve"> </w:t>
      </w:r>
      <w:r w:rsidR="00447357" w:rsidRPr="00207748">
        <w:rPr>
          <w:rStyle w:val="Ohne"/>
          <w:rFonts w:ascii="Cambria" w:eastAsia="Arial" w:hAnsi="Cambria" w:cs="Arial"/>
          <w:sz w:val="20"/>
          <w:szCs w:val="20"/>
          <w:vertAlign w:val="superscript"/>
        </w:rPr>
        <w:endnoteReference w:id="695"/>
      </w:r>
      <w:r w:rsidR="00447357" w:rsidRPr="00207748">
        <w:rPr>
          <w:rStyle w:val="Ohne"/>
          <w:rFonts w:ascii="Cambria" w:hAnsi="Cambria" w:cs="Arial"/>
          <w:sz w:val="20"/>
          <w:szCs w:val="20"/>
        </w:rPr>
        <w:t xml:space="preserve"> Die Förderung einer gemeinsamen Entscheidungsfindung mit dem Patienten und dessen Familie ist hilfreich bei der Sicherstellung einer angemessenen Versorgung auf ITS und der Gewährleistung, dass überflüssige Behandlungsmaßnahmen vermieden werden</w:t>
      </w:r>
      <w:r w:rsidR="00F65C3A" w:rsidRPr="00207748">
        <w:rPr>
          <w:rStyle w:val="Ohne"/>
          <w:rFonts w:ascii="Cambria" w:hAnsi="Cambria" w:cs="Arial"/>
          <w:sz w:val="20"/>
          <w:szCs w:val="20"/>
        </w:rPr>
        <w:t>.</w:t>
      </w:r>
      <w:r w:rsidR="00D60A69" w:rsidRPr="00D60A69">
        <w:rPr>
          <w:rStyle w:val="EndnoteRealZchn"/>
          <w:sz w:val="20"/>
          <w:szCs w:val="20"/>
        </w:rPr>
        <w:fldChar w:fldCharType="begin"/>
      </w:r>
      <w:r w:rsidR="00D60A69" w:rsidRPr="00D60A69">
        <w:rPr>
          <w:rStyle w:val="EndnoteRealZchn"/>
          <w:sz w:val="20"/>
          <w:szCs w:val="20"/>
        </w:rPr>
        <w:instrText xml:space="preserve"> NOTEREF _Ref30670767 \h  \* MERGEFORMAT </w:instrText>
      </w:r>
      <w:r w:rsidR="00D60A69" w:rsidRPr="00D60A69">
        <w:rPr>
          <w:rStyle w:val="EndnoteRealZchn"/>
          <w:sz w:val="20"/>
          <w:szCs w:val="20"/>
        </w:rPr>
      </w:r>
      <w:r w:rsidR="00D60A69" w:rsidRPr="00D60A69">
        <w:rPr>
          <w:rStyle w:val="EndnoteRealZchn"/>
          <w:sz w:val="20"/>
          <w:szCs w:val="20"/>
        </w:rPr>
        <w:fldChar w:fldCharType="separate"/>
      </w:r>
      <w:r w:rsidR="001A283B">
        <w:rPr>
          <w:rStyle w:val="EndnoteRealZchn"/>
          <w:sz w:val="20"/>
          <w:szCs w:val="20"/>
        </w:rPr>
        <w:t>747</w:t>
      </w:r>
      <w:r w:rsidR="00D60A69" w:rsidRPr="00D60A69">
        <w:rPr>
          <w:rStyle w:val="EndnoteRealZchn"/>
          <w:sz w:val="20"/>
          <w:szCs w:val="20"/>
        </w:rPr>
        <w:fldChar w:fldCharType="end"/>
      </w:r>
      <w:r w:rsidR="00D60A69">
        <w:rPr>
          <w:rStyle w:val="Ohne"/>
          <w:rFonts w:ascii="Cambria" w:eastAsia="Arial" w:hAnsi="Cambria" w:cs="Arial"/>
          <w:sz w:val="20"/>
          <w:szCs w:val="20"/>
          <w:vertAlign w:val="superscript"/>
        </w:rPr>
        <w:t xml:space="preserve"> </w:t>
      </w:r>
      <w:r w:rsidR="00447357" w:rsidRPr="00207748">
        <w:rPr>
          <w:rStyle w:val="Ohne"/>
          <w:rFonts w:ascii="Cambria" w:eastAsia="Arial" w:hAnsi="Cambria" w:cs="Arial"/>
          <w:sz w:val="20"/>
          <w:szCs w:val="20"/>
          <w:vertAlign w:val="superscript"/>
        </w:rPr>
        <w:endnoteReference w:id="696"/>
      </w:r>
      <w:r w:rsidR="00F65C3A" w:rsidRPr="00207748">
        <w:rPr>
          <w:rStyle w:val="Ohne"/>
          <w:rFonts w:ascii="Cambria" w:hAnsi="Cambria" w:cs="Arial"/>
          <w:sz w:val="20"/>
          <w:szCs w:val="20"/>
        </w:rPr>
        <w:t xml:space="preserve"> </w:t>
      </w:r>
      <w:r w:rsidR="00447357" w:rsidRPr="00207748">
        <w:rPr>
          <w:rStyle w:val="Ohne"/>
          <w:rFonts w:ascii="Cambria" w:eastAsia="Arial" w:hAnsi="Cambria" w:cs="Arial"/>
          <w:sz w:val="20"/>
          <w:szCs w:val="20"/>
          <w:vertAlign w:val="superscript"/>
        </w:rPr>
        <w:endnoteReference w:id="697"/>
      </w:r>
    </w:p>
    <w:p w14:paraId="2137FF60" w14:textId="5836562F" w:rsidR="00E11869" w:rsidRPr="00207748" w:rsidRDefault="00447357" w:rsidP="004454B6">
      <w:pPr>
        <w:spacing w:before="240"/>
        <w:rPr>
          <w:rStyle w:val="Ohne"/>
          <w:rFonts w:ascii="Cambria" w:eastAsia="Arial" w:hAnsi="Cambria" w:cs="Arial"/>
          <w:sz w:val="20"/>
          <w:szCs w:val="20"/>
        </w:rPr>
      </w:pPr>
      <w:r w:rsidRPr="00207748">
        <w:rPr>
          <w:rStyle w:val="Ohne"/>
          <w:rFonts w:ascii="Cambria" w:hAnsi="Cambria" w:cs="Arial"/>
          <w:sz w:val="20"/>
          <w:szCs w:val="20"/>
        </w:rPr>
        <w:t>Die Palliativversorgung wird zunehmend als wesentlicher Bestandteil einer umfassenden Versorgung von kritisch erkrankten Patienten anerkannt, und zwar unabhängig von der Diagnose oder der Prognose</w:t>
      </w:r>
      <w:r w:rsidR="00F65C3A" w:rsidRPr="00207748">
        <w:rPr>
          <w:rStyle w:val="Ohne"/>
          <w:rFonts w:ascii="Cambria" w:hAnsi="Cambria" w:cs="Arial"/>
          <w:sz w:val="20"/>
          <w:szCs w:val="20"/>
        </w:rPr>
        <w:t>.</w:t>
      </w:r>
      <w:r w:rsidRPr="00207748">
        <w:rPr>
          <w:rStyle w:val="Ohne"/>
          <w:rFonts w:ascii="Cambria" w:eastAsia="Arial" w:hAnsi="Cambria" w:cs="Arial"/>
          <w:sz w:val="20"/>
          <w:szCs w:val="20"/>
          <w:vertAlign w:val="superscript"/>
        </w:rPr>
        <w:endnoteReference w:id="698"/>
      </w:r>
      <w:r w:rsidRPr="00207748">
        <w:rPr>
          <w:rStyle w:val="Ohne"/>
          <w:rFonts w:ascii="Cambria" w:hAnsi="Cambria" w:cs="Arial"/>
          <w:sz w:val="20"/>
          <w:szCs w:val="20"/>
        </w:rPr>
        <w:t xml:space="preserve"> Die Nutzung der Palliativmedizin auf ITS erweitert die Fähigkeiten zur Erkennung von Schmerzen und Ängsten, die Feststellung der Wünsche, Glaubensgrundsätze und Werte des Patienten und deren Einfluss auf die Entscheidungsfindung, die Entwicklung von flexiblen Kommunikationsstrategien, die Festlegung von Behandlungszielen, die </w:t>
      </w:r>
      <w:r w:rsidR="00A277FD">
        <w:rPr>
          <w:rStyle w:val="Ohne"/>
          <w:rFonts w:ascii="Cambria" w:hAnsi="Cambria" w:cs="Arial"/>
          <w:sz w:val="20"/>
          <w:szCs w:val="20"/>
        </w:rPr>
        <w:t>Bereitschaft zur Sterbebegleitung durch Angehörige</w:t>
      </w:r>
      <w:r w:rsidRPr="00207748">
        <w:rPr>
          <w:rStyle w:val="Ohne"/>
          <w:rFonts w:ascii="Cambria" w:hAnsi="Cambria" w:cs="Arial"/>
          <w:sz w:val="20"/>
          <w:szCs w:val="20"/>
        </w:rPr>
        <w:t>, die Unterstützung bei der Lösung von Konflikten innerhalb des Teams und die Aufstellung von angemessenen Zielen für die lebenserhaltenden Maßnahmen</w:t>
      </w:r>
      <w:r w:rsidR="00F65C3A" w:rsidRPr="00207748">
        <w:rPr>
          <w:rStyle w:val="Ohne"/>
          <w:rFonts w:ascii="Cambria" w:hAnsi="Cambria" w:cs="Arial"/>
          <w:sz w:val="20"/>
          <w:szCs w:val="20"/>
        </w:rPr>
        <w:t>.</w:t>
      </w:r>
      <w:r w:rsidRPr="00207748">
        <w:rPr>
          <w:rStyle w:val="Ohne"/>
          <w:rFonts w:ascii="Cambria" w:eastAsia="Arial" w:hAnsi="Cambria" w:cs="Arial"/>
          <w:sz w:val="20"/>
          <w:szCs w:val="20"/>
          <w:vertAlign w:val="superscript"/>
        </w:rPr>
        <w:endnoteReference w:id="699"/>
      </w:r>
    </w:p>
    <w:p w14:paraId="7C4CBF6B" w14:textId="77777777" w:rsidR="00E11869" w:rsidRPr="00207748" w:rsidRDefault="00447357" w:rsidP="004454B6">
      <w:pPr>
        <w:spacing w:before="240"/>
        <w:rPr>
          <w:rStyle w:val="Ohne"/>
          <w:rFonts w:ascii="Cambria" w:eastAsia="Arial" w:hAnsi="Cambria" w:cs="Arial"/>
          <w:spacing w:val="-3"/>
          <w:sz w:val="20"/>
          <w:szCs w:val="20"/>
        </w:rPr>
      </w:pPr>
      <w:r w:rsidRPr="00207748">
        <w:rPr>
          <w:rStyle w:val="Ohne"/>
          <w:rFonts w:ascii="Cambria" w:hAnsi="Cambria" w:cs="Arial"/>
          <w:spacing w:val="-3"/>
          <w:sz w:val="20"/>
          <w:szCs w:val="20"/>
        </w:rPr>
        <w:t xml:space="preserve">Eine aktuelles systematisches Review von palliativen Maßnahmen und der Nutzung von vollumfänglichen Intensivbehandlungsplänen hat ergeben, dass Patienten, bei denen vollumfängliche Intensivbehandlungspläne und palliative Maßnahmen einbezogen wurden, trotz großer Abweichungen in Bezug auf den Studientyp und die Qualität in neun randomisierten kontrollierten Studien und 13 </w:t>
      </w:r>
      <w:r w:rsidRPr="00207748">
        <w:rPr>
          <w:rStyle w:val="Ohne"/>
          <w:rFonts w:ascii="Cambria" w:hAnsi="Cambria" w:cs="Arial"/>
          <w:spacing w:val="-3"/>
          <w:sz w:val="20"/>
          <w:szCs w:val="20"/>
        </w:rPr>
        <w:lastRenderedPageBreak/>
        <w:t>nicht-randomisierten kontrollierten Studien durchgängig ein Muster aufwiesen, das auf einen Rückgang der ITS-Einweisungen und einen kürzeren Aufenthalt auf der ITS hindeutet</w:t>
      </w:r>
      <w:r w:rsidR="00F65C3A" w:rsidRPr="00207748">
        <w:rPr>
          <w:rStyle w:val="Ohne"/>
          <w:rFonts w:ascii="Cambria" w:hAnsi="Cambria" w:cs="Arial"/>
          <w:spacing w:val="-3"/>
          <w:sz w:val="20"/>
          <w:szCs w:val="20"/>
        </w:rPr>
        <w:t>.</w:t>
      </w:r>
      <w:r w:rsidRPr="00207748">
        <w:rPr>
          <w:rStyle w:val="Ohne"/>
          <w:rFonts w:ascii="Cambria" w:eastAsia="Arial" w:hAnsi="Cambria" w:cs="Arial"/>
          <w:spacing w:val="-3"/>
          <w:sz w:val="20"/>
          <w:szCs w:val="20"/>
          <w:vertAlign w:val="superscript"/>
        </w:rPr>
        <w:endnoteReference w:id="700"/>
      </w:r>
    </w:p>
    <w:p w14:paraId="275858E5" w14:textId="77777777" w:rsidR="00E11869" w:rsidRPr="00207748" w:rsidRDefault="00447357" w:rsidP="004454B6">
      <w:pPr>
        <w:spacing w:before="240"/>
        <w:rPr>
          <w:rStyle w:val="Ohne"/>
          <w:rFonts w:ascii="Cambria" w:eastAsia="Arial" w:hAnsi="Cambria" w:cs="Arial"/>
          <w:sz w:val="20"/>
          <w:szCs w:val="20"/>
        </w:rPr>
      </w:pPr>
      <w:r w:rsidRPr="00207748">
        <w:rPr>
          <w:rStyle w:val="Ohne"/>
          <w:rFonts w:ascii="Cambria" w:hAnsi="Cambria" w:cs="Arial"/>
          <w:sz w:val="20"/>
          <w:szCs w:val="20"/>
        </w:rPr>
        <w:t>Die signifikanten Abweichungen bei den Beurteilungen der einzelnen Krankenhäuser und der Bereitstellung von palliativen Maßnahmen stehen jedoch im Einklang mit früheren Studien, die Abweichungen bei der Versorgungsintensität am Lebensende nachgewiesen haben</w:t>
      </w:r>
      <w:r w:rsidR="00F65C3A" w:rsidRPr="00207748">
        <w:rPr>
          <w:rStyle w:val="Ohne"/>
          <w:rFonts w:ascii="Cambria" w:hAnsi="Cambria" w:cs="Arial"/>
          <w:sz w:val="20"/>
          <w:szCs w:val="20"/>
        </w:rPr>
        <w:t>.</w:t>
      </w:r>
      <w:r w:rsidRPr="00207748">
        <w:rPr>
          <w:rStyle w:val="Ohne"/>
          <w:rFonts w:ascii="Cambria" w:eastAsia="Arial" w:hAnsi="Cambria" w:cs="Arial"/>
          <w:sz w:val="20"/>
          <w:szCs w:val="20"/>
          <w:vertAlign w:val="superscript"/>
        </w:rPr>
        <w:endnoteReference w:id="701"/>
      </w:r>
      <w:r w:rsidRPr="00207748">
        <w:rPr>
          <w:rStyle w:val="Ohne"/>
          <w:rFonts w:ascii="Cambria" w:hAnsi="Cambria" w:cs="Arial"/>
          <w:sz w:val="20"/>
          <w:szCs w:val="20"/>
        </w:rPr>
        <w:t xml:space="preserve"> Trotz der Unterschiede in Bezug auf die geografische Lage, das Rechtssystem, die Religion und die Kultur besteht ein weltweiter professioneller Konsens im Hinblick auf die wesentlichen intensivmedizinischen Praktiken am Lebensend</w:t>
      </w:r>
      <w:r w:rsidR="00F65C3A" w:rsidRPr="00207748">
        <w:rPr>
          <w:rStyle w:val="Ohne"/>
          <w:rFonts w:ascii="Cambria" w:hAnsi="Cambria" w:cs="Arial"/>
          <w:sz w:val="20"/>
          <w:szCs w:val="20"/>
        </w:rPr>
        <w:t>e.</w:t>
      </w:r>
      <w:r w:rsidRPr="00207748">
        <w:rPr>
          <w:rStyle w:val="Ohne"/>
          <w:rFonts w:ascii="Cambria" w:eastAsia="Arial" w:hAnsi="Cambria" w:cs="Arial"/>
          <w:sz w:val="20"/>
          <w:szCs w:val="20"/>
          <w:vertAlign w:val="superscript"/>
        </w:rPr>
        <w:endnoteReference w:id="702"/>
      </w:r>
    </w:p>
    <w:p w14:paraId="626F5FFD" w14:textId="4960876C" w:rsidR="00FB33A2" w:rsidRPr="00207748" w:rsidRDefault="00447357" w:rsidP="00FB33A2">
      <w:pPr>
        <w:rPr>
          <w:rStyle w:val="Ohne"/>
          <w:rFonts w:ascii="Cambria" w:eastAsia="Arial" w:hAnsi="Cambria" w:cs="Arial"/>
          <w:sz w:val="20"/>
          <w:szCs w:val="20"/>
        </w:rPr>
      </w:pPr>
      <w:r w:rsidRPr="00207748">
        <w:rPr>
          <w:rStyle w:val="Ohne"/>
          <w:rFonts w:ascii="Cambria" w:hAnsi="Cambria" w:cs="Arial"/>
          <w:sz w:val="20"/>
          <w:szCs w:val="20"/>
        </w:rPr>
        <w:t>Der Förderung einer auf den Patienten und dessen Familie ausgerichteten Behandlung auf der ITS wird inzwischen ein hoher Stellenwert eingeräumt. Sie beinhaltet die Umsetzung von frühzeitigen und wiederholten Behandlungskonferenzen zur Reduzierung der Belastung der Familie und zur Verbesserung der Konsistenz in der Kommunikation sowie offene und flexible Besuchszeiten, die Anwesenheit der Familienmitglieder bei klinischen Visiten, und die Einbeziehung von kulturellen und spirituellen Unterstützungsleistungen</w:t>
      </w:r>
      <w:r w:rsidR="00F65C3A" w:rsidRPr="00207748">
        <w:rPr>
          <w:rStyle w:val="Ohne"/>
          <w:rFonts w:ascii="Cambria" w:hAnsi="Cambria" w:cs="Arial"/>
          <w:sz w:val="20"/>
          <w:szCs w:val="20"/>
        </w:rPr>
        <w:t>.</w:t>
      </w:r>
      <w:r w:rsidRPr="00207748">
        <w:rPr>
          <w:rStyle w:val="Ohne"/>
          <w:rFonts w:ascii="Cambria" w:eastAsia="Arial" w:hAnsi="Cambria" w:cs="Arial"/>
          <w:sz w:val="20"/>
          <w:szCs w:val="20"/>
          <w:vertAlign w:val="superscript"/>
        </w:rPr>
        <w:endnoteReference w:id="703"/>
      </w:r>
      <w:r w:rsidR="00F65C3A" w:rsidRPr="00207748">
        <w:rPr>
          <w:rStyle w:val="Ohne"/>
          <w:rFonts w:ascii="Cambria" w:hAnsi="Cambria" w:cs="Arial"/>
          <w:sz w:val="20"/>
          <w:szCs w:val="20"/>
        </w:rPr>
        <w:t xml:space="preserve"> </w:t>
      </w:r>
      <w:r w:rsidRPr="00207748">
        <w:rPr>
          <w:rStyle w:val="Ohne"/>
          <w:rFonts w:ascii="Cambria" w:eastAsia="Arial" w:hAnsi="Cambria" w:cs="Arial"/>
          <w:sz w:val="20"/>
          <w:szCs w:val="20"/>
          <w:vertAlign w:val="superscript"/>
        </w:rPr>
        <w:endnoteReference w:id="704"/>
      </w:r>
      <w:r w:rsidR="00F65C3A" w:rsidRPr="00207748">
        <w:rPr>
          <w:rStyle w:val="Ohne"/>
          <w:rFonts w:ascii="Cambria" w:hAnsi="Cambria" w:cs="Arial"/>
          <w:sz w:val="20"/>
          <w:szCs w:val="20"/>
        </w:rPr>
        <w:t xml:space="preserve"> </w:t>
      </w:r>
      <w:r w:rsidRPr="00207748">
        <w:rPr>
          <w:rStyle w:val="Ohne"/>
          <w:rFonts w:ascii="Cambria" w:eastAsia="Arial" w:hAnsi="Cambria" w:cs="Arial"/>
          <w:sz w:val="20"/>
          <w:szCs w:val="20"/>
          <w:vertAlign w:val="superscript"/>
        </w:rPr>
        <w:endnoteReference w:id="705"/>
      </w:r>
      <w:r w:rsidR="00F65C3A" w:rsidRPr="00207748">
        <w:rPr>
          <w:rStyle w:val="Ohne"/>
          <w:rFonts w:ascii="Cambria" w:hAnsi="Cambria" w:cs="Arial"/>
          <w:sz w:val="20"/>
          <w:szCs w:val="20"/>
        </w:rPr>
        <w:t xml:space="preserve"> </w:t>
      </w:r>
      <w:r w:rsidRPr="00207748">
        <w:rPr>
          <w:rStyle w:val="Ohne"/>
          <w:rFonts w:ascii="Cambria" w:eastAsia="Arial" w:hAnsi="Cambria" w:cs="Arial"/>
          <w:sz w:val="20"/>
          <w:szCs w:val="20"/>
          <w:vertAlign w:val="superscript"/>
        </w:rPr>
        <w:endnoteReference w:id="706"/>
      </w:r>
      <w:bookmarkStart w:id="499" w:name="_Toc25845131"/>
    </w:p>
    <w:p w14:paraId="3CD16AA7" w14:textId="77777777" w:rsidR="00E11869" w:rsidRPr="00182D07" w:rsidRDefault="00447357" w:rsidP="004454B6">
      <w:pPr>
        <w:pStyle w:val="berschrift2"/>
        <w:rPr>
          <w:rStyle w:val="Ohne"/>
          <w:b w:val="0"/>
        </w:rPr>
      </w:pPr>
      <w:bookmarkStart w:id="500" w:name="_Toc437861477"/>
      <w:bookmarkStart w:id="501" w:name="_Toc31278515"/>
      <w:r w:rsidRPr="00182D07">
        <w:rPr>
          <w:rStyle w:val="Ohne"/>
        </w:rPr>
        <w:t>Spätfolgen der Sepsis</w:t>
      </w:r>
      <w:bookmarkEnd w:id="499"/>
      <w:bookmarkEnd w:id="500"/>
      <w:bookmarkEnd w:id="501"/>
    </w:p>
    <w:p w14:paraId="6A6C2E6C" w14:textId="77777777" w:rsidR="004454B6" w:rsidRPr="00207748" w:rsidRDefault="004454B6" w:rsidP="00FB33A2">
      <w:pPr>
        <w:pStyle w:val="KeinLeerraum"/>
      </w:pPr>
    </w:p>
    <w:p w14:paraId="2B98A95C" w14:textId="6F5595C2" w:rsidR="00D60A69" w:rsidRDefault="00447357" w:rsidP="004454B6">
      <w:pPr>
        <w:rPr>
          <w:rStyle w:val="Ohne"/>
          <w:rFonts w:ascii="Cambria" w:hAnsi="Cambria" w:cs="Arial"/>
          <w:sz w:val="20"/>
          <w:szCs w:val="20"/>
        </w:rPr>
      </w:pPr>
      <w:r w:rsidRPr="00207748">
        <w:rPr>
          <w:rStyle w:val="Ohne"/>
          <w:rFonts w:ascii="Cambria" w:hAnsi="Cambria" w:cs="Arial"/>
          <w:sz w:val="20"/>
          <w:szCs w:val="20"/>
        </w:rPr>
        <w:t>Neben den im Rahmen validierter Testinstrumente (z.B. SF-36) erfassten Einschränkungen der gesundheitsbezogenen Lebensqualität</w:t>
      </w:r>
      <w:r w:rsidR="00264D62" w:rsidRPr="00207748">
        <w:rPr>
          <w:rStyle w:val="Endnotenzeichen"/>
          <w:rFonts w:ascii="Cambria" w:hAnsi="Cambria" w:cs="Arial"/>
          <w:sz w:val="20"/>
          <w:szCs w:val="20"/>
        </w:rPr>
        <w:endnoteReference w:id="707"/>
      </w:r>
      <w:r w:rsidR="00D60A69">
        <w:rPr>
          <w:rStyle w:val="Ohne"/>
          <w:rFonts w:ascii="Cambria" w:hAnsi="Cambria" w:cs="Arial"/>
          <w:sz w:val="20"/>
          <w:szCs w:val="20"/>
        </w:rPr>
        <w:t xml:space="preserve"> </w:t>
      </w:r>
      <w:r w:rsidR="00D60A69">
        <w:rPr>
          <w:rStyle w:val="Endnotenzeichen"/>
          <w:rFonts w:ascii="Cambria" w:hAnsi="Cambria" w:cs="Arial"/>
          <w:sz w:val="20"/>
          <w:szCs w:val="20"/>
        </w:rPr>
        <w:endnoteReference w:id="708"/>
      </w:r>
      <w:r w:rsidR="00D60A69">
        <w:rPr>
          <w:rStyle w:val="Ohne"/>
          <w:rFonts w:ascii="Cambria" w:hAnsi="Cambria" w:cs="Arial"/>
          <w:sz w:val="20"/>
          <w:szCs w:val="20"/>
        </w:rPr>
        <w:t xml:space="preserve"> </w:t>
      </w:r>
      <w:r w:rsidR="00D60A69">
        <w:rPr>
          <w:rStyle w:val="Endnotenzeichen"/>
          <w:rFonts w:ascii="Cambria" w:hAnsi="Cambria" w:cs="Arial"/>
          <w:sz w:val="20"/>
          <w:szCs w:val="20"/>
        </w:rPr>
        <w:endnoteReference w:id="709"/>
      </w:r>
      <w:r w:rsidRPr="00207748">
        <w:rPr>
          <w:rStyle w:val="Ohne"/>
          <w:rFonts w:ascii="Cambria" w:hAnsi="Cambria" w:cs="Arial"/>
          <w:sz w:val="20"/>
          <w:szCs w:val="20"/>
        </w:rPr>
        <w:t>, leiden eine Vielzahl von ehemaligen Sepsis-Patienten unter funktionellen Einschränkungen, die unter den Begriffen Critical Illness Polyneuropathy (CIP) bzw. Critical Illness Myopathy (CIM) seit mehr als zwei Jahrzehnten bekannt sind.</w:t>
      </w:r>
      <w:r w:rsidR="00264D62" w:rsidRPr="00207748">
        <w:rPr>
          <w:rStyle w:val="Endnotenzeichen"/>
          <w:rFonts w:ascii="Cambria" w:hAnsi="Cambria" w:cs="Arial"/>
          <w:sz w:val="20"/>
          <w:szCs w:val="20"/>
        </w:rPr>
        <w:endnoteReference w:id="710"/>
      </w:r>
      <w:r w:rsidRPr="00207748">
        <w:rPr>
          <w:rStyle w:val="Ohne"/>
          <w:rFonts w:ascii="Cambria" w:hAnsi="Cambria" w:cs="Arial"/>
          <w:sz w:val="20"/>
          <w:szCs w:val="20"/>
        </w:rPr>
        <w:t xml:space="preserve"> Mehr als 70% der Patienten mit septischem Schock und mehr als 60% der mechanisch beatmeten Patienten sowie der Patienten mit einer schweren Sepsis zeigen signifikante elektrophysiologische Veränderungen bereits drei Tage nach Aufnahme auf die ITS</w:t>
      </w:r>
      <w:r w:rsidR="00264D62" w:rsidRPr="00207748">
        <w:rPr>
          <w:rStyle w:val="Ohne"/>
          <w:rFonts w:ascii="Cambria" w:hAnsi="Cambria" w:cs="Arial"/>
          <w:sz w:val="20"/>
          <w:szCs w:val="20"/>
        </w:rPr>
        <w:t>.</w:t>
      </w:r>
      <w:r w:rsidR="00264D62" w:rsidRPr="00207748">
        <w:rPr>
          <w:rStyle w:val="Endnotenzeichen"/>
          <w:rFonts w:ascii="Cambria" w:hAnsi="Cambria" w:cs="Arial"/>
          <w:sz w:val="20"/>
          <w:szCs w:val="20"/>
        </w:rPr>
        <w:endnoteReference w:id="711"/>
      </w:r>
      <w:r w:rsidR="00264D62" w:rsidRPr="00207748">
        <w:rPr>
          <w:rStyle w:val="Ohne"/>
          <w:rFonts w:ascii="Cambria" w:hAnsi="Cambria" w:cs="Arial"/>
          <w:sz w:val="20"/>
          <w:szCs w:val="20"/>
        </w:rPr>
        <w:t xml:space="preserve"> </w:t>
      </w:r>
      <w:r w:rsidRPr="00207748">
        <w:rPr>
          <w:rStyle w:val="Ohne"/>
          <w:rFonts w:ascii="Cambria" w:hAnsi="Cambria" w:cs="Arial"/>
          <w:sz w:val="20"/>
          <w:szCs w:val="20"/>
        </w:rPr>
        <w:t xml:space="preserve">Assoziationen mit myopathischen oder neuropathischen Veränderungen zeigen neben der Sepsis und der </w:t>
      </w:r>
      <w:r w:rsidRPr="00207748">
        <w:rPr>
          <w:rStyle w:val="Ohne"/>
          <w:rFonts w:ascii="Cambria" w:hAnsi="Cambria" w:cs="Arial"/>
          <w:sz w:val="20"/>
          <w:szCs w:val="20"/>
        </w:rPr>
        <w:lastRenderedPageBreak/>
        <w:t>Beatmung auch das Multiorganversagen, ARDS, systemische Inflammation, Kortikosteroide, Störungen des Glukosemetabolismus und die Liegedauer auf der ITS. In der Summe werden bei Patienten mit CIP/CIM häufiger Schwierigkeiten bei der Entwöhnung vom Ventilator (weaning failure) und prolongierte Phasen der post-hospitalen Rehabilitation beobachtet</w:t>
      </w:r>
      <w:r w:rsidR="00264D62" w:rsidRPr="00207748">
        <w:rPr>
          <w:rStyle w:val="Ohne"/>
          <w:rFonts w:ascii="Cambria" w:hAnsi="Cambria" w:cs="Arial"/>
          <w:sz w:val="20"/>
          <w:szCs w:val="20"/>
        </w:rPr>
        <w:t>.</w:t>
      </w:r>
    </w:p>
    <w:p w14:paraId="48F565F4" w14:textId="3C6E5B6B" w:rsidR="00E11869" w:rsidRPr="00207748" w:rsidRDefault="00447357" w:rsidP="004454B6">
      <w:pPr>
        <w:rPr>
          <w:rStyle w:val="Ohne"/>
          <w:rFonts w:ascii="Cambria" w:eastAsia="Arial" w:hAnsi="Cambria" w:cs="Arial"/>
          <w:sz w:val="20"/>
          <w:szCs w:val="20"/>
        </w:rPr>
      </w:pPr>
      <w:r w:rsidRPr="00207748">
        <w:rPr>
          <w:rStyle w:val="Ohne"/>
          <w:rFonts w:ascii="Cambria" w:hAnsi="Cambria" w:cs="Arial"/>
          <w:sz w:val="20"/>
          <w:szCs w:val="20"/>
        </w:rPr>
        <w:t>Zunehmend in den Blickpunkt geraten im Zusammenhang der perihospitalen funktionellen Entwicklung auch das Delirium während der Intensivtherapie sowie anhaltende neurokognitive Einschränkungen (ca. 17%), post-traumatischer Distress (PTSD, 44%) und Depressionen (29%)</w:t>
      </w:r>
      <w:r w:rsidR="00264D62" w:rsidRPr="00207748">
        <w:rPr>
          <w:rStyle w:val="Ohne"/>
          <w:rFonts w:ascii="Cambria" w:hAnsi="Cambria" w:cs="Arial"/>
          <w:sz w:val="20"/>
          <w:szCs w:val="20"/>
        </w:rPr>
        <w:t>.</w:t>
      </w:r>
      <w:r w:rsidR="00D60A69">
        <w:rPr>
          <w:rStyle w:val="Endnotenzeichen"/>
          <w:rFonts w:ascii="Cambria" w:hAnsi="Cambria" w:cs="Arial"/>
          <w:sz w:val="20"/>
          <w:szCs w:val="20"/>
        </w:rPr>
        <w:endnoteReference w:id="712"/>
      </w:r>
      <w:r w:rsidR="00D60A69">
        <w:rPr>
          <w:rStyle w:val="Ohne"/>
          <w:rFonts w:ascii="Cambria" w:hAnsi="Cambria" w:cs="Arial"/>
          <w:sz w:val="20"/>
          <w:szCs w:val="20"/>
        </w:rPr>
        <w:t xml:space="preserve"> </w:t>
      </w:r>
      <w:r w:rsidR="00D60A69">
        <w:rPr>
          <w:rStyle w:val="Endnotenzeichen"/>
          <w:rFonts w:ascii="Cambria" w:hAnsi="Cambria" w:cs="Arial"/>
          <w:sz w:val="20"/>
          <w:szCs w:val="20"/>
        </w:rPr>
        <w:t xml:space="preserve"> </w:t>
      </w:r>
      <w:r w:rsidR="00264D62" w:rsidRPr="00207748">
        <w:rPr>
          <w:rStyle w:val="Endnotenzeichen"/>
          <w:rFonts w:ascii="Cambria" w:hAnsi="Cambria" w:cs="Arial"/>
          <w:sz w:val="20"/>
          <w:szCs w:val="20"/>
        </w:rPr>
        <w:endnoteReference w:id="713"/>
      </w:r>
      <w:r w:rsidR="00264D62" w:rsidRPr="00207748">
        <w:rPr>
          <w:rStyle w:val="Ohne"/>
          <w:rFonts w:ascii="Cambria" w:hAnsi="Cambria" w:cs="Arial"/>
          <w:sz w:val="20"/>
          <w:szCs w:val="20"/>
        </w:rPr>
        <w:t xml:space="preserve"> </w:t>
      </w:r>
      <w:r w:rsidR="00E15D93" w:rsidRPr="00D60A69">
        <w:rPr>
          <w:rStyle w:val="EndnoteRealZchn"/>
          <w:sz w:val="20"/>
          <w:szCs w:val="20"/>
        </w:rPr>
        <w:fldChar w:fldCharType="begin"/>
      </w:r>
      <w:r w:rsidR="00E15D93" w:rsidRPr="00D60A69">
        <w:rPr>
          <w:rStyle w:val="EndnoteRealZchn"/>
          <w:sz w:val="20"/>
          <w:szCs w:val="20"/>
        </w:rPr>
        <w:instrText xml:space="preserve"> NOTEREF _Ref30667399 \h  \* MERGEFORMAT </w:instrText>
      </w:r>
      <w:r w:rsidR="00E15D93" w:rsidRPr="00D60A69">
        <w:rPr>
          <w:rStyle w:val="EndnoteRealZchn"/>
          <w:sz w:val="20"/>
          <w:szCs w:val="20"/>
        </w:rPr>
      </w:r>
      <w:r w:rsidR="00E15D93" w:rsidRPr="00D60A69">
        <w:rPr>
          <w:rStyle w:val="EndnoteRealZchn"/>
          <w:sz w:val="20"/>
          <w:szCs w:val="20"/>
        </w:rPr>
        <w:fldChar w:fldCharType="separate"/>
      </w:r>
      <w:r w:rsidR="00E15D93">
        <w:rPr>
          <w:rStyle w:val="EndnoteRealZchn"/>
          <w:sz w:val="20"/>
          <w:szCs w:val="20"/>
        </w:rPr>
        <w:t>771</w:t>
      </w:r>
      <w:r w:rsidR="00E15D93" w:rsidRPr="00D60A69">
        <w:rPr>
          <w:rStyle w:val="EndnoteRealZchn"/>
          <w:sz w:val="20"/>
          <w:szCs w:val="20"/>
        </w:rPr>
        <w:fldChar w:fldCharType="end"/>
      </w:r>
      <w:r w:rsidR="00E15D93">
        <w:rPr>
          <w:rStyle w:val="EndnoteRealZchn"/>
          <w:sz w:val="20"/>
          <w:szCs w:val="20"/>
        </w:rPr>
        <w:t xml:space="preserve"> </w:t>
      </w:r>
      <w:r w:rsidR="00264D62" w:rsidRPr="00207748">
        <w:rPr>
          <w:rStyle w:val="Ohne"/>
          <w:rFonts w:ascii="Cambria" w:hAnsi="Cambria" w:cs="Arial"/>
          <w:sz w:val="20"/>
          <w:szCs w:val="20"/>
        </w:rPr>
        <w:t>D</w:t>
      </w:r>
      <w:r w:rsidRPr="00207748">
        <w:rPr>
          <w:rStyle w:val="Ohne"/>
          <w:rFonts w:ascii="Cambria" w:hAnsi="Cambria" w:cs="Arial"/>
          <w:sz w:val="20"/>
          <w:szCs w:val="20"/>
        </w:rPr>
        <w:t>er Grad der durch eine Sepsis resultierenden Funktionsdefizite und somit die tatsächliche Lebensqualität der Betroffenen kann jedoch durch eine geeignete Rehabilitationsmaßnahme durchaus beeinflussbar sein. Allerdings gibt es bis heute weder therapeutische Rehabilitations-Standards</w:t>
      </w:r>
      <w:r w:rsidR="00264D62" w:rsidRPr="00207748">
        <w:rPr>
          <w:rStyle w:val="Endnotenzeichen"/>
          <w:rFonts w:ascii="Cambria" w:hAnsi="Cambria" w:cs="Arial"/>
          <w:sz w:val="20"/>
          <w:szCs w:val="20"/>
        </w:rPr>
        <w:endnoteReference w:id="714"/>
      </w:r>
      <w:r w:rsidRPr="00207748">
        <w:rPr>
          <w:rStyle w:val="Ohne"/>
          <w:rFonts w:ascii="Cambria" w:hAnsi="Cambria" w:cs="Arial"/>
          <w:sz w:val="20"/>
          <w:szCs w:val="20"/>
        </w:rPr>
        <w:t xml:space="preserve"> noch auf diese Patienten ausgerichtete Rehabilitationseinrichtungen, da die zugrundeliegenden biologischen Mechanismen der Langzeitfolgen einer Sepsis nach intensivtherapeutischer Behandlung unzureichend verstanden sind. Ausserdem sind die Langzeitfolgen den nachbehandelnden Ärzten in der Regel wenig bekannt. Bis zur Einführung der DRGs wurden Sepsis-Patienten </w:t>
      </w:r>
      <w:r w:rsidRPr="00207748">
        <w:rPr>
          <w:rStyle w:val="Ohne"/>
          <w:rFonts w:ascii="Cambria" w:hAnsi="Cambria" w:cs="Arial"/>
          <w:sz w:val="20"/>
          <w:szCs w:val="20"/>
        </w:rPr>
        <w:lastRenderedPageBreak/>
        <w:t>bis zu ihrer „Entlassungsfähigkeit“ in der Regel im Akut-Krankenhaus versorgt, welches jedoch im Allgemeinen nicht über entsprechende rehabilitationsmedizinische Ressourcen verfügt. Mit Einführung der DRGs sehen sich diese Patienten jedoch mit einem weiteren Problem konfrontiert. Aufgrund zukünftig fehlender Abrechnungsgrundlagen ist das Akut-Krankenhaus an einer vorzeitigen Entlassung des Patienten interessiert, um das pro Behandlungsfall zur Verfügung stehende Budget nicht über Gebühr zu überschreiten. Das Ergebnis ist, dass Sepsis-Patienten nun noch früher aus der akutmedizinischen Versorgung entlassen werden. Gezielte Forschung ist notwendig, um unser Verständnis der häufig lang andauernden neurokognitiven und motorisch-funktionellen Beeinträchtigungen dieser Patientengruppe zu verbessern und mögliche Präventions- bzw. Therapieansätze aufzuzeigen.</w:t>
      </w:r>
      <w:r w:rsidR="00264D62" w:rsidRPr="00207748">
        <w:rPr>
          <w:rStyle w:val="Endnotenzeichen"/>
          <w:rFonts w:ascii="Cambria" w:hAnsi="Cambria" w:cs="Arial"/>
          <w:sz w:val="20"/>
          <w:szCs w:val="20"/>
        </w:rPr>
        <w:endnoteReference w:id="715"/>
      </w:r>
      <w:r w:rsidR="00264D62" w:rsidRPr="00207748">
        <w:rPr>
          <w:rStyle w:val="Ohne"/>
          <w:rFonts w:ascii="Cambria" w:hAnsi="Cambria" w:cs="Arial"/>
          <w:sz w:val="20"/>
          <w:szCs w:val="20"/>
        </w:rPr>
        <w:t xml:space="preserve"> </w:t>
      </w:r>
      <w:bookmarkStart w:id="502" w:name="_Ref30667399"/>
      <w:r w:rsidR="00264D62" w:rsidRPr="00207748">
        <w:rPr>
          <w:rStyle w:val="Endnotenzeichen"/>
          <w:rFonts w:ascii="Cambria" w:hAnsi="Cambria" w:cs="Arial"/>
          <w:sz w:val="20"/>
          <w:szCs w:val="20"/>
        </w:rPr>
        <w:endnoteReference w:id="716"/>
      </w:r>
      <w:bookmarkEnd w:id="502"/>
    </w:p>
    <w:p w14:paraId="095520F4" w14:textId="77777777" w:rsidR="00425C8A" w:rsidRPr="00207748" w:rsidRDefault="00447357" w:rsidP="004454B6">
      <w:pPr>
        <w:rPr>
          <w:rStyle w:val="Ohne"/>
          <w:rFonts w:ascii="Cambria" w:hAnsi="Cambria" w:cs="Arial"/>
          <w:sz w:val="20"/>
          <w:szCs w:val="20"/>
        </w:rPr>
      </w:pPr>
      <w:r w:rsidRPr="00207748">
        <w:rPr>
          <w:rStyle w:val="Ohne"/>
          <w:rFonts w:ascii="Cambria" w:hAnsi="Cambria" w:cs="Arial"/>
          <w:sz w:val="20"/>
          <w:szCs w:val="20"/>
        </w:rPr>
        <w:t xml:space="preserve">Es wird empfohlen, typische Sepsisfolgen </w:t>
      </w:r>
      <w:r w:rsidRPr="00207748">
        <w:rPr>
          <w:rStyle w:val="Ohne"/>
          <w:rFonts w:ascii="Cambria" w:hAnsi="Cambria" w:cs="Arial"/>
          <w:spacing w:val="-3"/>
          <w:sz w:val="20"/>
          <w:szCs w:val="20"/>
        </w:rPr>
        <w:t xml:space="preserve">– </w:t>
      </w:r>
      <w:r w:rsidRPr="00207748">
        <w:rPr>
          <w:rStyle w:val="Ohne"/>
          <w:rFonts w:ascii="Cambria" w:hAnsi="Cambria" w:cs="Arial"/>
          <w:sz w:val="20"/>
          <w:szCs w:val="20"/>
        </w:rPr>
        <w:t xml:space="preserve">sofern möglich </w:t>
      </w:r>
      <w:r w:rsidRPr="00207748">
        <w:rPr>
          <w:rStyle w:val="Ohne"/>
          <w:rFonts w:ascii="Cambria" w:hAnsi="Cambria" w:cs="Arial"/>
          <w:spacing w:val="-3"/>
          <w:sz w:val="20"/>
          <w:szCs w:val="20"/>
        </w:rPr>
        <w:t>–</w:t>
      </w:r>
      <w:r w:rsidRPr="00207748">
        <w:rPr>
          <w:rStyle w:val="Ohne"/>
          <w:rFonts w:ascii="Cambria" w:hAnsi="Cambria" w:cs="Arial"/>
          <w:sz w:val="20"/>
          <w:szCs w:val="20"/>
        </w:rPr>
        <w:t xml:space="preserve"> bereits im akutmedizinischen Bereich zu erfassen und die nachbehandelnden Ärzte im </w:t>
      </w:r>
      <w:r w:rsidR="001A58EF" w:rsidRPr="00207748">
        <w:rPr>
          <w:rStyle w:val="Ohne"/>
          <w:rFonts w:ascii="Cambria" w:hAnsi="Cambria" w:cs="Arial"/>
          <w:sz w:val="20"/>
          <w:szCs w:val="20"/>
        </w:rPr>
        <w:t>postakuten</w:t>
      </w:r>
      <w:r w:rsidRPr="00207748">
        <w:rPr>
          <w:rStyle w:val="Ohne"/>
          <w:rFonts w:ascii="Cambria" w:hAnsi="Cambria" w:cs="Arial"/>
          <w:sz w:val="20"/>
          <w:szCs w:val="20"/>
        </w:rPr>
        <w:t xml:space="preserve"> und ambulanten Bereich über diesbez</w:t>
      </w:r>
      <w:r w:rsidR="001A58EF" w:rsidRPr="00207748">
        <w:rPr>
          <w:rStyle w:val="Ohne"/>
          <w:rFonts w:ascii="Cambria" w:hAnsi="Cambria" w:cs="Arial"/>
          <w:sz w:val="20"/>
          <w:szCs w:val="20"/>
        </w:rPr>
        <w:t>üglich</w:t>
      </w:r>
      <w:r w:rsidRPr="00207748">
        <w:rPr>
          <w:rStyle w:val="Ohne"/>
          <w:rFonts w:ascii="Cambria" w:hAnsi="Cambria" w:cs="Arial"/>
          <w:sz w:val="20"/>
          <w:szCs w:val="20"/>
        </w:rPr>
        <w:t xml:space="preserve"> bestehende bzw. potentiell im Langzeitverlauf auftretende Funktionsdefizite hinzuweisen.</w:t>
      </w:r>
    </w:p>
    <w:p w14:paraId="21DDE5EB" w14:textId="77777777" w:rsidR="00425C8A" w:rsidRPr="00207748" w:rsidRDefault="00425C8A" w:rsidP="004454B6">
      <w:pPr>
        <w:spacing w:after="0"/>
        <w:rPr>
          <w:rStyle w:val="Ohne"/>
          <w:rFonts w:ascii="Cambria" w:hAnsi="Cambria" w:cs="Arial"/>
          <w:sz w:val="20"/>
          <w:szCs w:val="20"/>
        </w:rPr>
      </w:pPr>
      <w:r w:rsidRPr="00207748">
        <w:rPr>
          <w:rStyle w:val="Ohne"/>
          <w:rFonts w:ascii="Cambria" w:hAnsi="Cambria" w:cs="Arial"/>
          <w:sz w:val="20"/>
          <w:szCs w:val="20"/>
        </w:rPr>
        <w:br w:type="page"/>
      </w:r>
    </w:p>
    <w:p w14:paraId="58CA2177" w14:textId="77777777" w:rsidR="00425C8A" w:rsidRPr="00207748" w:rsidRDefault="00425C8A" w:rsidP="004454B6">
      <w:pPr>
        <w:pStyle w:val="berschrift1"/>
        <w:rPr>
          <w:u w:color="4F81BD"/>
        </w:rPr>
        <w:sectPr w:rsidR="00425C8A" w:rsidRPr="00207748" w:rsidSect="00801F84">
          <w:headerReference w:type="default" r:id="rId11"/>
          <w:endnotePr>
            <w:numFmt w:val="decimal"/>
          </w:endnotePr>
          <w:pgSz w:w="11900" w:h="16840"/>
          <w:pgMar w:top="1417" w:right="1417" w:bottom="1134" w:left="1417" w:header="708" w:footer="708" w:gutter="0"/>
          <w:cols w:num="2" w:space="720"/>
        </w:sectPr>
      </w:pPr>
    </w:p>
    <w:p w14:paraId="5D72BBCE" w14:textId="50A8ADFF" w:rsidR="008962B5" w:rsidRPr="00207748" w:rsidRDefault="002208D2" w:rsidP="004454B6">
      <w:pPr>
        <w:pStyle w:val="berschrift1"/>
        <w:numPr>
          <w:ilvl w:val="0"/>
          <w:numId w:val="155"/>
        </w:numPr>
      </w:pPr>
      <w:bookmarkStart w:id="503" w:name="_Toc437861478"/>
      <w:bookmarkStart w:id="504" w:name="_Toc31278516"/>
      <w:r w:rsidRPr="00207748">
        <w:rPr>
          <w:noProof/>
        </w:rPr>
        <w:lastRenderedPageBreak/>
        <w:drawing>
          <wp:anchor distT="0" distB="0" distL="114300" distR="114300" simplePos="0" relativeHeight="251658240" behindDoc="0" locked="0" layoutInCell="1" allowOverlap="1" wp14:anchorId="4A918602" wp14:editId="4BCECC53">
            <wp:simplePos x="0" y="0"/>
            <wp:positionH relativeFrom="column">
              <wp:posOffset>-45145</wp:posOffset>
            </wp:positionH>
            <wp:positionV relativeFrom="paragraph">
              <wp:posOffset>585674</wp:posOffset>
            </wp:positionV>
            <wp:extent cx="4938395" cy="3352800"/>
            <wp:effectExtent l="0" t="0" r="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8395" cy="3352800"/>
                    </a:xfrm>
                    <a:prstGeom prst="rect">
                      <a:avLst/>
                    </a:prstGeom>
                    <a:noFill/>
                  </pic:spPr>
                </pic:pic>
              </a:graphicData>
            </a:graphic>
          </wp:anchor>
        </w:drawing>
      </w:r>
      <w:r w:rsidRPr="00207748">
        <w:t>Anhang</w:t>
      </w:r>
      <w:bookmarkEnd w:id="503"/>
      <w:bookmarkEnd w:id="504"/>
    </w:p>
    <w:p w14:paraId="159BA50E" w14:textId="77777777" w:rsidR="001F6734" w:rsidRPr="00207748" w:rsidRDefault="008962B5" w:rsidP="004454B6">
      <w:pPr>
        <w:rPr>
          <w:rFonts w:ascii="Cambria" w:hAnsi="Cambria" w:cs="Arial"/>
          <w:sz w:val="20"/>
          <w:szCs w:val="20"/>
        </w:rPr>
      </w:pPr>
      <w:r w:rsidRPr="00207748">
        <w:rPr>
          <w:rFonts w:ascii="Cambria" w:hAnsi="Cambria" w:cs="Arial"/>
          <w:b/>
          <w:sz w:val="20"/>
          <w:szCs w:val="20"/>
        </w:rPr>
        <w:t xml:space="preserve">Abbildung 1: </w:t>
      </w:r>
      <w:r w:rsidRPr="00207748">
        <w:rPr>
          <w:rFonts w:ascii="Cambria" w:hAnsi="Cambria" w:cs="Arial"/>
          <w:sz w:val="20"/>
          <w:szCs w:val="20"/>
        </w:rPr>
        <w:t>Algorithmus bei Verdacht auf Infektion (© F.M. Brunkhorst</w:t>
      </w:r>
      <w:r w:rsidR="001F6734" w:rsidRPr="00207748">
        <w:rPr>
          <w:rFonts w:ascii="Cambria" w:hAnsi="Cambria" w:cs="Arial"/>
          <w:sz w:val="20"/>
          <w:szCs w:val="20"/>
        </w:rPr>
        <w:t>)</w:t>
      </w:r>
    </w:p>
    <w:p w14:paraId="0F17CE0D" w14:textId="77777777" w:rsidR="00773ECC" w:rsidRPr="00207748" w:rsidRDefault="00773ECC" w:rsidP="004454B6">
      <w:pPr>
        <w:rPr>
          <w:rFonts w:ascii="Cambria" w:hAnsi="Cambria" w:cs="Arial"/>
          <w:b/>
          <w:sz w:val="20"/>
          <w:szCs w:val="20"/>
        </w:rPr>
      </w:pPr>
    </w:p>
    <w:p w14:paraId="1F487289" w14:textId="16879970" w:rsidR="00773ECC" w:rsidRPr="00207748" w:rsidRDefault="00773ECC" w:rsidP="004454B6">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Arial"/>
          <w:color w:val="FF0000"/>
          <w:sz w:val="20"/>
          <w:szCs w:val="20"/>
          <w:bdr w:val="none" w:sz="0" w:space="0" w:color="auto"/>
          <w:lang w:val="en-US" w:eastAsia="en-US"/>
          <w14:textOutline w14:w="0" w14:cap="rnd" w14:cmpd="sng" w14:algn="ctr">
            <w14:noFill/>
            <w14:prstDash w14:val="solid"/>
            <w14:bevel/>
          </w14:textOutline>
        </w:rPr>
      </w:pPr>
      <w:r w:rsidRPr="00207748">
        <w:rPr>
          <w:rFonts w:ascii="Cambria" w:hAnsi="Cambria" w:cs="Arial"/>
          <w:b/>
          <w:color w:val="auto"/>
          <w:sz w:val="20"/>
          <w:szCs w:val="20"/>
          <w:bdr w:val="none" w:sz="0" w:space="0" w:color="auto"/>
          <w:lang w:val="en-US" w:eastAsia="en-US"/>
          <w14:textOutline w14:w="0" w14:cap="rnd" w14:cmpd="sng" w14:algn="ctr">
            <w14:noFill/>
            <w14:prstDash w14:val="solid"/>
            <w14:bevel/>
          </w14:textOutline>
        </w:rPr>
        <w:t xml:space="preserve">Tabelle 1: </w:t>
      </w:r>
      <w:r w:rsidRPr="00207748">
        <w:rPr>
          <w:rFonts w:ascii="Cambria" w:hAnsi="Cambria" w:cs="Arial"/>
          <w:color w:val="auto"/>
          <w:sz w:val="20"/>
          <w:szCs w:val="20"/>
          <w:bdr w:val="none" w:sz="0" w:space="0" w:color="auto"/>
          <w:lang w:val="en-US" w:eastAsia="en-US"/>
          <w14:textOutline w14:w="0" w14:cap="rnd" w14:cmpd="sng" w14:algn="ctr">
            <w14:noFill/>
            <w14:prstDash w14:val="solid"/>
            <w14:bevel/>
          </w14:textOutline>
        </w:rPr>
        <w:t>FiO</w:t>
      </w:r>
      <w:r w:rsidRPr="00207748">
        <w:rPr>
          <w:rFonts w:ascii="Cambria" w:hAnsi="Cambria" w:cs="Arial"/>
          <w:color w:val="auto"/>
          <w:sz w:val="20"/>
          <w:szCs w:val="20"/>
          <w:bdr w:val="none" w:sz="0" w:space="0" w:color="auto"/>
          <w:vertAlign w:val="subscript"/>
          <w:lang w:val="en-US" w:eastAsia="en-US"/>
          <w14:textOutline w14:w="0" w14:cap="rnd" w14:cmpd="sng" w14:algn="ctr">
            <w14:noFill/>
            <w14:prstDash w14:val="solid"/>
            <w14:bevel/>
          </w14:textOutline>
        </w:rPr>
        <w:t>2</w:t>
      </w:r>
      <w:r w:rsidRPr="00207748">
        <w:rPr>
          <w:rFonts w:ascii="Cambria" w:hAnsi="Cambria" w:cs="Arial"/>
          <w:color w:val="auto"/>
          <w:sz w:val="20"/>
          <w:szCs w:val="20"/>
          <w:bdr w:val="none" w:sz="0" w:space="0" w:color="auto"/>
          <w:lang w:val="en-US" w:eastAsia="en-US"/>
          <w14:textOutline w14:w="0" w14:cap="rnd" w14:cmpd="sng" w14:algn="ctr">
            <w14:noFill/>
            <w14:prstDash w14:val="solid"/>
            <w14:bevel/>
          </w14:textOutline>
        </w:rPr>
        <w:t xml:space="preserve">/PEEP-Tabellen des ARDS-Network </w:t>
      </w:r>
      <w:r w:rsidRPr="00207748">
        <w:rPr>
          <w:rFonts w:ascii="Cambria" w:hAnsi="Cambria" w:cs="Arial"/>
          <w:sz w:val="20"/>
          <w:szCs w:val="20"/>
          <w:bdr w:val="none" w:sz="0" w:space="0" w:color="auto"/>
          <w:lang w:val="en-US" w:eastAsia="en-US"/>
          <w14:textOutline w14:w="0" w14:cap="rnd" w14:cmpd="sng" w14:algn="ctr">
            <w14:noFill/>
            <w14:prstDash w14:val="solid"/>
            <w14:bevel/>
          </w14:textOutline>
        </w:rPr>
        <w:t>(</w:t>
      </w:r>
      <w:r w:rsidRPr="00207748">
        <w:rPr>
          <w:rFonts w:ascii="Cambria" w:hAnsi="Cambria" w:cs="Arial"/>
          <w:sz w:val="20"/>
          <w:szCs w:val="20"/>
          <w:bdr w:val="none" w:sz="0" w:space="0" w:color="auto"/>
          <w:lang w:val="en" w:eastAsia="en-US"/>
          <w14:textOutline w14:w="0" w14:cap="rnd" w14:cmpd="sng" w14:algn="ctr">
            <w14:noFill/>
            <w14:prstDash w14:val="solid"/>
            <w14:bevel/>
          </w14:textOutline>
        </w:rPr>
        <w:t>Mechanical ventilation protocol summary of low tidal volume used in the ALVEOLI study</w:t>
      </w:r>
      <w:r w:rsidRPr="00207748">
        <w:rPr>
          <w:rFonts w:ascii="Cambria" w:hAnsi="Cambria" w:cs="Arial"/>
          <w:sz w:val="20"/>
          <w:szCs w:val="20"/>
          <w:bdr w:val="none" w:sz="0" w:space="0" w:color="auto"/>
          <w:lang w:val="en-US" w:eastAsia="en-US"/>
          <w14:textOutline w14:w="0" w14:cap="rnd" w14:cmpd="sng" w14:algn="ctr">
            <w14:noFill/>
            <w14:prstDash w14:val="solid"/>
            <w14:bevel/>
          </w14:textOutline>
        </w:rPr>
        <w:t>), PEEP in cm H</w:t>
      </w:r>
      <w:r w:rsidRPr="00207748">
        <w:rPr>
          <w:rFonts w:ascii="Cambria" w:hAnsi="Cambria" w:cs="Arial"/>
          <w:sz w:val="20"/>
          <w:szCs w:val="20"/>
          <w:bdr w:val="none" w:sz="0" w:space="0" w:color="auto"/>
          <w:vertAlign w:val="subscript"/>
          <w:lang w:val="en-US" w:eastAsia="en-US"/>
          <w14:textOutline w14:w="0" w14:cap="rnd" w14:cmpd="sng" w14:algn="ctr">
            <w14:noFill/>
            <w14:prstDash w14:val="solid"/>
            <w14:bevel/>
          </w14:textOutline>
        </w:rPr>
        <w:t>2</w:t>
      </w:r>
      <w:r w:rsidRPr="00207748">
        <w:rPr>
          <w:rFonts w:ascii="Cambria" w:hAnsi="Cambria" w:cs="Arial"/>
          <w:sz w:val="20"/>
          <w:szCs w:val="20"/>
          <w:bdr w:val="none" w:sz="0" w:space="0" w:color="auto"/>
          <w:lang w:val="en-US" w:eastAsia="en-US"/>
          <w14:textOutline w14:w="0" w14:cap="rnd" w14:cmpd="sng" w14:algn="ctr">
            <w14:noFill/>
            <w14:prstDash w14:val="solid"/>
            <w14:bevel/>
          </w14:textOutline>
        </w:rPr>
        <w:t>O</w:t>
      </w:r>
      <w:r w:rsidR="00EF1A9E">
        <w:rPr>
          <w:rFonts w:ascii="Cambria" w:hAnsi="Cambria" w:cs="Arial"/>
          <w:sz w:val="20"/>
          <w:szCs w:val="20"/>
          <w:bdr w:val="none" w:sz="0" w:space="0" w:color="auto"/>
          <w:lang w:val="en-US" w:eastAsia="en-US"/>
          <w14:textOutline w14:w="0" w14:cap="rnd" w14:cmpd="sng" w14:algn="ctr">
            <w14:noFill/>
            <w14:prstDash w14:val="solid"/>
            <w14:bevel/>
          </w14:textOutline>
        </w:rPr>
        <w:t xml:space="preserve"> </w:t>
      </w:r>
      <w:r w:rsidR="00EF1A9E" w:rsidRPr="00EF1A9E">
        <w:rPr>
          <w:rStyle w:val="EndnoteRealZchn"/>
        </w:rPr>
        <w:fldChar w:fldCharType="begin"/>
      </w:r>
      <w:r w:rsidR="00EF1A9E" w:rsidRPr="00EF1A9E">
        <w:rPr>
          <w:rStyle w:val="EndnoteRealZchn"/>
        </w:rPr>
        <w:instrText xml:space="preserve"> NOTEREF _Ref31187952 \h </w:instrText>
      </w:r>
      <w:r w:rsidR="00EF1A9E">
        <w:rPr>
          <w:rStyle w:val="EndnoteRealZchn"/>
        </w:rPr>
        <w:instrText xml:space="preserve"> \* MERGEFORMAT </w:instrText>
      </w:r>
      <w:r w:rsidR="00EF1A9E" w:rsidRPr="00EF1A9E">
        <w:rPr>
          <w:rStyle w:val="EndnoteRealZchn"/>
        </w:rPr>
      </w:r>
      <w:r w:rsidR="00EF1A9E" w:rsidRPr="00EF1A9E">
        <w:rPr>
          <w:rStyle w:val="EndnoteRealZchn"/>
        </w:rPr>
        <w:fldChar w:fldCharType="separate"/>
      </w:r>
      <w:r w:rsidR="00EF1A9E" w:rsidRPr="00EF1A9E">
        <w:rPr>
          <w:rStyle w:val="EndnoteRealZchn"/>
        </w:rPr>
        <w:t>396</w:t>
      </w:r>
      <w:r w:rsidR="00EF1A9E" w:rsidRPr="00EF1A9E">
        <w:rPr>
          <w:rStyle w:val="EndnoteRealZchn"/>
        </w:rPr>
        <w:fldChar w:fldCharType="end"/>
      </w:r>
    </w:p>
    <w:tbl>
      <w:tblPr>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419"/>
        <w:gridCol w:w="419"/>
        <w:gridCol w:w="419"/>
        <w:gridCol w:w="419"/>
        <w:gridCol w:w="419"/>
        <w:gridCol w:w="419"/>
        <w:gridCol w:w="419"/>
        <w:gridCol w:w="419"/>
        <w:gridCol w:w="419"/>
        <w:gridCol w:w="419"/>
        <w:gridCol w:w="419"/>
        <w:gridCol w:w="419"/>
        <w:gridCol w:w="419"/>
        <w:gridCol w:w="419"/>
        <w:gridCol w:w="789"/>
      </w:tblGrid>
      <w:tr w:rsidR="002B1061" w:rsidRPr="00207748" w14:paraId="4B97D7F2" w14:textId="77777777" w:rsidTr="002B1061">
        <w:trPr>
          <w:trHeight w:val="300"/>
          <w:jc w:val="center"/>
        </w:trPr>
        <w:tc>
          <w:tcPr>
            <w:tcW w:w="720" w:type="dxa"/>
            <w:shd w:val="clear" w:color="auto" w:fill="auto"/>
            <w:noWrap/>
            <w:vAlign w:val="bottom"/>
            <w:hideMark/>
          </w:tcPr>
          <w:p w14:paraId="395EB2E2" w14:textId="77777777" w:rsidR="002B1061" w:rsidRPr="00207748" w:rsidRDefault="002B1061"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Arial"/>
                <w:b/>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b/>
                <w:sz w:val="20"/>
                <w:szCs w:val="20"/>
                <w:bdr w:val="none" w:sz="0" w:space="0" w:color="auto"/>
                <w14:textOutline w14:w="0" w14:cap="rnd" w14:cmpd="sng" w14:algn="ctr">
                  <w14:noFill/>
                  <w14:prstDash w14:val="solid"/>
                  <w14:bevel/>
                </w14:textOutline>
              </w:rPr>
              <w:t>FiO</w:t>
            </w:r>
            <w:r w:rsidRPr="00207748">
              <w:rPr>
                <w:rFonts w:ascii="Cambria" w:eastAsia="Times New Roman" w:hAnsi="Cambria" w:cs="Arial"/>
                <w:b/>
                <w:sz w:val="20"/>
                <w:szCs w:val="20"/>
                <w:bdr w:val="none" w:sz="0" w:space="0" w:color="auto"/>
                <w:vertAlign w:val="subscript"/>
                <w14:textOutline w14:w="0" w14:cap="rnd" w14:cmpd="sng" w14:algn="ctr">
                  <w14:noFill/>
                  <w14:prstDash w14:val="solid"/>
                  <w14:bevel/>
                </w14:textOutline>
              </w:rPr>
              <w:t>2</w:t>
            </w:r>
          </w:p>
        </w:tc>
        <w:tc>
          <w:tcPr>
            <w:tcW w:w="419" w:type="dxa"/>
            <w:shd w:val="clear" w:color="auto" w:fill="auto"/>
            <w:noWrap/>
            <w:vAlign w:val="bottom"/>
            <w:hideMark/>
          </w:tcPr>
          <w:p w14:paraId="01015C07" w14:textId="77777777" w:rsidR="002B1061" w:rsidRPr="00207748" w:rsidRDefault="002B1061"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0.3</w:t>
            </w:r>
          </w:p>
        </w:tc>
        <w:tc>
          <w:tcPr>
            <w:tcW w:w="419" w:type="dxa"/>
            <w:shd w:val="clear" w:color="auto" w:fill="auto"/>
            <w:noWrap/>
            <w:vAlign w:val="bottom"/>
            <w:hideMark/>
          </w:tcPr>
          <w:p w14:paraId="2C341671" w14:textId="77777777" w:rsidR="002B1061" w:rsidRPr="00207748" w:rsidRDefault="002B1061"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0.4</w:t>
            </w:r>
          </w:p>
        </w:tc>
        <w:tc>
          <w:tcPr>
            <w:tcW w:w="419" w:type="dxa"/>
            <w:shd w:val="clear" w:color="auto" w:fill="auto"/>
            <w:noWrap/>
            <w:vAlign w:val="bottom"/>
            <w:hideMark/>
          </w:tcPr>
          <w:p w14:paraId="654DB2BC" w14:textId="77777777" w:rsidR="002B1061" w:rsidRPr="00207748" w:rsidRDefault="002B1061"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0.4</w:t>
            </w:r>
          </w:p>
        </w:tc>
        <w:tc>
          <w:tcPr>
            <w:tcW w:w="419" w:type="dxa"/>
            <w:shd w:val="clear" w:color="auto" w:fill="auto"/>
            <w:noWrap/>
            <w:vAlign w:val="bottom"/>
            <w:hideMark/>
          </w:tcPr>
          <w:p w14:paraId="70CEB8CA" w14:textId="77777777" w:rsidR="002B1061" w:rsidRPr="00207748" w:rsidRDefault="002B1061"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0.5</w:t>
            </w:r>
          </w:p>
        </w:tc>
        <w:tc>
          <w:tcPr>
            <w:tcW w:w="419" w:type="dxa"/>
            <w:shd w:val="clear" w:color="auto" w:fill="auto"/>
            <w:noWrap/>
            <w:vAlign w:val="bottom"/>
            <w:hideMark/>
          </w:tcPr>
          <w:p w14:paraId="4594017D" w14:textId="77777777" w:rsidR="002B1061" w:rsidRPr="00207748" w:rsidRDefault="002B1061"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0.5</w:t>
            </w:r>
          </w:p>
        </w:tc>
        <w:tc>
          <w:tcPr>
            <w:tcW w:w="419" w:type="dxa"/>
            <w:shd w:val="clear" w:color="auto" w:fill="auto"/>
            <w:noWrap/>
            <w:vAlign w:val="bottom"/>
            <w:hideMark/>
          </w:tcPr>
          <w:p w14:paraId="5A09E5A9" w14:textId="77777777" w:rsidR="002B1061" w:rsidRPr="00207748" w:rsidRDefault="002B1061"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0.6</w:t>
            </w:r>
          </w:p>
        </w:tc>
        <w:tc>
          <w:tcPr>
            <w:tcW w:w="419" w:type="dxa"/>
            <w:shd w:val="clear" w:color="auto" w:fill="auto"/>
            <w:noWrap/>
            <w:vAlign w:val="bottom"/>
            <w:hideMark/>
          </w:tcPr>
          <w:p w14:paraId="48BC68A6" w14:textId="77777777" w:rsidR="002B1061" w:rsidRPr="00207748" w:rsidRDefault="002B1061"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0.7</w:t>
            </w:r>
          </w:p>
        </w:tc>
        <w:tc>
          <w:tcPr>
            <w:tcW w:w="419" w:type="dxa"/>
            <w:shd w:val="clear" w:color="auto" w:fill="auto"/>
            <w:noWrap/>
            <w:vAlign w:val="bottom"/>
            <w:hideMark/>
          </w:tcPr>
          <w:p w14:paraId="7F07837D" w14:textId="77777777" w:rsidR="002B1061" w:rsidRPr="00207748" w:rsidRDefault="002B1061"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0.7</w:t>
            </w:r>
          </w:p>
        </w:tc>
        <w:tc>
          <w:tcPr>
            <w:tcW w:w="419" w:type="dxa"/>
            <w:shd w:val="clear" w:color="auto" w:fill="auto"/>
            <w:noWrap/>
            <w:vAlign w:val="bottom"/>
            <w:hideMark/>
          </w:tcPr>
          <w:p w14:paraId="5E4C54C9" w14:textId="77777777" w:rsidR="002B1061" w:rsidRPr="00207748" w:rsidRDefault="002B1061"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0.7</w:t>
            </w:r>
          </w:p>
        </w:tc>
        <w:tc>
          <w:tcPr>
            <w:tcW w:w="419" w:type="dxa"/>
          </w:tcPr>
          <w:p w14:paraId="51501CF9" w14:textId="77777777" w:rsidR="002B1061" w:rsidRPr="00207748" w:rsidRDefault="002B1061"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Arial"/>
                <w:sz w:val="20"/>
                <w:szCs w:val="20"/>
                <w:bdr w:val="none" w:sz="0" w:space="0" w:color="auto"/>
                <w14:textOutline w14:w="0" w14:cap="rnd" w14:cmpd="sng" w14:algn="ctr">
                  <w14:noFill/>
                  <w14:prstDash w14:val="solid"/>
                  <w14:bevel/>
                </w14:textOutline>
              </w:rPr>
            </w:pPr>
          </w:p>
        </w:tc>
        <w:tc>
          <w:tcPr>
            <w:tcW w:w="419" w:type="dxa"/>
            <w:shd w:val="clear" w:color="auto" w:fill="auto"/>
            <w:noWrap/>
            <w:vAlign w:val="bottom"/>
            <w:hideMark/>
          </w:tcPr>
          <w:p w14:paraId="315D7EF5" w14:textId="181AA59C" w:rsidR="002B1061" w:rsidRPr="00207748" w:rsidRDefault="002B1061"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0.8</w:t>
            </w:r>
          </w:p>
        </w:tc>
        <w:tc>
          <w:tcPr>
            <w:tcW w:w="419" w:type="dxa"/>
            <w:shd w:val="clear" w:color="auto" w:fill="auto"/>
            <w:noWrap/>
            <w:vAlign w:val="bottom"/>
            <w:hideMark/>
          </w:tcPr>
          <w:p w14:paraId="6ADC51F8" w14:textId="77777777" w:rsidR="002B1061" w:rsidRPr="00207748" w:rsidRDefault="002B1061"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0.9</w:t>
            </w:r>
          </w:p>
        </w:tc>
        <w:tc>
          <w:tcPr>
            <w:tcW w:w="419" w:type="dxa"/>
            <w:shd w:val="clear" w:color="auto" w:fill="auto"/>
            <w:noWrap/>
            <w:vAlign w:val="bottom"/>
            <w:hideMark/>
          </w:tcPr>
          <w:p w14:paraId="2141968D" w14:textId="77777777" w:rsidR="002B1061" w:rsidRPr="00207748" w:rsidRDefault="002B1061"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0.9</w:t>
            </w:r>
          </w:p>
        </w:tc>
        <w:tc>
          <w:tcPr>
            <w:tcW w:w="419" w:type="dxa"/>
            <w:shd w:val="clear" w:color="auto" w:fill="auto"/>
            <w:noWrap/>
            <w:vAlign w:val="bottom"/>
            <w:hideMark/>
          </w:tcPr>
          <w:p w14:paraId="6C3951A6" w14:textId="77777777" w:rsidR="002B1061" w:rsidRPr="00207748" w:rsidRDefault="002B1061"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0.9</w:t>
            </w:r>
          </w:p>
        </w:tc>
        <w:tc>
          <w:tcPr>
            <w:tcW w:w="789" w:type="dxa"/>
            <w:shd w:val="clear" w:color="auto" w:fill="auto"/>
            <w:noWrap/>
            <w:vAlign w:val="bottom"/>
            <w:hideMark/>
          </w:tcPr>
          <w:p w14:paraId="6DFE3082" w14:textId="77777777" w:rsidR="002B1061" w:rsidRPr="00207748" w:rsidRDefault="002B1061"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1.0</w:t>
            </w:r>
          </w:p>
        </w:tc>
      </w:tr>
      <w:tr w:rsidR="002B1061" w:rsidRPr="00207748" w14:paraId="0834AF17" w14:textId="77777777" w:rsidTr="002B1061">
        <w:trPr>
          <w:trHeight w:val="300"/>
          <w:jc w:val="center"/>
        </w:trPr>
        <w:tc>
          <w:tcPr>
            <w:tcW w:w="720" w:type="dxa"/>
            <w:shd w:val="clear" w:color="auto" w:fill="auto"/>
            <w:noWrap/>
            <w:vAlign w:val="bottom"/>
            <w:hideMark/>
          </w:tcPr>
          <w:p w14:paraId="1B444E56" w14:textId="77777777" w:rsidR="002B1061" w:rsidRPr="00207748" w:rsidRDefault="002B1061"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Arial"/>
                <w:b/>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b/>
                <w:sz w:val="20"/>
                <w:szCs w:val="20"/>
                <w:bdr w:val="none" w:sz="0" w:space="0" w:color="auto"/>
                <w14:textOutline w14:w="0" w14:cap="rnd" w14:cmpd="sng" w14:algn="ctr">
                  <w14:noFill/>
                  <w14:prstDash w14:val="solid"/>
                  <w14:bevel/>
                </w14:textOutline>
              </w:rPr>
              <w:t>PEEP</w:t>
            </w:r>
          </w:p>
        </w:tc>
        <w:tc>
          <w:tcPr>
            <w:tcW w:w="419" w:type="dxa"/>
            <w:shd w:val="clear" w:color="auto" w:fill="auto"/>
            <w:noWrap/>
            <w:vAlign w:val="bottom"/>
            <w:hideMark/>
          </w:tcPr>
          <w:p w14:paraId="267DF08B" w14:textId="77777777" w:rsidR="002B1061" w:rsidRPr="00207748" w:rsidRDefault="002B1061"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right"/>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5</w:t>
            </w:r>
          </w:p>
        </w:tc>
        <w:tc>
          <w:tcPr>
            <w:tcW w:w="419" w:type="dxa"/>
            <w:shd w:val="clear" w:color="auto" w:fill="auto"/>
            <w:noWrap/>
            <w:vAlign w:val="bottom"/>
            <w:hideMark/>
          </w:tcPr>
          <w:p w14:paraId="4881B9EB" w14:textId="77777777" w:rsidR="002B1061" w:rsidRPr="00207748" w:rsidRDefault="002B1061"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right"/>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5</w:t>
            </w:r>
          </w:p>
        </w:tc>
        <w:tc>
          <w:tcPr>
            <w:tcW w:w="419" w:type="dxa"/>
            <w:shd w:val="clear" w:color="auto" w:fill="auto"/>
            <w:noWrap/>
            <w:vAlign w:val="bottom"/>
            <w:hideMark/>
          </w:tcPr>
          <w:p w14:paraId="33C659C4" w14:textId="77777777" w:rsidR="002B1061" w:rsidRPr="00207748" w:rsidRDefault="002B1061"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right"/>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8</w:t>
            </w:r>
          </w:p>
        </w:tc>
        <w:tc>
          <w:tcPr>
            <w:tcW w:w="419" w:type="dxa"/>
            <w:shd w:val="clear" w:color="auto" w:fill="auto"/>
            <w:noWrap/>
            <w:vAlign w:val="bottom"/>
            <w:hideMark/>
          </w:tcPr>
          <w:p w14:paraId="5B6E9589" w14:textId="77777777" w:rsidR="002B1061" w:rsidRPr="00207748" w:rsidRDefault="002B1061"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right"/>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8</w:t>
            </w:r>
          </w:p>
        </w:tc>
        <w:tc>
          <w:tcPr>
            <w:tcW w:w="419" w:type="dxa"/>
            <w:shd w:val="clear" w:color="auto" w:fill="auto"/>
            <w:noWrap/>
            <w:vAlign w:val="bottom"/>
            <w:hideMark/>
          </w:tcPr>
          <w:p w14:paraId="3C6B80BC" w14:textId="77777777" w:rsidR="002B1061" w:rsidRPr="00207748" w:rsidRDefault="002B1061"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right"/>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10</w:t>
            </w:r>
          </w:p>
        </w:tc>
        <w:tc>
          <w:tcPr>
            <w:tcW w:w="419" w:type="dxa"/>
            <w:shd w:val="clear" w:color="auto" w:fill="auto"/>
            <w:noWrap/>
            <w:vAlign w:val="bottom"/>
            <w:hideMark/>
          </w:tcPr>
          <w:p w14:paraId="03368F95" w14:textId="77777777" w:rsidR="002B1061" w:rsidRPr="00207748" w:rsidRDefault="002B1061"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right"/>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10</w:t>
            </w:r>
          </w:p>
        </w:tc>
        <w:tc>
          <w:tcPr>
            <w:tcW w:w="419" w:type="dxa"/>
            <w:shd w:val="clear" w:color="auto" w:fill="auto"/>
            <w:noWrap/>
            <w:vAlign w:val="bottom"/>
            <w:hideMark/>
          </w:tcPr>
          <w:p w14:paraId="5F2EEE17" w14:textId="77777777" w:rsidR="002B1061" w:rsidRPr="00207748" w:rsidRDefault="002B1061"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right"/>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10</w:t>
            </w:r>
          </w:p>
        </w:tc>
        <w:tc>
          <w:tcPr>
            <w:tcW w:w="419" w:type="dxa"/>
            <w:shd w:val="clear" w:color="auto" w:fill="auto"/>
            <w:noWrap/>
            <w:vAlign w:val="bottom"/>
            <w:hideMark/>
          </w:tcPr>
          <w:p w14:paraId="2670D395" w14:textId="77777777" w:rsidR="002B1061" w:rsidRPr="00207748" w:rsidRDefault="002B1061"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right"/>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12</w:t>
            </w:r>
          </w:p>
        </w:tc>
        <w:tc>
          <w:tcPr>
            <w:tcW w:w="419" w:type="dxa"/>
            <w:shd w:val="clear" w:color="auto" w:fill="auto"/>
            <w:noWrap/>
            <w:vAlign w:val="bottom"/>
            <w:hideMark/>
          </w:tcPr>
          <w:p w14:paraId="5171C2D6" w14:textId="77777777" w:rsidR="002B1061" w:rsidRPr="00207748" w:rsidRDefault="002B1061"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14</w:t>
            </w:r>
          </w:p>
        </w:tc>
        <w:tc>
          <w:tcPr>
            <w:tcW w:w="419" w:type="dxa"/>
          </w:tcPr>
          <w:p w14:paraId="52472EF1" w14:textId="77777777" w:rsidR="002B1061" w:rsidRPr="00207748" w:rsidRDefault="002B1061"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Arial"/>
                <w:sz w:val="20"/>
                <w:szCs w:val="20"/>
                <w:bdr w:val="none" w:sz="0" w:space="0" w:color="auto"/>
                <w14:textOutline w14:w="0" w14:cap="rnd" w14:cmpd="sng" w14:algn="ctr">
                  <w14:noFill/>
                  <w14:prstDash w14:val="solid"/>
                  <w14:bevel/>
                </w14:textOutline>
              </w:rPr>
            </w:pPr>
          </w:p>
        </w:tc>
        <w:tc>
          <w:tcPr>
            <w:tcW w:w="419" w:type="dxa"/>
            <w:shd w:val="clear" w:color="auto" w:fill="auto"/>
            <w:noWrap/>
            <w:vAlign w:val="bottom"/>
            <w:hideMark/>
          </w:tcPr>
          <w:p w14:paraId="144C5F11" w14:textId="09746B5B" w:rsidR="002B1061" w:rsidRPr="00207748" w:rsidRDefault="002B1061"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14</w:t>
            </w:r>
          </w:p>
        </w:tc>
        <w:tc>
          <w:tcPr>
            <w:tcW w:w="419" w:type="dxa"/>
            <w:shd w:val="clear" w:color="auto" w:fill="auto"/>
            <w:noWrap/>
            <w:vAlign w:val="bottom"/>
            <w:hideMark/>
          </w:tcPr>
          <w:p w14:paraId="50E7C20D" w14:textId="77777777" w:rsidR="002B1061" w:rsidRPr="00207748" w:rsidRDefault="002B1061"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14</w:t>
            </w:r>
          </w:p>
        </w:tc>
        <w:tc>
          <w:tcPr>
            <w:tcW w:w="419" w:type="dxa"/>
            <w:shd w:val="clear" w:color="auto" w:fill="auto"/>
            <w:noWrap/>
            <w:vAlign w:val="bottom"/>
            <w:hideMark/>
          </w:tcPr>
          <w:p w14:paraId="660C535F" w14:textId="77777777" w:rsidR="002B1061" w:rsidRPr="00207748" w:rsidRDefault="002B1061"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16</w:t>
            </w:r>
          </w:p>
        </w:tc>
        <w:tc>
          <w:tcPr>
            <w:tcW w:w="419" w:type="dxa"/>
            <w:shd w:val="clear" w:color="auto" w:fill="auto"/>
            <w:noWrap/>
            <w:vAlign w:val="bottom"/>
            <w:hideMark/>
          </w:tcPr>
          <w:p w14:paraId="01E75DE0" w14:textId="77777777" w:rsidR="002B1061" w:rsidRPr="00207748" w:rsidRDefault="002B1061"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18</w:t>
            </w:r>
          </w:p>
        </w:tc>
        <w:tc>
          <w:tcPr>
            <w:tcW w:w="789" w:type="dxa"/>
            <w:shd w:val="clear" w:color="auto" w:fill="auto"/>
            <w:noWrap/>
            <w:vAlign w:val="bottom"/>
            <w:hideMark/>
          </w:tcPr>
          <w:p w14:paraId="2408FF3E" w14:textId="77777777" w:rsidR="002B1061" w:rsidRPr="00207748" w:rsidRDefault="002B1061"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18-24</w:t>
            </w:r>
          </w:p>
        </w:tc>
      </w:tr>
    </w:tbl>
    <w:p w14:paraId="682DCD5C" w14:textId="77777777" w:rsidR="00773ECC" w:rsidRPr="00207748" w:rsidRDefault="00773ECC" w:rsidP="004454B6">
      <w:pPr>
        <w:pBdr>
          <w:top w:val="none" w:sz="0" w:space="0" w:color="auto"/>
          <w:left w:val="none" w:sz="0" w:space="0" w:color="auto"/>
          <w:bottom w:val="none" w:sz="0" w:space="0" w:color="auto"/>
          <w:right w:val="none" w:sz="0" w:space="0" w:color="auto"/>
          <w:between w:val="none" w:sz="0" w:space="0" w:color="auto"/>
          <w:bar w:val="none" w:sz="0" w:color="auto"/>
        </w:pBdr>
        <w:tabs>
          <w:tab w:val="left" w:pos="6400"/>
        </w:tabs>
        <w:spacing w:after="0"/>
        <w:rPr>
          <w:rFonts w:ascii="Cambria" w:hAnsi="Cambria" w:cs="Arial"/>
          <w:sz w:val="20"/>
          <w:szCs w:val="20"/>
          <w:bdr w:val="none" w:sz="0" w:space="0" w:color="auto"/>
          <w:lang w:eastAsia="en-US"/>
          <w14:textOutline w14:w="0" w14:cap="rnd" w14:cmpd="sng" w14:algn="ctr">
            <w14:noFill/>
            <w14:prstDash w14:val="solid"/>
            <w14:bevel/>
          </w14:textOutline>
        </w:rPr>
      </w:pPr>
    </w:p>
    <w:tbl>
      <w:tblPr>
        <w:tblW w:w="6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7"/>
        <w:gridCol w:w="419"/>
        <w:gridCol w:w="419"/>
        <w:gridCol w:w="419"/>
        <w:gridCol w:w="419"/>
        <w:gridCol w:w="419"/>
        <w:gridCol w:w="419"/>
        <w:gridCol w:w="419"/>
        <w:gridCol w:w="419"/>
        <w:gridCol w:w="419"/>
        <w:gridCol w:w="900"/>
        <w:gridCol w:w="419"/>
        <w:gridCol w:w="419"/>
        <w:gridCol w:w="419"/>
        <w:gridCol w:w="403"/>
      </w:tblGrid>
      <w:tr w:rsidR="00773ECC" w:rsidRPr="00207748" w14:paraId="1291DDD3" w14:textId="77777777" w:rsidTr="008C2262">
        <w:trPr>
          <w:trHeight w:val="300"/>
          <w:jc w:val="center"/>
        </w:trPr>
        <w:tc>
          <w:tcPr>
            <w:tcW w:w="589" w:type="dxa"/>
            <w:shd w:val="clear" w:color="auto" w:fill="auto"/>
            <w:noWrap/>
            <w:vAlign w:val="bottom"/>
            <w:hideMark/>
          </w:tcPr>
          <w:p w14:paraId="402C319E" w14:textId="77777777" w:rsidR="00773ECC" w:rsidRPr="00207748" w:rsidRDefault="00773ECC"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Arial"/>
                <w:b/>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b/>
                <w:sz w:val="20"/>
                <w:szCs w:val="20"/>
                <w:bdr w:val="none" w:sz="0" w:space="0" w:color="auto"/>
                <w14:textOutline w14:w="0" w14:cap="rnd" w14:cmpd="sng" w14:algn="ctr">
                  <w14:noFill/>
                  <w14:prstDash w14:val="solid"/>
                  <w14:bevel/>
                </w14:textOutline>
              </w:rPr>
              <w:t>FiO</w:t>
            </w:r>
            <w:r w:rsidRPr="00207748">
              <w:rPr>
                <w:rFonts w:ascii="Cambria" w:eastAsia="Times New Roman" w:hAnsi="Cambria" w:cs="Arial"/>
                <w:b/>
                <w:sz w:val="20"/>
                <w:szCs w:val="20"/>
                <w:bdr w:val="none" w:sz="0" w:space="0" w:color="auto"/>
                <w:vertAlign w:val="subscript"/>
                <w14:textOutline w14:w="0" w14:cap="rnd" w14:cmpd="sng" w14:algn="ctr">
                  <w14:noFill/>
                  <w14:prstDash w14:val="solid"/>
                  <w14:bevel/>
                </w14:textOutline>
              </w:rPr>
              <w:t>2</w:t>
            </w:r>
          </w:p>
        </w:tc>
        <w:tc>
          <w:tcPr>
            <w:tcW w:w="419" w:type="dxa"/>
            <w:shd w:val="clear" w:color="auto" w:fill="auto"/>
            <w:noWrap/>
            <w:vAlign w:val="bottom"/>
            <w:hideMark/>
          </w:tcPr>
          <w:p w14:paraId="7A784327" w14:textId="77777777" w:rsidR="00773ECC" w:rsidRPr="00207748" w:rsidRDefault="00773ECC"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0.3</w:t>
            </w:r>
          </w:p>
        </w:tc>
        <w:tc>
          <w:tcPr>
            <w:tcW w:w="419" w:type="dxa"/>
            <w:shd w:val="clear" w:color="auto" w:fill="auto"/>
            <w:noWrap/>
            <w:vAlign w:val="bottom"/>
            <w:hideMark/>
          </w:tcPr>
          <w:p w14:paraId="72B51751" w14:textId="77777777" w:rsidR="00773ECC" w:rsidRPr="00207748" w:rsidRDefault="00773ECC"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0.3</w:t>
            </w:r>
          </w:p>
        </w:tc>
        <w:tc>
          <w:tcPr>
            <w:tcW w:w="419" w:type="dxa"/>
            <w:shd w:val="clear" w:color="auto" w:fill="auto"/>
            <w:noWrap/>
            <w:vAlign w:val="bottom"/>
            <w:hideMark/>
          </w:tcPr>
          <w:p w14:paraId="284C6AD9" w14:textId="77777777" w:rsidR="00773ECC" w:rsidRPr="00207748" w:rsidRDefault="00773ECC"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0.3</w:t>
            </w:r>
          </w:p>
        </w:tc>
        <w:tc>
          <w:tcPr>
            <w:tcW w:w="419" w:type="dxa"/>
            <w:shd w:val="clear" w:color="auto" w:fill="auto"/>
            <w:noWrap/>
            <w:vAlign w:val="bottom"/>
            <w:hideMark/>
          </w:tcPr>
          <w:p w14:paraId="16ABDA61" w14:textId="77777777" w:rsidR="00773ECC" w:rsidRPr="00207748" w:rsidRDefault="00773ECC"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0.3</w:t>
            </w:r>
          </w:p>
        </w:tc>
        <w:tc>
          <w:tcPr>
            <w:tcW w:w="419" w:type="dxa"/>
            <w:shd w:val="clear" w:color="auto" w:fill="auto"/>
            <w:noWrap/>
            <w:vAlign w:val="bottom"/>
            <w:hideMark/>
          </w:tcPr>
          <w:p w14:paraId="59E58305" w14:textId="77777777" w:rsidR="00773ECC" w:rsidRPr="00207748" w:rsidRDefault="00773ECC"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0.3</w:t>
            </w:r>
          </w:p>
        </w:tc>
        <w:tc>
          <w:tcPr>
            <w:tcW w:w="419" w:type="dxa"/>
            <w:shd w:val="clear" w:color="auto" w:fill="auto"/>
            <w:noWrap/>
            <w:vAlign w:val="bottom"/>
            <w:hideMark/>
          </w:tcPr>
          <w:p w14:paraId="54E0311B" w14:textId="77777777" w:rsidR="00773ECC" w:rsidRPr="00207748" w:rsidRDefault="00773ECC"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0.4</w:t>
            </w:r>
          </w:p>
        </w:tc>
        <w:tc>
          <w:tcPr>
            <w:tcW w:w="419" w:type="dxa"/>
            <w:shd w:val="clear" w:color="auto" w:fill="auto"/>
            <w:noWrap/>
            <w:vAlign w:val="bottom"/>
            <w:hideMark/>
          </w:tcPr>
          <w:p w14:paraId="37C8ADEE" w14:textId="77777777" w:rsidR="00773ECC" w:rsidRPr="00207748" w:rsidRDefault="00773ECC"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0.4</w:t>
            </w:r>
          </w:p>
        </w:tc>
        <w:tc>
          <w:tcPr>
            <w:tcW w:w="419" w:type="dxa"/>
            <w:shd w:val="clear" w:color="auto" w:fill="auto"/>
            <w:noWrap/>
            <w:vAlign w:val="bottom"/>
            <w:hideMark/>
          </w:tcPr>
          <w:p w14:paraId="28C54420" w14:textId="77777777" w:rsidR="00773ECC" w:rsidRPr="00207748" w:rsidRDefault="00773ECC"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0.5</w:t>
            </w:r>
          </w:p>
        </w:tc>
        <w:tc>
          <w:tcPr>
            <w:tcW w:w="419" w:type="dxa"/>
            <w:shd w:val="clear" w:color="auto" w:fill="auto"/>
            <w:noWrap/>
            <w:vAlign w:val="bottom"/>
            <w:hideMark/>
          </w:tcPr>
          <w:p w14:paraId="32D35019" w14:textId="77777777" w:rsidR="00773ECC" w:rsidRPr="00207748" w:rsidRDefault="00773ECC"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0.5</w:t>
            </w:r>
          </w:p>
        </w:tc>
        <w:tc>
          <w:tcPr>
            <w:tcW w:w="900" w:type="dxa"/>
            <w:shd w:val="clear" w:color="auto" w:fill="auto"/>
            <w:noWrap/>
            <w:vAlign w:val="bottom"/>
            <w:hideMark/>
          </w:tcPr>
          <w:p w14:paraId="6FB4AC11" w14:textId="77777777" w:rsidR="00773ECC" w:rsidRPr="00207748" w:rsidRDefault="00773ECC"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0.5-0.8</w:t>
            </w:r>
          </w:p>
        </w:tc>
        <w:tc>
          <w:tcPr>
            <w:tcW w:w="419" w:type="dxa"/>
            <w:shd w:val="clear" w:color="auto" w:fill="auto"/>
            <w:noWrap/>
            <w:vAlign w:val="bottom"/>
            <w:hideMark/>
          </w:tcPr>
          <w:p w14:paraId="0139F1FB" w14:textId="77777777" w:rsidR="00773ECC" w:rsidRPr="00207748" w:rsidRDefault="00773ECC"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0.8</w:t>
            </w:r>
          </w:p>
        </w:tc>
        <w:tc>
          <w:tcPr>
            <w:tcW w:w="419" w:type="dxa"/>
            <w:shd w:val="clear" w:color="auto" w:fill="auto"/>
            <w:noWrap/>
            <w:vAlign w:val="bottom"/>
            <w:hideMark/>
          </w:tcPr>
          <w:p w14:paraId="2704C995" w14:textId="77777777" w:rsidR="00773ECC" w:rsidRPr="00207748" w:rsidRDefault="00773ECC"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0.9</w:t>
            </w:r>
          </w:p>
        </w:tc>
        <w:tc>
          <w:tcPr>
            <w:tcW w:w="419" w:type="dxa"/>
            <w:shd w:val="clear" w:color="auto" w:fill="auto"/>
            <w:noWrap/>
            <w:vAlign w:val="bottom"/>
            <w:hideMark/>
          </w:tcPr>
          <w:p w14:paraId="7DB610B9" w14:textId="77777777" w:rsidR="00773ECC" w:rsidRPr="00207748" w:rsidRDefault="00773ECC"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1.0</w:t>
            </w:r>
          </w:p>
        </w:tc>
        <w:tc>
          <w:tcPr>
            <w:tcW w:w="366" w:type="dxa"/>
            <w:shd w:val="clear" w:color="auto" w:fill="auto"/>
            <w:noWrap/>
            <w:vAlign w:val="bottom"/>
            <w:hideMark/>
          </w:tcPr>
          <w:p w14:paraId="4CAC8C5E" w14:textId="77777777" w:rsidR="00773ECC" w:rsidRPr="00207748" w:rsidRDefault="00773ECC"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1.0</w:t>
            </w:r>
          </w:p>
        </w:tc>
      </w:tr>
      <w:tr w:rsidR="00773ECC" w:rsidRPr="00207748" w14:paraId="196E81F9" w14:textId="77777777" w:rsidTr="008C2262">
        <w:trPr>
          <w:trHeight w:val="300"/>
          <w:jc w:val="center"/>
        </w:trPr>
        <w:tc>
          <w:tcPr>
            <w:tcW w:w="589" w:type="dxa"/>
            <w:shd w:val="clear" w:color="auto" w:fill="auto"/>
            <w:noWrap/>
            <w:vAlign w:val="bottom"/>
            <w:hideMark/>
          </w:tcPr>
          <w:p w14:paraId="00F79BCE" w14:textId="77777777" w:rsidR="00773ECC" w:rsidRPr="00207748" w:rsidRDefault="00773ECC"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Arial"/>
                <w:b/>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b/>
                <w:sz w:val="20"/>
                <w:szCs w:val="20"/>
                <w:bdr w:val="none" w:sz="0" w:space="0" w:color="auto"/>
                <w14:textOutline w14:w="0" w14:cap="rnd" w14:cmpd="sng" w14:algn="ctr">
                  <w14:noFill/>
                  <w14:prstDash w14:val="solid"/>
                  <w14:bevel/>
                </w14:textOutline>
              </w:rPr>
              <w:t>PEEP</w:t>
            </w:r>
          </w:p>
        </w:tc>
        <w:tc>
          <w:tcPr>
            <w:tcW w:w="419" w:type="dxa"/>
            <w:shd w:val="clear" w:color="auto" w:fill="auto"/>
            <w:noWrap/>
            <w:vAlign w:val="bottom"/>
            <w:hideMark/>
          </w:tcPr>
          <w:p w14:paraId="3620F17F" w14:textId="77777777" w:rsidR="00773ECC" w:rsidRPr="00207748" w:rsidRDefault="00773ECC"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5</w:t>
            </w:r>
          </w:p>
        </w:tc>
        <w:tc>
          <w:tcPr>
            <w:tcW w:w="419" w:type="dxa"/>
            <w:shd w:val="clear" w:color="auto" w:fill="auto"/>
            <w:noWrap/>
            <w:vAlign w:val="bottom"/>
            <w:hideMark/>
          </w:tcPr>
          <w:p w14:paraId="28DD6FCE" w14:textId="77777777" w:rsidR="00773ECC" w:rsidRPr="00207748" w:rsidRDefault="00773ECC"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8</w:t>
            </w:r>
          </w:p>
        </w:tc>
        <w:tc>
          <w:tcPr>
            <w:tcW w:w="419" w:type="dxa"/>
            <w:shd w:val="clear" w:color="auto" w:fill="auto"/>
            <w:noWrap/>
            <w:vAlign w:val="bottom"/>
            <w:hideMark/>
          </w:tcPr>
          <w:p w14:paraId="5216E888" w14:textId="77777777" w:rsidR="00773ECC" w:rsidRPr="00207748" w:rsidRDefault="00773ECC"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10</w:t>
            </w:r>
          </w:p>
        </w:tc>
        <w:tc>
          <w:tcPr>
            <w:tcW w:w="419" w:type="dxa"/>
            <w:shd w:val="clear" w:color="auto" w:fill="auto"/>
            <w:noWrap/>
            <w:vAlign w:val="bottom"/>
            <w:hideMark/>
          </w:tcPr>
          <w:p w14:paraId="53E39A2C" w14:textId="77777777" w:rsidR="00773ECC" w:rsidRPr="00207748" w:rsidRDefault="00773ECC"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12</w:t>
            </w:r>
          </w:p>
        </w:tc>
        <w:tc>
          <w:tcPr>
            <w:tcW w:w="419" w:type="dxa"/>
            <w:shd w:val="clear" w:color="auto" w:fill="auto"/>
            <w:noWrap/>
            <w:vAlign w:val="bottom"/>
            <w:hideMark/>
          </w:tcPr>
          <w:p w14:paraId="5D9E71FC" w14:textId="77777777" w:rsidR="00773ECC" w:rsidRPr="00207748" w:rsidRDefault="00773ECC"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14</w:t>
            </w:r>
          </w:p>
        </w:tc>
        <w:tc>
          <w:tcPr>
            <w:tcW w:w="419" w:type="dxa"/>
            <w:shd w:val="clear" w:color="auto" w:fill="auto"/>
            <w:noWrap/>
            <w:vAlign w:val="bottom"/>
            <w:hideMark/>
          </w:tcPr>
          <w:p w14:paraId="2287AEE2" w14:textId="77777777" w:rsidR="00773ECC" w:rsidRPr="00207748" w:rsidRDefault="00773ECC"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14</w:t>
            </w:r>
          </w:p>
        </w:tc>
        <w:tc>
          <w:tcPr>
            <w:tcW w:w="419" w:type="dxa"/>
            <w:shd w:val="clear" w:color="auto" w:fill="auto"/>
            <w:noWrap/>
            <w:vAlign w:val="bottom"/>
            <w:hideMark/>
          </w:tcPr>
          <w:p w14:paraId="4A4CE1E0" w14:textId="77777777" w:rsidR="00773ECC" w:rsidRPr="00207748" w:rsidRDefault="00773ECC"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16</w:t>
            </w:r>
          </w:p>
        </w:tc>
        <w:tc>
          <w:tcPr>
            <w:tcW w:w="419" w:type="dxa"/>
            <w:shd w:val="clear" w:color="auto" w:fill="auto"/>
            <w:noWrap/>
            <w:vAlign w:val="bottom"/>
            <w:hideMark/>
          </w:tcPr>
          <w:p w14:paraId="02823D0C" w14:textId="77777777" w:rsidR="00773ECC" w:rsidRPr="00207748" w:rsidRDefault="00773ECC"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16</w:t>
            </w:r>
          </w:p>
        </w:tc>
        <w:tc>
          <w:tcPr>
            <w:tcW w:w="419" w:type="dxa"/>
            <w:shd w:val="clear" w:color="auto" w:fill="auto"/>
            <w:noWrap/>
            <w:vAlign w:val="bottom"/>
            <w:hideMark/>
          </w:tcPr>
          <w:p w14:paraId="596CB3B3" w14:textId="77777777" w:rsidR="00773ECC" w:rsidRPr="00207748" w:rsidRDefault="00773ECC"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18</w:t>
            </w:r>
          </w:p>
        </w:tc>
        <w:tc>
          <w:tcPr>
            <w:tcW w:w="900" w:type="dxa"/>
            <w:shd w:val="clear" w:color="auto" w:fill="auto"/>
            <w:noWrap/>
            <w:vAlign w:val="bottom"/>
            <w:hideMark/>
          </w:tcPr>
          <w:p w14:paraId="3A36B8AA" w14:textId="77777777" w:rsidR="00773ECC" w:rsidRPr="00207748" w:rsidRDefault="00773ECC"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20</w:t>
            </w:r>
          </w:p>
        </w:tc>
        <w:tc>
          <w:tcPr>
            <w:tcW w:w="419" w:type="dxa"/>
            <w:shd w:val="clear" w:color="auto" w:fill="auto"/>
            <w:noWrap/>
            <w:vAlign w:val="bottom"/>
            <w:hideMark/>
          </w:tcPr>
          <w:p w14:paraId="60572C0B" w14:textId="77777777" w:rsidR="00773ECC" w:rsidRPr="00207748" w:rsidRDefault="00773ECC"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22</w:t>
            </w:r>
          </w:p>
        </w:tc>
        <w:tc>
          <w:tcPr>
            <w:tcW w:w="419" w:type="dxa"/>
            <w:shd w:val="clear" w:color="auto" w:fill="auto"/>
            <w:noWrap/>
            <w:vAlign w:val="bottom"/>
            <w:hideMark/>
          </w:tcPr>
          <w:p w14:paraId="0B419D7B" w14:textId="77777777" w:rsidR="00773ECC" w:rsidRPr="00207748" w:rsidRDefault="00773ECC"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22</w:t>
            </w:r>
          </w:p>
        </w:tc>
        <w:tc>
          <w:tcPr>
            <w:tcW w:w="419" w:type="dxa"/>
            <w:shd w:val="clear" w:color="auto" w:fill="auto"/>
            <w:noWrap/>
            <w:vAlign w:val="bottom"/>
            <w:hideMark/>
          </w:tcPr>
          <w:p w14:paraId="6F433858" w14:textId="77777777" w:rsidR="00773ECC" w:rsidRPr="00207748" w:rsidRDefault="00773ECC"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22</w:t>
            </w:r>
          </w:p>
        </w:tc>
        <w:tc>
          <w:tcPr>
            <w:tcW w:w="366" w:type="dxa"/>
            <w:shd w:val="clear" w:color="auto" w:fill="auto"/>
            <w:noWrap/>
            <w:vAlign w:val="bottom"/>
            <w:hideMark/>
          </w:tcPr>
          <w:p w14:paraId="00D57ECF" w14:textId="77777777" w:rsidR="00773ECC" w:rsidRPr="00207748" w:rsidRDefault="00773ECC" w:rsidP="004454B6">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Arial"/>
                <w:sz w:val="20"/>
                <w:szCs w:val="20"/>
                <w:bdr w:val="none" w:sz="0" w:space="0" w:color="auto"/>
                <w14:textOutline w14:w="0" w14:cap="rnd" w14:cmpd="sng" w14:algn="ctr">
                  <w14:noFill/>
                  <w14:prstDash w14:val="solid"/>
                  <w14:bevel/>
                </w14:textOutline>
              </w:rPr>
            </w:pPr>
            <w:r w:rsidRPr="00207748">
              <w:rPr>
                <w:rFonts w:ascii="Cambria" w:eastAsia="Times New Roman" w:hAnsi="Cambria" w:cs="Arial"/>
                <w:sz w:val="20"/>
                <w:szCs w:val="20"/>
                <w:bdr w:val="none" w:sz="0" w:space="0" w:color="auto"/>
                <w14:textOutline w14:w="0" w14:cap="rnd" w14:cmpd="sng" w14:algn="ctr">
                  <w14:noFill/>
                  <w14:prstDash w14:val="solid"/>
                  <w14:bevel/>
                </w14:textOutline>
              </w:rPr>
              <w:t>24</w:t>
            </w:r>
          </w:p>
        </w:tc>
      </w:tr>
    </w:tbl>
    <w:p w14:paraId="3F7CFED5" w14:textId="77777777" w:rsidR="00773ECC" w:rsidRPr="00207748" w:rsidRDefault="00773ECC" w:rsidP="004454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rPr>
          <w:rFonts w:ascii="Cambria" w:hAnsi="Cambria" w:cs="Arial"/>
          <w:sz w:val="20"/>
          <w:szCs w:val="20"/>
          <w:bdr w:val="none" w:sz="0" w:space="0" w:color="auto"/>
          <w:lang w:eastAsia="en-US"/>
          <w14:textOutline w14:w="0" w14:cap="rnd" w14:cmpd="sng" w14:algn="ctr">
            <w14:noFill/>
            <w14:prstDash w14:val="solid"/>
            <w14:bevel/>
          </w14:textOutline>
        </w:rPr>
      </w:pPr>
    </w:p>
    <w:p w14:paraId="3948FA66" w14:textId="77777777" w:rsidR="00773ECC" w:rsidRPr="00207748" w:rsidRDefault="00773ECC" w:rsidP="004454B6">
      <w:pPr>
        <w:rPr>
          <w:rFonts w:ascii="Cambria" w:hAnsi="Cambria" w:cs="Arial"/>
          <w:b/>
          <w:sz w:val="20"/>
          <w:szCs w:val="20"/>
        </w:rPr>
      </w:pPr>
    </w:p>
    <w:p w14:paraId="3FBAE216" w14:textId="77777777" w:rsidR="00773ECC" w:rsidRPr="00207748" w:rsidRDefault="001F6734" w:rsidP="004454B6">
      <w:pPr>
        <w:spacing w:after="0"/>
        <w:rPr>
          <w:rFonts w:ascii="Cambria" w:hAnsi="Cambria"/>
          <w:sz w:val="20"/>
          <w:szCs w:val="20"/>
        </w:rPr>
        <w:sectPr w:rsidR="00773ECC" w:rsidRPr="00207748" w:rsidSect="00425C8A">
          <w:endnotePr>
            <w:numFmt w:val="decimal"/>
          </w:endnotePr>
          <w:type w:val="continuous"/>
          <w:pgSz w:w="11900" w:h="16840"/>
          <w:pgMar w:top="1417" w:right="1417" w:bottom="1134" w:left="1417" w:header="708" w:footer="708" w:gutter="0"/>
          <w:cols w:space="720"/>
        </w:sectPr>
      </w:pPr>
      <w:r w:rsidRPr="00207748">
        <w:rPr>
          <w:rFonts w:ascii="Cambria" w:hAnsi="Cambria" w:cs="Arial"/>
          <w:b/>
          <w:sz w:val="20"/>
          <w:szCs w:val="20"/>
        </w:rPr>
        <w:br w:type="page"/>
      </w:r>
    </w:p>
    <w:p w14:paraId="7F804752" w14:textId="77777777" w:rsidR="001F6734" w:rsidRPr="00207748" w:rsidRDefault="001F6734" w:rsidP="004454B6">
      <w:pPr>
        <w:pStyle w:val="berschrift1"/>
        <w:numPr>
          <w:ilvl w:val="0"/>
          <w:numId w:val="155"/>
        </w:numPr>
      </w:pPr>
      <w:bookmarkStart w:id="505" w:name="_Toc437861479"/>
      <w:bookmarkStart w:id="506" w:name="_Toc31278517"/>
      <w:r w:rsidRPr="00207748">
        <w:lastRenderedPageBreak/>
        <w:t>Literatur</w:t>
      </w:r>
      <w:bookmarkEnd w:id="505"/>
      <w:bookmarkEnd w:id="506"/>
    </w:p>
    <w:sectPr w:rsidR="001F6734" w:rsidRPr="00207748" w:rsidSect="00342FB3">
      <w:footerReference w:type="default" r:id="rId13"/>
      <w:endnotePr>
        <w:numFmt w:val="decimal"/>
      </w:endnotePr>
      <w:type w:val="continuous"/>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38D26" w14:textId="77777777" w:rsidR="00CC0421" w:rsidRDefault="00CC0421">
      <w:r>
        <w:separator/>
      </w:r>
    </w:p>
  </w:endnote>
  <w:endnote w:type="continuationSeparator" w:id="0">
    <w:p w14:paraId="3182A085" w14:textId="77777777" w:rsidR="00CC0421" w:rsidRDefault="00CC0421">
      <w:r>
        <w:continuationSeparator/>
      </w:r>
    </w:p>
  </w:endnote>
  <w:endnote w:type="continuationNotice" w:id="1">
    <w:p w14:paraId="01DCC968" w14:textId="77777777" w:rsidR="00CC0421" w:rsidRDefault="00CC0421"/>
  </w:endnote>
  <w:endnote w:id="2">
    <w:p w14:paraId="64211155" w14:textId="6121A43D" w:rsidR="00587AE4" w:rsidRPr="00D60A69" w:rsidRDefault="00587AE4" w:rsidP="00801F84">
      <w:pPr>
        <w:pStyle w:val="Endnotentext"/>
        <w:rPr>
          <w:lang w:val="en-US"/>
        </w:rPr>
      </w:pPr>
      <w:r w:rsidRPr="00D60A69">
        <w:endnoteRef/>
      </w:r>
      <w:r w:rsidRPr="00D60A69">
        <w:rPr>
          <w:lang w:val="en-US"/>
        </w:rPr>
        <w:t xml:space="preserve"> Singer M, Deutschman CS, Seymour CW, et al: The Third International Consensus Definitions for Sepsis and Septic Shock (Sepsis-3). JAMA 2016; 315:801–810</w:t>
      </w:r>
    </w:p>
  </w:endnote>
  <w:endnote w:id="3">
    <w:p w14:paraId="63A2C31E"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Rhodes A, Evans LE, Alhazzani W, et al. Surviving Sepsis Campaign: International Guidelines for Management of Sepsis and Septic Shock: 2016. Crit Care Med. 2017;45(3):486-552.</w:t>
      </w:r>
    </w:p>
  </w:endnote>
  <w:endnote w:id="4">
    <w:p w14:paraId="76243C8C" w14:textId="77777777" w:rsidR="00587AE4" w:rsidRPr="00D60A69" w:rsidRDefault="00587AE4" w:rsidP="00801F84">
      <w:pPr>
        <w:pStyle w:val="Endnotentext"/>
        <w:rPr>
          <w:lang w:val="en-US"/>
        </w:rPr>
      </w:pPr>
      <w:r w:rsidRPr="00D60A69">
        <w:endnoteRef/>
      </w:r>
      <w:r w:rsidRPr="00D60A69">
        <w:rPr>
          <w:lang w:val="en-US"/>
        </w:rPr>
        <w:t xml:space="preserve"> Levy MM, Fink MP, Marshall JC, et al: 2001 SCCM/ESICM/ACCP/ATS/SIS International Sepsis Definitions Conference. Crit Care Med. 2003;31(4):1250–1256</w:t>
      </w:r>
    </w:p>
  </w:endnote>
  <w:endnote w:id="5">
    <w:p w14:paraId="47884CA6" w14:textId="121E362B" w:rsidR="00587AE4" w:rsidRPr="00D60A69" w:rsidRDefault="00587AE4" w:rsidP="00801F84">
      <w:pPr>
        <w:pStyle w:val="Endnotentext"/>
        <w:rPr>
          <w:lang w:val="en-US"/>
        </w:rPr>
      </w:pPr>
      <w:r w:rsidRPr="00D60A69">
        <w:endnoteRef/>
      </w:r>
      <w:r w:rsidRPr="00D60A69">
        <w:rPr>
          <w:lang w:val="en-US"/>
        </w:rPr>
        <w:t xml:space="preserve"> Shankar-Hari M, Phillips GS, Levy ML, et al</w:t>
      </w:r>
      <w:r w:rsidR="0044792B" w:rsidRPr="00693B3D">
        <w:rPr>
          <w:lang w:val="en-US"/>
        </w:rPr>
        <w:t>:</w:t>
      </w:r>
      <w:r w:rsidRPr="00D60A69">
        <w:rPr>
          <w:lang w:val="en-US"/>
        </w:rPr>
        <w:t>; Sepsis Definitions Task Force: Developing a New Definition and Assessing New Clini cal Criteria for Septic Shock: For the Third International Consensus Definitions for Sepsis and Septic Shock (Sepsis-3). JAMA 2016; 315:775–787</w:t>
      </w:r>
    </w:p>
  </w:endnote>
  <w:endnote w:id="6">
    <w:p w14:paraId="52F144D6" w14:textId="0463B1C9"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Bone RC, Balk RA, Cerra FB et al (1992) Definitions for sepsis and organ failure and guidelines for</w:t>
      </w:r>
    </w:p>
    <w:p w14:paraId="0CEA98FE" w14:textId="7FF72A1D" w:rsidR="00587AE4" w:rsidRPr="00D60A69" w:rsidRDefault="00587AE4" w:rsidP="00801F84">
      <w:pPr>
        <w:pStyle w:val="Endnotentext"/>
        <w:rPr>
          <w:lang w:val="en-US"/>
        </w:rPr>
      </w:pPr>
      <w:r w:rsidRPr="00D60A69">
        <w:rPr>
          <w:lang w:val="en-US"/>
        </w:rPr>
        <w:t>the use of innovative therapies in sepsis. The ACCP/SCCM Consensus Conference Committee. American College of Chest Physicians/Society of CriticalCareMedicine.Chest 101(6):1644–1655</w:t>
      </w:r>
    </w:p>
  </w:endnote>
  <w:endnote w:id="7">
    <w:p w14:paraId="45022FAB" w14:textId="2901D9BB" w:rsidR="00587AE4" w:rsidRPr="00D60A69" w:rsidRDefault="00587AE4" w:rsidP="00801F84">
      <w:pPr>
        <w:pStyle w:val="Endnotentext"/>
        <w:rPr>
          <w:lang w:val="en-US"/>
        </w:rPr>
      </w:pPr>
      <w:r w:rsidRPr="00D60A69">
        <w:endnoteRef/>
      </w:r>
      <w:r w:rsidRPr="00D60A69">
        <w:rPr>
          <w:lang w:val="en-US"/>
        </w:rPr>
        <w:t xml:space="preserve"> Churpek MM, Zadravecz FJ,</w:t>
      </w:r>
      <w:r w:rsidR="000F0DC9" w:rsidRPr="00D60A69">
        <w:rPr>
          <w:lang w:val="en-US"/>
        </w:rPr>
        <w:t xml:space="preserve"> </w:t>
      </w:r>
      <w:r w:rsidRPr="00D60A69">
        <w:rPr>
          <w:lang w:val="en-US"/>
        </w:rPr>
        <w:t>Winslow C</w:t>
      </w:r>
      <w:r w:rsidR="000F0DC9" w:rsidRPr="00D60A69">
        <w:rPr>
          <w:lang w:val="en-US"/>
        </w:rPr>
        <w:t xml:space="preserve"> </w:t>
      </w:r>
      <w:r w:rsidRPr="00D60A69">
        <w:rPr>
          <w:lang w:val="en-US"/>
        </w:rPr>
        <w:t>,Howell MD,</w:t>
      </w:r>
      <w:r w:rsidR="000F0DC9" w:rsidRPr="00D60A69">
        <w:rPr>
          <w:lang w:val="en-US"/>
        </w:rPr>
        <w:t xml:space="preserve"> </w:t>
      </w:r>
      <w:r w:rsidRPr="00D60A69">
        <w:rPr>
          <w:lang w:val="en-US"/>
        </w:rPr>
        <w:t>EdelsonDP (2015) Incidence and prognostic value of the systemic inflammatory response syndrome and organ dysfunctions in ward patients. Am J Respir Crit Care Med 192:958–964</w:t>
      </w:r>
    </w:p>
  </w:endnote>
  <w:endnote w:id="8">
    <w:p w14:paraId="7FEB81DE"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Kaukonen KM, Bailey M, Pilcher D, Cooper DJ,Bellomo R(2015) Systemic inflammatory response syndrome criteria in defining severe sepsis.NEngl J Med372:1629–1638.</w:t>
      </w:r>
    </w:p>
  </w:endnote>
  <w:endnote w:id="9">
    <w:p w14:paraId="08E21E2F"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Gaieski DF, Edwards JM, KallanMJ, Carr BG (2013) Benchmarking the incidence and mortality of severe sepsis in the United States. Crit Care Med 41(5):1167–1174. https://doi.org/10.1097/CCM. 0b013e31827c09f8</w:t>
      </w:r>
    </w:p>
  </w:endnote>
  <w:endnote w:id="10">
    <w:p w14:paraId="327EFD1F" w14:textId="2855708B" w:rsidR="00D60A69" w:rsidRPr="00D60A69" w:rsidRDefault="00D60A69" w:rsidP="00D60A69">
      <w:pPr>
        <w:pStyle w:val="Endnotentext"/>
        <w:rPr>
          <w:lang w:val="en-US"/>
        </w:rPr>
      </w:pPr>
      <w:r w:rsidRPr="00D60A69">
        <w:endnoteRef/>
      </w:r>
      <w:r w:rsidRPr="00D60A69">
        <w:rPr>
          <w:lang w:val="en-US"/>
        </w:rPr>
        <w:t xml:space="preserve"> Dellinger RP, Levy MM, Rhodes A, et al; Surviving Sepsis Campaign Guidelines Committee including The Pediatric Subgroup: Surviving Sepsis Campaign: international guidelines for management of severe sepsis and septic shock, 2012. Intensive Care Med 2013; 39:165– 228</w:t>
      </w:r>
    </w:p>
  </w:endnote>
  <w:endnote w:id="11">
    <w:p w14:paraId="6FC5A89E" w14:textId="37C97F50" w:rsidR="00D60A69" w:rsidRPr="00D60A69" w:rsidRDefault="00D60A69" w:rsidP="00D60A69">
      <w:pPr>
        <w:pStyle w:val="Endnotentext"/>
        <w:rPr>
          <w:lang w:val="en-US"/>
        </w:rPr>
      </w:pPr>
      <w:r w:rsidRPr="00D60A69">
        <w:rPr>
          <w:rStyle w:val="Endnotenzeichen"/>
          <w:vertAlign w:val="baseline"/>
        </w:rPr>
        <w:endnoteRef/>
      </w:r>
      <w:r w:rsidRPr="00D60A69">
        <w:rPr>
          <w:lang w:val="en-US"/>
        </w:rPr>
        <w:t xml:space="preserve"> Seymour CW, Liu VX, Iwashyna TJ et al (2016) Assessment of clinical criteria for sepsis: for the</w:t>
      </w:r>
    </w:p>
    <w:p w14:paraId="0CE299BB" w14:textId="759B4EB8" w:rsidR="00D60A69" w:rsidRPr="00D60A69" w:rsidRDefault="00D60A69" w:rsidP="00D60A69">
      <w:pPr>
        <w:pStyle w:val="Endnotentext"/>
        <w:rPr>
          <w:lang w:val="en-US"/>
        </w:rPr>
      </w:pPr>
      <w:r w:rsidRPr="00D60A69">
        <w:rPr>
          <w:lang w:val="en-US"/>
        </w:rPr>
        <w:t>Third international consensus definitions for sepsis and septic shock (sepsis-3). JAMA 315:762–774.</w:t>
      </w:r>
    </w:p>
    <w:p w14:paraId="6C3056CD" w14:textId="77777777" w:rsidR="00D60A69" w:rsidRPr="00D60A69" w:rsidRDefault="00D60A69" w:rsidP="00D60A69">
      <w:pPr>
        <w:pStyle w:val="Endnotentext"/>
        <w:rPr>
          <w:lang w:val="en-US"/>
        </w:rPr>
      </w:pPr>
      <w:r w:rsidRPr="00D60A69">
        <w:rPr>
          <w:lang w:val="en-US"/>
        </w:rPr>
        <w:t>https://doi.org/10.1001/jama.2016.0288</w:t>
      </w:r>
    </w:p>
  </w:endnote>
  <w:endnote w:id="12">
    <w:p w14:paraId="157ED556" w14:textId="183E9F60" w:rsidR="00D60A69" w:rsidRPr="00D60A69" w:rsidRDefault="00D60A69" w:rsidP="00D60A69">
      <w:pPr>
        <w:pStyle w:val="Endnotentext"/>
        <w:rPr>
          <w:lang w:val="en-US"/>
        </w:rPr>
      </w:pPr>
      <w:r w:rsidRPr="00D60A69">
        <w:endnoteRef/>
      </w:r>
      <w:r w:rsidRPr="00D60A69">
        <w:rPr>
          <w:lang w:val="en-US"/>
        </w:rPr>
        <w:t xml:space="preserve"> Martin GS, Mannino DM, Eaton S, et al: The epidemiology of sepsis in the United States from 1979 through 2000. N Engl J Med 2003; 348:1546–1554</w:t>
      </w:r>
    </w:p>
  </w:endnote>
  <w:endnote w:id="13">
    <w:p w14:paraId="5C212779" w14:textId="77777777" w:rsidR="00587AE4" w:rsidRPr="00D60A69" w:rsidRDefault="00587AE4" w:rsidP="00801F84">
      <w:pPr>
        <w:pStyle w:val="Endnotentext"/>
        <w:rPr>
          <w:lang w:val="en-US"/>
        </w:rPr>
      </w:pPr>
      <w:r w:rsidRPr="00D60A69">
        <w:endnoteRef/>
      </w:r>
      <w:r w:rsidRPr="00D60A69">
        <w:rPr>
          <w:lang w:val="en-US"/>
        </w:rPr>
        <w:t xml:space="preserve"> Storr J, Twyman A, Zingg W, et al. Core components for effective infection prevention and control programmes: new WHO evidence-based recommendations. Antimicrob Resist Infect Control. 2017;Jan 10;6:6. doi: 10.1186/s13756-016-0149-9.</w:t>
      </w:r>
    </w:p>
  </w:endnote>
  <w:endnote w:id="14">
    <w:p w14:paraId="7EF438B3" w14:textId="77777777" w:rsidR="00587AE4" w:rsidRPr="00D60A69" w:rsidRDefault="00587AE4" w:rsidP="00801F84">
      <w:pPr>
        <w:pStyle w:val="Endnotentext"/>
        <w:rPr>
          <w:lang w:val="en-US"/>
        </w:rPr>
      </w:pPr>
      <w:r w:rsidRPr="00D60A69">
        <w:endnoteRef/>
      </w:r>
      <w:r w:rsidRPr="00D60A69">
        <w:rPr>
          <w:lang w:val="en-US"/>
        </w:rPr>
        <w:t xml:space="preserve"> WHO handbook for guideline development, 2nd edition. Geneva: World Health Organization; 2014 (https://www.who.int/publications/guidelines/handbook_2nd_ed.pdf, accessed 16 October 2019).</w:t>
      </w:r>
    </w:p>
  </w:endnote>
  <w:endnote w:id="15">
    <w:p w14:paraId="7A3032DE" w14:textId="77777777" w:rsidR="00587AE4" w:rsidRPr="00D60A69" w:rsidRDefault="00587AE4" w:rsidP="00801F84">
      <w:pPr>
        <w:pStyle w:val="Endnotentext"/>
        <w:rPr>
          <w:lang w:val="en-US"/>
        </w:rPr>
      </w:pPr>
      <w:r w:rsidRPr="00D60A69">
        <w:endnoteRef/>
      </w:r>
      <w:r w:rsidRPr="00D60A69">
        <w:rPr>
          <w:lang w:val="fr-FR"/>
        </w:rPr>
        <w:t xml:space="preserve"> Zingg W, Holmes A, Dettenkofer M, et al. </w:t>
      </w:r>
      <w:r w:rsidRPr="00D60A69">
        <w:rPr>
          <w:lang w:val="en-US"/>
        </w:rPr>
        <w:t>Hospital organisation, management, and structure for prevention of health-care-associated infection: a systematic review and expert consensus. Lancet Infect Dis. 2015;15:212-24.</w:t>
      </w:r>
    </w:p>
  </w:endnote>
  <w:endnote w:id="16">
    <w:p w14:paraId="261C7AFE" w14:textId="77777777" w:rsidR="00587AE4" w:rsidRPr="00D60A69" w:rsidRDefault="00587AE4" w:rsidP="00801F84">
      <w:pPr>
        <w:pStyle w:val="Endnotentext"/>
        <w:rPr>
          <w:lang w:val="en-US"/>
        </w:rPr>
      </w:pPr>
      <w:r w:rsidRPr="00D60A69">
        <w:endnoteRef/>
      </w:r>
      <w:r w:rsidRPr="00D60A69">
        <w:rPr>
          <w:lang w:val="en-US"/>
        </w:rPr>
        <w:t xml:space="preserve"> Price L, MacDonald J, Melone L. et al. Effectiveness of national and subnational infection prevention and control interventions in high-income and upper-middle-income countries: a systematic review. Lancet Infect Dis. 2018 May;18(5):e159-e171</w:t>
      </w:r>
    </w:p>
  </w:endnote>
  <w:endnote w:id="17">
    <w:p w14:paraId="2DA71DFE" w14:textId="102F15A0" w:rsidR="00587AE4" w:rsidRPr="00D60A69" w:rsidRDefault="00587AE4" w:rsidP="00801F84">
      <w:pPr>
        <w:pStyle w:val="Endnotentext"/>
        <w:rPr>
          <w:lang w:val="en-US"/>
        </w:rPr>
      </w:pPr>
      <w:r w:rsidRPr="00D60A69">
        <w:endnoteRef/>
      </w:r>
      <w:r w:rsidRPr="00D60A69">
        <w:rPr>
          <w:lang w:val="en-US"/>
        </w:rPr>
        <w:t xml:space="preserve"> Effective Practice and Organisation of Care (EPOC). Suggested risk of bias criteria for EPOC reviews. EPOC ressources for review authors. slo: Norwegian Knowledge </w:t>
      </w:r>
      <w:r w:rsidR="000F0DC9" w:rsidRPr="00D60A69">
        <w:rPr>
          <w:lang w:val="en-US"/>
        </w:rPr>
        <w:t xml:space="preserve">Center for the Health Services: </w:t>
      </w:r>
      <w:r w:rsidRPr="00D60A69">
        <w:rPr>
          <w:lang w:val="en-US"/>
        </w:rPr>
        <w:t>http://epoc.cochrane.org/sites/epoc.cochrane.org/files/public/uploads.pdf; 2015.</w:t>
      </w:r>
    </w:p>
  </w:endnote>
  <w:endnote w:id="18">
    <w:p w14:paraId="7F366A31" w14:textId="77777777" w:rsidR="00587AE4" w:rsidRPr="00D60A69" w:rsidRDefault="00587AE4" w:rsidP="00801F84">
      <w:pPr>
        <w:pStyle w:val="Endnotentext"/>
        <w:rPr>
          <w:lang w:val="fr-FR"/>
        </w:rPr>
      </w:pPr>
      <w:r w:rsidRPr="00D60A69">
        <w:endnoteRef/>
      </w:r>
      <w:r w:rsidRPr="00D60A69">
        <w:rPr>
          <w:lang w:val="en-US"/>
        </w:rPr>
        <w:t xml:space="preserve"> Haley RW, Culver DH, White JW, et al. The efficacy of infection surveillance and control programs in preventing nosocomial infections in US hospitals. </w:t>
      </w:r>
      <w:r w:rsidRPr="00D60A69">
        <w:rPr>
          <w:lang w:val="fr-FR"/>
        </w:rPr>
        <w:t xml:space="preserve">Am J Epidemiol. 1985;121:182–205. , </w:t>
      </w:r>
    </w:p>
  </w:endnote>
  <w:endnote w:id="19">
    <w:p w14:paraId="6594E098" w14:textId="77777777" w:rsidR="00587AE4" w:rsidRPr="00D60A69" w:rsidRDefault="00587AE4" w:rsidP="00801F84">
      <w:pPr>
        <w:pStyle w:val="Endnotentext"/>
      </w:pPr>
      <w:r w:rsidRPr="00D60A69">
        <w:endnoteRef/>
      </w:r>
      <w:r w:rsidRPr="00D60A69">
        <w:rPr>
          <w:lang w:val="fr-FR"/>
        </w:rPr>
        <w:t xml:space="preserve"> Mermel LA, Jefferson J, Blanchard K, et al. </w:t>
      </w:r>
      <w:r w:rsidRPr="00D60A69">
        <w:rPr>
          <w:lang w:val="en-US"/>
        </w:rPr>
        <w:t xml:space="preserve">Reducing Clostridium difficile incidence, colectomies, and mortality in the hospital setting: a successful multidisciplinary approach. </w:t>
      </w:r>
      <w:r w:rsidRPr="00D60A69">
        <w:t>Jt Comm J Qual Patient Saf. 2013;39:298–305.)</w:t>
      </w:r>
    </w:p>
  </w:endnote>
  <w:endnote w:id="20">
    <w:p w14:paraId="1B791EBB" w14:textId="77777777" w:rsidR="00587AE4" w:rsidRPr="00D60A69" w:rsidRDefault="00587AE4" w:rsidP="00801F84">
      <w:pPr>
        <w:pStyle w:val="Endnotentext"/>
      </w:pPr>
      <w:r w:rsidRPr="00D60A69">
        <w:rPr>
          <w:rStyle w:val="Endnotenzeichen"/>
          <w:vertAlign w:val="baseline"/>
        </w:rPr>
        <w:endnoteRef/>
      </w:r>
      <w:r w:rsidRPr="00D60A69">
        <w:t xml:space="preserve"> S3- Leitlinie Strategien zur Sicherung rationaler Antibiotika-Anwendung im Krankenhaus</w:t>
      </w:r>
    </w:p>
    <w:p w14:paraId="109CBAE9" w14:textId="7ABA1A5D" w:rsidR="00587AE4" w:rsidRPr="00D60A69" w:rsidRDefault="00587AE4" w:rsidP="00801F84">
      <w:pPr>
        <w:pStyle w:val="Endnotentext"/>
        <w:rPr>
          <w:lang w:val="en-US"/>
        </w:rPr>
      </w:pPr>
      <w:r w:rsidRPr="00D60A69">
        <w:rPr>
          <w:lang w:val="en-US"/>
        </w:rPr>
        <w:t>AWMF-Registernummer 092/001 – update 2018 (</w:t>
      </w:r>
      <w:hyperlink r:id="rId1" w:history="1">
        <w:r w:rsidRPr="00D60A69">
          <w:rPr>
            <w:rStyle w:val="Hyperlink"/>
            <w:u w:val="none"/>
            <w:lang w:val="en-US"/>
          </w:rPr>
          <w:t>https://www.awmf.org/uploads/tx_szleitlinien/092-001l_S3_Strategien-zur-Sicherung-rationaler-Antibiotika-Anwendung-im-Krankenhaus_2019-04.pdf</w:t>
        </w:r>
      </w:hyperlink>
      <w:r w:rsidRPr="00D60A69">
        <w:rPr>
          <w:lang w:val="en-US"/>
        </w:rPr>
        <w:t>, accessed 23 Nov. 2019).</w:t>
      </w:r>
    </w:p>
  </w:endnote>
  <w:endnote w:id="21">
    <w:p w14:paraId="0FB85B12" w14:textId="4384F054"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Surveillance of nosocomial infections as well as the detection of pathogens with special </w:t>
      </w:r>
      <w:r w:rsidR="00CB26D4" w:rsidRPr="00D60A69">
        <w:rPr>
          <w:lang w:val="en-US"/>
        </w:rPr>
        <w:t>resistance and multi-resistance</w:t>
      </w:r>
      <w:r w:rsidRPr="00D60A69">
        <w:rPr>
          <w:lang w:val="en-US"/>
        </w:rPr>
        <w:t>. Bundesgesundheitsblatt, Gesundheitsforschung, Gesundheitsschutz. 2013;56(4):580-3.</w:t>
      </w:r>
    </w:p>
  </w:endnote>
  <w:endnote w:id="22">
    <w:p w14:paraId="7CF0622F" w14:textId="77777777" w:rsidR="00587AE4" w:rsidRPr="00D60A69" w:rsidRDefault="00587AE4" w:rsidP="00801F84">
      <w:pPr>
        <w:pStyle w:val="Endnotentext"/>
        <w:rPr>
          <w:lang w:val="en-US"/>
        </w:rPr>
      </w:pPr>
      <w:r w:rsidRPr="00D60A69">
        <w:endnoteRef/>
      </w:r>
      <w:r w:rsidRPr="00D60A69">
        <w:rPr>
          <w:lang w:val="en-US"/>
        </w:rPr>
        <w:t xml:space="preserve"> Schwab et al. F, Meyer E, Geffers C, Gastmeier P. Understaffing, overcrowding, inappropriate nurse:ventilated patient ratio and nosocomial infections: which parameter is the best reflection of deficits?</w:t>
      </w:r>
    </w:p>
    <w:p w14:paraId="2CF38ECD" w14:textId="77777777" w:rsidR="00587AE4" w:rsidRPr="00D60A69" w:rsidRDefault="00587AE4" w:rsidP="00801F84">
      <w:pPr>
        <w:pStyle w:val="Endnotentext"/>
        <w:rPr>
          <w:lang w:val="en-US"/>
        </w:rPr>
      </w:pPr>
      <w:r w:rsidRPr="00D60A69">
        <w:rPr>
          <w:lang w:val="en-US"/>
        </w:rPr>
        <w:t>J Hosp Infect. 2012 Feb;80(2):133-9.</w:t>
      </w:r>
    </w:p>
  </w:endnote>
  <w:endnote w:id="23">
    <w:p w14:paraId="16BA0D57" w14:textId="77777777" w:rsidR="00587AE4" w:rsidRPr="00D60A69" w:rsidRDefault="00587AE4" w:rsidP="00801F84">
      <w:pPr>
        <w:pStyle w:val="Endnotentext"/>
        <w:rPr>
          <w:lang w:val="en-US"/>
        </w:rPr>
      </w:pPr>
      <w:r w:rsidRPr="00D60A69">
        <w:endnoteRef/>
      </w:r>
      <w:r w:rsidRPr="00D60A69">
        <w:rPr>
          <w:lang w:val="en-US"/>
        </w:rPr>
        <w:t xml:space="preserve"> Birnbach DJ, Nevo I, Scheinman SR, Fitzpatrick M, Shekhter I, Lombard JL. Patient safety begins with proper planning: a quantitative method to improve hospital design. Qual Saf Health Care. 2010;19:462–5.</w:t>
      </w:r>
    </w:p>
  </w:endnote>
  <w:endnote w:id="24">
    <w:p w14:paraId="7A9E854A"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McLaws ML, Pantle AC, Fitzpatrick KR, Hughes CF. Improvements in hand hygiene across New South Wales public hospitals: clean hands save lives, part III. Med J Aust. 2009;191(Suppl):S18–24.</w:t>
      </w:r>
    </w:p>
  </w:endnote>
  <w:endnote w:id="25">
    <w:p w14:paraId="2E6C5B0D"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Koff MD, Loftus RW, Burchman CC, et al. Reduction in intraoperative bacterial contamination of peripheral intravenous tubing through the use of a novel device. Anesthesiology. 2009;110:978–85.</w:t>
      </w:r>
    </w:p>
  </w:endnote>
  <w:endnote w:id="26">
    <w:p w14:paraId="0DEDBC3F"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Thomas BW, Berg-Copas GM, Vasquez DG, Jackson BL, Wetta-Hall R. Conspicuous vs customary location of hand hygiene agent dispensers on alcohol-based hand hygiene product usage in an intensive care unit. J Am Osteopath Assoc. 2009;109:263–7.</w:t>
      </w:r>
    </w:p>
  </w:endnote>
  <w:endnote w:id="27">
    <w:p w14:paraId="745B6B0A"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Whitby M, McLaws ML. Handwashing in healthcare workers: accessibility of sink location does not improve compliance. J Hosp Infect. 2004;58:247–53.</w:t>
      </w:r>
    </w:p>
  </w:endnote>
  <w:endnote w:id="28">
    <w:p w14:paraId="72265AA3" w14:textId="77777777" w:rsidR="00587AE4" w:rsidRPr="00D60A69" w:rsidRDefault="00587AE4" w:rsidP="00801F84">
      <w:pPr>
        <w:pStyle w:val="Endnotentext"/>
      </w:pPr>
      <w:r w:rsidRPr="00D60A69">
        <w:rPr>
          <w:rStyle w:val="Endnotenzeichen"/>
          <w:vertAlign w:val="baseline"/>
        </w:rPr>
        <w:endnoteRef/>
      </w:r>
      <w:r w:rsidRPr="00D60A69">
        <w:t xml:space="preserve"> Jang JH, Wu S, Kirzner D, et al. </w:t>
      </w:r>
      <w:r w:rsidRPr="00D60A69">
        <w:rPr>
          <w:lang w:val="en-US"/>
        </w:rPr>
        <w:t xml:space="preserve">Focus group study of hand hygiene practice among healthcare workers in a teaching hospital in Toronto, Canada. </w:t>
      </w:r>
      <w:r w:rsidRPr="00D60A69">
        <w:t>Infect Control Hosp Epidemiol. 2010;31:144–50.</w:t>
      </w:r>
    </w:p>
  </w:endnote>
  <w:endnote w:id="29">
    <w:p w14:paraId="447010BB" w14:textId="77777777" w:rsidR="00587AE4" w:rsidRPr="00D60A69" w:rsidRDefault="00587AE4" w:rsidP="00801F84">
      <w:pPr>
        <w:pStyle w:val="Endnotentext"/>
      </w:pPr>
      <w:r w:rsidRPr="00D60A69">
        <w:endnoteRef/>
      </w:r>
      <w:r w:rsidRPr="00D60A69">
        <w:t xml:space="preserve"> Händehygiene in Einrichtungen des Gesundheitswesens : Empfehlung der Kommission für Krankenhaushygiene und Infektionsprävention (KRINKO) beim Robert Koch-Institut (RKI). Bundesgesundheitsblatt, Gesundheitsforschung, Gesundheitsschutz. 2016;59(9):1189-220.</w:t>
      </w:r>
    </w:p>
  </w:endnote>
  <w:endnote w:id="30">
    <w:p w14:paraId="1A3EB6F8" w14:textId="77777777" w:rsidR="00587AE4" w:rsidRPr="00D60A69" w:rsidRDefault="00587AE4" w:rsidP="00801F84">
      <w:pPr>
        <w:pStyle w:val="Endnotentext"/>
      </w:pPr>
      <w:r w:rsidRPr="00D60A69">
        <w:endnoteRef/>
      </w:r>
      <w:r w:rsidRPr="00D60A69">
        <w:t xml:space="preserve"> Engel C, Brunkhorst FM, Bone H-G, et al. </w:t>
      </w:r>
      <w:r w:rsidRPr="00D60A69">
        <w:rPr>
          <w:lang w:val="en-US"/>
        </w:rPr>
        <w:t xml:space="preserve">Epidemiology of sepsis in Germany: results from a national prospective multicenter study. </w:t>
      </w:r>
      <w:r w:rsidRPr="00D60A69">
        <w:t>Intensive Care Med. 2007 Apr;33(4):606–18.</w:t>
      </w:r>
    </w:p>
  </w:endnote>
  <w:endnote w:id="31">
    <w:p w14:paraId="72FE042F" w14:textId="77777777" w:rsidR="00587AE4" w:rsidRPr="00D60A69" w:rsidRDefault="00587AE4" w:rsidP="00801F84">
      <w:pPr>
        <w:pStyle w:val="Endnotentext"/>
        <w:rPr>
          <w:lang w:val="en-US"/>
        </w:rPr>
      </w:pPr>
      <w:r w:rsidRPr="00D60A69">
        <w:endnoteRef/>
      </w:r>
      <w:r w:rsidRPr="00D60A69">
        <w:t xml:space="preserve"> Baum H von, Schweiger B, Welte T, et al. </w:t>
      </w:r>
      <w:r w:rsidRPr="00D60A69">
        <w:rPr>
          <w:lang w:val="en-US"/>
        </w:rPr>
        <w:t>How deadly is seasonal influenza-associated pneumonia? The German Competence Network for Community-Acquired Pneumonia. Eur Respir J. 2011 May 1;37(5):1151–7.</w:t>
      </w:r>
    </w:p>
  </w:endnote>
  <w:endnote w:id="32">
    <w:p w14:paraId="15F372D7" w14:textId="77777777" w:rsidR="00587AE4" w:rsidRPr="00D60A69" w:rsidRDefault="00587AE4" w:rsidP="00801F84">
      <w:pPr>
        <w:pStyle w:val="Endnotentext"/>
      </w:pPr>
      <w:r w:rsidRPr="00D60A69">
        <w:endnoteRef/>
      </w:r>
      <w:r w:rsidRPr="00D60A69">
        <w:t xml:space="preserve"> K. Dalhoff, M. Abele-Horn, S. Andreas, et al. Epidemiologie, Diagnostik und Therapie erwachsener Patienten mit nosokomialer Pneumonie – Update 2017. S3-Leitlinie der Deutschen Gesellschaft für Anästhesiologie und Intensivmedizin e.V., der Deutschen Gesellschaft für Infektiologie e.V., der Deutschen Gesellschaft für Hygiene und Mikrobiologie e.V., der Deutschen Gesellschaft für Pneumologie und Beatmungsmedizin e.V., der Paul-Ehrlich Gesellschaft für Chemotherapie e.V, der Deutschen Röntgengesellschaft und der Gesellschaft für Virologie. Pneumologie 2018; 72(01): 15-63 S3-Leitlinie - Epidemiologie, Diagnostik und Therapie erwachsener Patienten mit nosokomialer Pneumonie – Update 2017 </w:t>
      </w:r>
      <w:r w:rsidRPr="00D60A69">
        <w:rPr>
          <w:rStyle w:val="Hyperlink0"/>
          <w:rFonts w:ascii="Cambria" w:eastAsia="Calibri" w:hAnsi="Cambria" w:cs="Calibri"/>
          <w:color w:val="000000"/>
          <w:sz w:val="16"/>
          <w:szCs w:val="16"/>
          <w:u w:val="none" w:color="000000"/>
        </w:rPr>
        <w:t>https://www.awmf.org/uploads/tx_szleitlinien/020-013l_S3_Nosokomiale_Pneumonie_Erwachsener_2017-11.pdf</w:t>
      </w:r>
      <w:r w:rsidRPr="00D60A69">
        <w:t xml:space="preserve"> (letzter Zugriff: 16.01.2019)</w:t>
      </w:r>
    </w:p>
  </w:endnote>
  <w:endnote w:id="33">
    <w:p w14:paraId="37896E02" w14:textId="77777777" w:rsidR="00587AE4" w:rsidRPr="00D60A69" w:rsidRDefault="00587AE4" w:rsidP="00801F84">
      <w:pPr>
        <w:pStyle w:val="Endnotentext"/>
        <w:rPr>
          <w:lang w:val="en-US"/>
        </w:rPr>
      </w:pPr>
      <w:r w:rsidRPr="00D60A69">
        <w:endnoteRef/>
      </w:r>
      <w:r w:rsidRPr="00D60A69">
        <w:rPr>
          <w:lang w:val="en-US"/>
        </w:rPr>
        <w:t xml:space="preserve"> Hagel S, Ludewig K, Moeser A, et al. Characteristics and management of patients with influenza in a German hospital during the 2014/2015 influenza season. Infection. 2016 Oct;44(5):667–72.</w:t>
      </w:r>
    </w:p>
  </w:endnote>
  <w:endnote w:id="34">
    <w:p w14:paraId="2E4E1CA4" w14:textId="77777777" w:rsidR="00587AE4" w:rsidRPr="00D60A69" w:rsidRDefault="00587AE4" w:rsidP="00801F84">
      <w:pPr>
        <w:pStyle w:val="Endnotentext"/>
        <w:rPr>
          <w:lang w:val="en-US"/>
        </w:rPr>
      </w:pPr>
      <w:r w:rsidRPr="00D60A69">
        <w:endnoteRef/>
      </w:r>
      <w:r w:rsidRPr="00D60A69">
        <w:rPr>
          <w:lang w:val="en-US"/>
        </w:rPr>
        <w:t xml:space="preserve"> Rivers E, Nguyen B, Havstad S, et al; Early Goal-Directed Therapy Collaborative Group: Early goal-directed therapy in the treatment of severe sepsis and septic shock. N Engl J Med 2001; 345:1368– 1377</w:t>
      </w:r>
    </w:p>
  </w:endnote>
  <w:endnote w:id="35">
    <w:p w14:paraId="05AD9839" w14:textId="77777777" w:rsidR="00587AE4" w:rsidRPr="00D60A69" w:rsidRDefault="00587AE4" w:rsidP="00801F84">
      <w:pPr>
        <w:pStyle w:val="Endnotentext"/>
        <w:rPr>
          <w:lang w:val="en-US"/>
        </w:rPr>
      </w:pPr>
      <w:r w:rsidRPr="00D60A69">
        <w:endnoteRef/>
      </w:r>
      <w:r w:rsidRPr="00D60A69">
        <w:rPr>
          <w:lang w:val="en-US"/>
        </w:rPr>
        <w:t xml:space="preserve"> Peake SL, Delaney A, Bailey M, et al: Goal-directed resuscitation for patients with early septic shock. N Engl J Med. 2014;371(16): 1496–1506</w:t>
      </w:r>
    </w:p>
  </w:endnote>
  <w:endnote w:id="36">
    <w:p w14:paraId="6FB5719C" w14:textId="77777777" w:rsidR="00587AE4" w:rsidRPr="00D60A69" w:rsidRDefault="00587AE4" w:rsidP="00801F84">
      <w:pPr>
        <w:pStyle w:val="Endnotentext"/>
        <w:rPr>
          <w:lang w:val="en-US"/>
        </w:rPr>
      </w:pPr>
      <w:r w:rsidRPr="00D60A69">
        <w:endnoteRef/>
      </w:r>
      <w:r w:rsidRPr="00D60A69">
        <w:rPr>
          <w:lang w:val="en-US"/>
        </w:rPr>
        <w:t xml:space="preserve"> Yealy DM, Kellum JA, Huang DT, et al: A randomized trial of protocol-based care for early septic shock. N Engl J Med. 2014;370(18): 1683–1693</w:t>
      </w:r>
    </w:p>
  </w:endnote>
  <w:endnote w:id="37">
    <w:p w14:paraId="1ED462A3" w14:textId="77777777" w:rsidR="00587AE4" w:rsidRPr="00D60A69" w:rsidRDefault="00587AE4" w:rsidP="00801F84">
      <w:pPr>
        <w:pStyle w:val="Endnotentext"/>
        <w:rPr>
          <w:lang w:val="en-US"/>
        </w:rPr>
      </w:pPr>
      <w:r w:rsidRPr="00D60A69">
        <w:endnoteRef/>
      </w:r>
      <w:r w:rsidRPr="00D60A69">
        <w:rPr>
          <w:lang w:val="en-US"/>
        </w:rPr>
        <w:t xml:space="preserve"> Mouncey PR, Osborn TM, Power GS, et al; ProMISe Trial Investiga tors: Trial of early, goal-directed resuscitation for septic shock. N Engl J Med 2015; 372:1301–1311</w:t>
      </w:r>
    </w:p>
  </w:endnote>
  <w:endnote w:id="38">
    <w:p w14:paraId="54D8CF85" w14:textId="34A923B2" w:rsidR="00587AE4" w:rsidRPr="00D60A69" w:rsidRDefault="00587AE4" w:rsidP="00801F84">
      <w:pPr>
        <w:pStyle w:val="Endnotentext"/>
        <w:rPr>
          <w:lang w:val="en-US"/>
        </w:rPr>
      </w:pPr>
      <w:r w:rsidRPr="00D60A69">
        <w:endnoteRef/>
      </w:r>
      <w:r w:rsidRPr="00D60A69">
        <w:rPr>
          <w:lang w:val="en-US"/>
        </w:rPr>
        <w:t xml:space="preserve"> Levy MM, Dellinger RP, Townsend </w:t>
      </w:r>
      <w:r w:rsidR="000F0DC9" w:rsidRPr="00D60A69">
        <w:rPr>
          <w:lang w:val="en-US"/>
        </w:rPr>
        <w:t>SR, et al; Surviving Sepsis Cam</w:t>
      </w:r>
      <w:r w:rsidRPr="00D60A69">
        <w:rPr>
          <w:lang w:val="en-US"/>
        </w:rPr>
        <w:t xml:space="preserve">paign: The Surviving Sepsis Campaign: results of an international guideline-based performance improvement program targeting severe sepsis. Crit Care Med 2010; 38:367–374 </w:t>
      </w:r>
    </w:p>
  </w:endnote>
  <w:endnote w:id="39">
    <w:p w14:paraId="1C9E0606" w14:textId="77777777" w:rsidR="00587AE4" w:rsidRPr="00D60A69" w:rsidRDefault="00587AE4" w:rsidP="00801F84">
      <w:pPr>
        <w:pStyle w:val="Endnotentext"/>
        <w:rPr>
          <w:lang w:val="en-US"/>
        </w:rPr>
      </w:pPr>
      <w:r w:rsidRPr="00D60A69">
        <w:endnoteRef/>
      </w:r>
      <w:r w:rsidRPr="00D60A69">
        <w:rPr>
          <w:lang w:val="en-US"/>
        </w:rPr>
        <w:t xml:space="preserve"> Levy MM, Rhodes A, Phillips GS, et al: Surviving Sepsis Campaign: association between performance metrics and outcomes in a 7.5-year study. Crit Care Med 2015; 43:3–12</w:t>
      </w:r>
    </w:p>
  </w:endnote>
  <w:endnote w:id="40">
    <w:p w14:paraId="077B2E9B"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Andrews B, Semler MW, Muchemwa L, Kelly P, Lakhi S, Heimburger DC, et al.: Effect of an Early Resuscitation Protocol on In-hospital Mortality Among Adults With Sepsis and Hypotension. JAMA 2017, 318: 1233.</w:t>
      </w:r>
    </w:p>
  </w:endnote>
  <w:endnote w:id="41">
    <w:p w14:paraId="1BB79241"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Leisman DE, Doerfler ME, Ward MF, et al: Survival benefit and cost savings from compliance with a simplified 3-Hour Sepsis Bundle in a Series of prospective, multisite, observational cohors. Crit Care Med 2017; 45:395-406</w:t>
      </w:r>
    </w:p>
  </w:endnote>
  <w:endnote w:id="42">
    <w:p w14:paraId="6C7285F4"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Seymour CW, Gesten F, Prescott HC, et al: Time to treatment and mortality during mandated emergency care for sepsis. N Engl J Med 2017; 376: 2235-44</w:t>
      </w:r>
    </w:p>
  </w:endnote>
  <w:endnote w:id="43">
    <w:p w14:paraId="0089C047"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Leisman DE, Goldman C, Doerfler ME, et al. Patterns and Outcomes Associated With Timeliness of Initial Crystalloid Resuscitation in a Prospective Sepsis and Septic Shock Cohort. Crit Care Med 2017; 45:1596–1606</w:t>
      </w:r>
    </w:p>
  </w:endnote>
  <w:endnote w:id="44">
    <w:p w14:paraId="336DB49B" w14:textId="77777777" w:rsidR="00587AE4" w:rsidRPr="00D60A69" w:rsidRDefault="00587AE4" w:rsidP="00801F84">
      <w:pPr>
        <w:pStyle w:val="Endnotentext"/>
      </w:pPr>
      <w:r w:rsidRPr="00D60A69">
        <w:endnoteRef/>
      </w:r>
      <w:r w:rsidRPr="00D60A69">
        <w:rPr>
          <w:lang w:val="en-US"/>
        </w:rPr>
        <w:t xml:space="preserve"> Boulain T, Garot D, Vignon P, Lascarrou JB, Desachy A, Botoc V, Follin A, Frat JP, Bellec F, Quenot JP, Mathonnet A, Dequin PF and for the Clinical Research in Intensive Care and Sepsis (CRICS) Group: Prevalence of low central venous oxygensat uration in the first hours of intensive care unit admission and associated mortality in septic shock patients: a prospective multicentre study. </w:t>
      </w:r>
      <w:r w:rsidRPr="00D60A69">
        <w:t>Crit Care 2014: 18, 609</w:t>
      </w:r>
    </w:p>
  </w:endnote>
  <w:endnote w:id="45">
    <w:p w14:paraId="12B662F2" w14:textId="77777777" w:rsidR="00587AE4" w:rsidRPr="00D60A69" w:rsidRDefault="00587AE4" w:rsidP="00801F84">
      <w:pPr>
        <w:pStyle w:val="Endnotentext"/>
      </w:pPr>
      <w:r w:rsidRPr="00D60A69">
        <w:endnoteRef/>
      </w:r>
      <w:r w:rsidRPr="00D60A69">
        <w:t xml:space="preserve"> DGAI- Deutsche Gesellschaft für Anästhesiologie und Intensivmedizin: S3-Leitlinie Intravasale Volumentherapie beim Erwachsenen; Herausgeber: Stand 31.07.2014: </w:t>
      </w:r>
      <w:r w:rsidRPr="00D60A69">
        <w:rPr>
          <w:rStyle w:val="Hyperlink0"/>
          <w:rFonts w:ascii="Cambria" w:eastAsia="Calibri" w:hAnsi="Cambria" w:cs="Calibri"/>
          <w:color w:val="000000"/>
          <w:sz w:val="16"/>
          <w:szCs w:val="16"/>
          <w:u w:val="none" w:color="000000"/>
        </w:rPr>
        <w:t>https://www.awmf.org/uploads/tx_szleitlinien/001-020l_S3_Intravasale_Volumentherapie_Erwachsenen_2014-09-abgelaufen.pdf</w:t>
      </w:r>
      <w:r w:rsidRPr="00D60A69">
        <w:t xml:space="preserve"> (letzter Zugriff: 16.01.2019)</w:t>
      </w:r>
    </w:p>
  </w:endnote>
  <w:endnote w:id="46">
    <w:p w14:paraId="79FEA013" w14:textId="77777777" w:rsidR="00587AE4" w:rsidRPr="00D60A69" w:rsidRDefault="00587AE4" w:rsidP="00801F84">
      <w:pPr>
        <w:pStyle w:val="Endnotentext"/>
        <w:rPr>
          <w:lang w:val="en-US"/>
        </w:rPr>
      </w:pPr>
      <w:r w:rsidRPr="00D60A69">
        <w:endnoteRef/>
      </w:r>
      <w:r w:rsidRPr="00D60A69">
        <w:rPr>
          <w:lang w:val="en-US"/>
        </w:rPr>
        <w:t xml:space="preserve"> Cecconi M, De Backer D, Antonelli M, et al: Consensus on circu</w:t>
      </w:r>
      <w:r w:rsidRPr="00D60A69">
        <w:rPr>
          <w:lang w:val="en-US"/>
        </w:rPr>
        <w:softHyphen/>
        <w:t>latory shock and hemodynamic monitoring. Task force of the European Society of Intensive Care Medicine. Intensive Care Med 2014; 40:1795–1815</w:t>
      </w:r>
    </w:p>
  </w:endnote>
  <w:endnote w:id="47">
    <w:p w14:paraId="384FE1A7" w14:textId="77777777" w:rsidR="00587AE4" w:rsidRPr="00D60A69" w:rsidRDefault="00587AE4" w:rsidP="00801F84">
      <w:pPr>
        <w:pStyle w:val="Endnotentext"/>
        <w:rPr>
          <w:lang w:val="en-US"/>
        </w:rPr>
      </w:pPr>
      <w:r w:rsidRPr="00D60A69">
        <w:endnoteRef/>
      </w:r>
      <w:r w:rsidRPr="00D60A69">
        <w:rPr>
          <w:lang w:val="en-US"/>
        </w:rPr>
        <w:t xml:space="preserve"> American College of Cardiology Foundation Appropriate Use Criteria Task Force, </w:t>
      </w:r>
      <w:r w:rsidRPr="00D60A69">
        <w:rPr>
          <w:lang w:val="en-US"/>
        </w:rPr>
        <w:br/>
        <w:t xml:space="preserve">ACCF/ASE/AHA/ASNC/HFSA/HRS/SCAI/SCCM/SCCT/SCMR 2011 Appropriate Use Criteria for Echocardiography. A Report of the American College of Cardiology Foundation Appropriate Use Criteria Task Force, American Society of Echocardiography, American Heart Association, American Society of Nuclear Cardiology, Heart Failure Society of America, Heart Rhythm Society, Society for Cardiovascular Angiography and Interventions, Society of Critical Care Medicine, Society of Cardiovascular Computed Tomography, and Society for Cardiovascular Magnetic Resonance Endorsed by the American College of Chest Physicians. J Am Coll Cardiol, 2011: 57, 1126-1166 </w:t>
      </w:r>
    </w:p>
  </w:endnote>
  <w:endnote w:id="48">
    <w:p w14:paraId="259B5A0A" w14:textId="77777777" w:rsidR="00587AE4" w:rsidRPr="00D60A69" w:rsidRDefault="00587AE4" w:rsidP="00801F84">
      <w:pPr>
        <w:pStyle w:val="Endnotentext"/>
        <w:rPr>
          <w:lang w:val="en-US"/>
        </w:rPr>
      </w:pPr>
      <w:r w:rsidRPr="00D60A69">
        <w:endnoteRef/>
      </w:r>
      <w:r w:rsidRPr="00D60A69">
        <w:rPr>
          <w:lang w:val="en-US"/>
        </w:rPr>
        <w:t xml:space="preserve"> Eskesen TG, Wetterslev M, Perner A: Systematic review including re-analyses of 1148 individual data sets of central venous pressure as a predictor of fluid responsiveness. Intensive Care Med 2016; 42:324–332</w:t>
      </w:r>
    </w:p>
  </w:endnote>
  <w:endnote w:id="49">
    <w:p w14:paraId="53D9F598" w14:textId="77777777" w:rsidR="00587AE4" w:rsidRPr="00D60A69" w:rsidRDefault="00587AE4" w:rsidP="00801F84">
      <w:pPr>
        <w:pStyle w:val="Endnotentext"/>
        <w:rPr>
          <w:lang w:val="en-US"/>
        </w:rPr>
      </w:pPr>
      <w:r w:rsidRPr="00D60A69">
        <w:endnoteRef/>
      </w:r>
      <w:r w:rsidRPr="00D60A69">
        <w:rPr>
          <w:lang w:val="en-US"/>
        </w:rPr>
        <w:t xml:space="preserve"> Monnet X, Marik P, Teboul JL: Passive leg raising for predicting fluid responsiveness: a systematic review and meta-analysis. Intensive Care Med 2016; 42:1935–1947</w:t>
      </w:r>
    </w:p>
  </w:endnote>
  <w:endnote w:id="50">
    <w:p w14:paraId="301581D5" w14:textId="77777777" w:rsidR="00587AE4" w:rsidRPr="00D60A69" w:rsidRDefault="00587AE4" w:rsidP="00801F84">
      <w:pPr>
        <w:pStyle w:val="Endnotentext"/>
        <w:rPr>
          <w:lang w:val="en-US"/>
        </w:rPr>
      </w:pPr>
      <w:r w:rsidRPr="00D60A69">
        <w:endnoteRef/>
      </w:r>
      <w:r w:rsidRPr="00D60A69">
        <w:rPr>
          <w:lang w:val="en-US"/>
        </w:rPr>
        <w:t xml:space="preserve"> Cecconi M, Hofer C, Teboul JL, et al; FENICE Investigators; ESICM Trial Group: Fluid challenges in intensive care: the FENICE study: A global inception cohort study. Intensive Care Med 2015; 41: 1529–1537</w:t>
      </w:r>
    </w:p>
  </w:endnote>
  <w:endnote w:id="51">
    <w:p w14:paraId="4422939B" w14:textId="646D9311"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S3-LL Intravasale Volumentherapie AWMF 2014</w:t>
      </w:r>
      <w:r w:rsidR="007D0AD3" w:rsidRPr="00D60A69">
        <w:rPr>
          <w:lang w:val="en-US"/>
        </w:rPr>
        <w:t>; https://www.awmf.org/leitlinien/detail/ll/001-020.html</w:t>
      </w:r>
    </w:p>
  </w:endnote>
  <w:endnote w:id="52">
    <w:p w14:paraId="7D85893B" w14:textId="77777777" w:rsidR="00587AE4" w:rsidRPr="00D60A69" w:rsidRDefault="00587AE4" w:rsidP="00801F84">
      <w:pPr>
        <w:pStyle w:val="Endnotentext"/>
        <w:rPr>
          <w:lang w:val="en-US"/>
        </w:rPr>
      </w:pPr>
      <w:r w:rsidRPr="00D60A69">
        <w:endnoteRef/>
      </w:r>
      <w:r w:rsidRPr="00D60A69">
        <w:rPr>
          <w:lang w:val="en-US"/>
        </w:rPr>
        <w:t xml:space="preserve"> Kelm DJ, Perrin JT, Cartin-Ceba R, Gajic O, Schenck L, and Kenned CC: Fluid Overload in Patients With Severe Sepsis and Septic Shock Treated With Early Goal-Directed Therapy Is Associated With Increased Acute Need for Fluid-Related Medical Interventions and Hospital Death. Shock 2015: 43, 68-73</w:t>
      </w:r>
    </w:p>
  </w:endnote>
  <w:endnote w:id="53">
    <w:p w14:paraId="06EE9A2B" w14:textId="77777777" w:rsidR="00587AE4" w:rsidRPr="00D60A69" w:rsidRDefault="00587AE4" w:rsidP="00801F84">
      <w:pPr>
        <w:pStyle w:val="Endnotentext"/>
        <w:rPr>
          <w:lang w:val="en-US"/>
        </w:rPr>
      </w:pPr>
      <w:r w:rsidRPr="00D60A69">
        <w:endnoteRef/>
      </w:r>
      <w:r w:rsidRPr="00D60A69">
        <w:rPr>
          <w:lang w:val="en-US"/>
        </w:rPr>
        <w:t xml:space="preserve"> Boyd JH, Forbes, J  Nakada T, Walley KR, and Russell JA: Fluid resuscitation in septic shock: A positive fluid balance and elevated central venous pressure are associated with increased mortality. Crit Care Med 2011:39, 259-265</w:t>
      </w:r>
    </w:p>
  </w:endnote>
  <w:endnote w:id="54">
    <w:p w14:paraId="0A9D0F4F" w14:textId="6A170E5A" w:rsidR="00587AE4" w:rsidRPr="00D60A69" w:rsidRDefault="00587AE4" w:rsidP="00801F84">
      <w:pPr>
        <w:pStyle w:val="Endnotentext"/>
        <w:rPr>
          <w:lang w:val="en-US"/>
        </w:rPr>
      </w:pPr>
      <w:r w:rsidRPr="00D60A69">
        <w:endnoteRef/>
      </w:r>
      <w:r w:rsidR="00EF1A9E">
        <w:rPr>
          <w:lang w:val="en-US"/>
        </w:rPr>
        <w:t xml:space="preserve"> </w:t>
      </w:r>
      <w:r w:rsidRPr="00D60A69">
        <w:rPr>
          <w:lang w:val="en-US"/>
        </w:rPr>
        <w:t>Acheampong A and Vincent JL: A positive fluid balance is an independent prognostic factor in patients with sepsis. Crit Care 2015: 16, 251</w:t>
      </w:r>
    </w:p>
  </w:endnote>
  <w:endnote w:id="55">
    <w:p w14:paraId="4660F934" w14:textId="77777777" w:rsidR="00587AE4" w:rsidRPr="00D60A69" w:rsidRDefault="00587AE4" w:rsidP="00801F84">
      <w:pPr>
        <w:pStyle w:val="Endnotentext"/>
      </w:pPr>
      <w:r w:rsidRPr="00D60A69">
        <w:endnoteRef/>
      </w:r>
      <w:r w:rsidRPr="00D60A69">
        <w:rPr>
          <w:lang w:val="en-US"/>
        </w:rPr>
        <w:t xml:space="preserve"> Hjortrup PB, Haase N, Bundgaard H, Thomsen SL, Winding R, Pettilä V et al.: Restricting volumes of resuscitation fluid in adults with septic shock after initial management: the CLASSIC randomised, parallel-group, multicentre feasibility trial. </w:t>
      </w:r>
      <w:r w:rsidRPr="00D60A69">
        <w:t xml:space="preserve">Intensive Care Med. Springer Berlin Heidelberg; 2016, 42: 1695–1705. </w:t>
      </w:r>
    </w:p>
  </w:endnote>
  <w:endnote w:id="56">
    <w:p w14:paraId="11451FE0" w14:textId="7F6BA6C1" w:rsidR="00587AE4" w:rsidRDefault="00587AE4" w:rsidP="00801F84">
      <w:pPr>
        <w:pStyle w:val="Endnotentext"/>
        <w:rPr>
          <w:lang w:val="en-US"/>
        </w:rPr>
      </w:pPr>
      <w:r w:rsidRPr="00D60A69">
        <w:endnoteRef/>
      </w:r>
      <w:r w:rsidRPr="00D60A69">
        <w:rPr>
          <w:lang w:val="en-US"/>
        </w:rPr>
        <w:t xml:space="preserve"> Hjortrup PB , Haas N, Wetterslev J, Lange T, Bundgaard H, Rasmussen BS, Dey N, Wilkman E, Christensen9, Lodahl D , Bestle M and Perner A: Effects of fluid restriction on measures of circulatory efficacy in adults with septic shock. Acta Anaesthesiol Scand 2017: 61, 390-398 </w:t>
      </w:r>
    </w:p>
    <w:p w14:paraId="5FE928C8" w14:textId="171FF3E5" w:rsidR="00EF1A9E" w:rsidRDefault="00EF1A9E" w:rsidP="00801F84">
      <w:pPr>
        <w:pStyle w:val="Endnotentext"/>
        <w:rPr>
          <w:lang w:val="en-US"/>
        </w:rPr>
      </w:pPr>
    </w:p>
    <w:p w14:paraId="3FDC508A" w14:textId="77777777" w:rsidR="00EF1A9E" w:rsidRPr="00D60A69" w:rsidRDefault="00EF1A9E" w:rsidP="00801F84">
      <w:pPr>
        <w:pStyle w:val="Endnotentext"/>
        <w:rPr>
          <w:lang w:val="en-US"/>
        </w:rPr>
      </w:pPr>
    </w:p>
  </w:endnote>
  <w:endnote w:id="57">
    <w:p w14:paraId="23E4A201" w14:textId="77777777" w:rsidR="00587AE4" w:rsidRPr="00D60A69" w:rsidRDefault="00587AE4" w:rsidP="00801F84">
      <w:pPr>
        <w:pStyle w:val="Endnotentext"/>
        <w:rPr>
          <w:lang w:val="en-US"/>
        </w:rPr>
      </w:pPr>
      <w:r w:rsidRPr="00D60A69">
        <w:endnoteRef/>
      </w:r>
      <w:r w:rsidRPr="00D60A69">
        <w:rPr>
          <w:lang w:val="en-US"/>
        </w:rPr>
        <w:t xml:space="preserve"> LeDoux D, Astiz ME, Carpati CM, et al: Effects of perfusion pres sure on tissue perfusion in septic shock. Crit Care Med 2000; 28: 2729–2732</w:t>
      </w:r>
    </w:p>
  </w:endnote>
  <w:endnote w:id="58">
    <w:p w14:paraId="1527BABC" w14:textId="77777777" w:rsidR="00587AE4" w:rsidRPr="00D60A69" w:rsidRDefault="00587AE4" w:rsidP="00801F84">
      <w:pPr>
        <w:pStyle w:val="Endnotentext"/>
        <w:rPr>
          <w:lang w:val="en-US"/>
        </w:rPr>
      </w:pPr>
      <w:r w:rsidRPr="00D60A69">
        <w:endnoteRef/>
      </w:r>
      <w:r w:rsidRPr="00D60A69">
        <w:rPr>
          <w:lang w:val="en-US"/>
        </w:rPr>
        <w:t xml:space="preserve"> Bourgoin A, Leone M, Delmas A, et al: Increasing mean arterial pres sure in patients with septic shock: effects on oxygen variables and renal function. Crit Care Med 2005; 33:780–786</w:t>
      </w:r>
    </w:p>
  </w:endnote>
  <w:endnote w:id="59">
    <w:p w14:paraId="303384E1" w14:textId="77777777" w:rsidR="00587AE4" w:rsidRPr="00D60A69" w:rsidRDefault="00587AE4" w:rsidP="00801F84">
      <w:pPr>
        <w:pStyle w:val="Endnotentext"/>
        <w:rPr>
          <w:lang w:val="en-US"/>
        </w:rPr>
      </w:pPr>
      <w:r w:rsidRPr="00D60A69">
        <w:endnoteRef/>
      </w:r>
      <w:r w:rsidRPr="00D60A69">
        <w:rPr>
          <w:lang w:val="en-US"/>
        </w:rPr>
        <w:t xml:space="preserve"> Thooft A, Favory R, Salgado DR, et al: Effects of changes in arterial pressure on organ perfusion during septic shock. Crit Care 2011; 15:R222</w:t>
      </w:r>
    </w:p>
  </w:endnote>
  <w:endnote w:id="60">
    <w:p w14:paraId="437D89A0" w14:textId="77777777" w:rsidR="00587AE4" w:rsidRPr="00D60A69" w:rsidRDefault="00587AE4" w:rsidP="00801F84">
      <w:pPr>
        <w:pStyle w:val="Endnotentext"/>
        <w:rPr>
          <w:lang w:val="en-US"/>
        </w:rPr>
      </w:pPr>
      <w:r w:rsidRPr="00D60A69">
        <w:endnoteRef/>
      </w:r>
      <w:r w:rsidRPr="00D60A69">
        <w:rPr>
          <w:lang w:val="en-US"/>
        </w:rPr>
        <w:t xml:space="preserve"> Asfar P, Meziani F, Hamel JF, et al; SEPSISPAM Investigators: High versus low blood-pressure target in patients with septic shock. N Engl J Med 2014; 370:1583–1593</w:t>
      </w:r>
    </w:p>
  </w:endnote>
  <w:endnote w:id="61">
    <w:p w14:paraId="42158974" w14:textId="77777777" w:rsidR="00587AE4" w:rsidRPr="00D60A69" w:rsidRDefault="00587AE4" w:rsidP="00801F84">
      <w:pPr>
        <w:pStyle w:val="Endnotentext"/>
        <w:rPr>
          <w:lang w:val="en-US"/>
        </w:rPr>
      </w:pPr>
      <w:r w:rsidRPr="00D60A69">
        <w:endnoteRef/>
      </w:r>
      <w:r w:rsidRPr="00D60A69">
        <w:rPr>
          <w:lang w:val="en-US"/>
        </w:rPr>
        <w:t xml:space="preserve"> Lamontagne F, Meade MO, Höbert PC, et al; Canadian Critical Care Trials Group: Higher versus lower blood pressure targets for vaso pressor therapy in shock: a multicentre pilot randomized controlled trial. Intensive Care Med 2016; 42:542–550</w:t>
      </w:r>
    </w:p>
  </w:endnote>
  <w:endnote w:id="62">
    <w:p w14:paraId="7CFA5673" w14:textId="77777777" w:rsidR="00587AE4" w:rsidRPr="00D60A69" w:rsidRDefault="00587AE4" w:rsidP="00801F84">
      <w:pPr>
        <w:pStyle w:val="Endnotentext"/>
        <w:rPr>
          <w:lang w:val="en-US"/>
        </w:rPr>
      </w:pPr>
      <w:r w:rsidRPr="00D60A69">
        <w:endnoteRef/>
      </w:r>
      <w:r w:rsidRPr="00D60A69">
        <w:rPr>
          <w:lang w:val="en-US"/>
        </w:rPr>
        <w:t xml:space="preserve"> Levy B: Lactate and shock state: the metabolic view. Curr Opin Crit Care 2006; 12:315–321</w:t>
      </w:r>
    </w:p>
  </w:endnote>
  <w:endnote w:id="63">
    <w:p w14:paraId="2AD36C0B" w14:textId="77777777" w:rsidR="00587AE4" w:rsidRPr="00D60A69" w:rsidRDefault="00587AE4" w:rsidP="00801F84">
      <w:pPr>
        <w:pStyle w:val="Endnotentext"/>
        <w:rPr>
          <w:lang w:val="en-US"/>
        </w:rPr>
      </w:pPr>
      <w:r w:rsidRPr="00D60A69">
        <w:endnoteRef/>
      </w:r>
      <w:r w:rsidRPr="00D60A69">
        <w:rPr>
          <w:lang w:val="en-US"/>
        </w:rPr>
        <w:t xml:space="preserve"> Casserly B, Phillips GS, Schorr C, et al: Lactate measurements in sepsis-induced tissue hypoperfusion: results from the Surviving Sep sis Campaign database. Crit Care Med 2015; 43:567–573</w:t>
      </w:r>
    </w:p>
  </w:endnote>
  <w:endnote w:id="64">
    <w:p w14:paraId="0BE4BBFD" w14:textId="77777777" w:rsidR="00587AE4" w:rsidRPr="00D60A69" w:rsidRDefault="00587AE4" w:rsidP="00801F84">
      <w:pPr>
        <w:pStyle w:val="Endnotentext"/>
        <w:rPr>
          <w:lang w:val="en-US"/>
        </w:rPr>
      </w:pPr>
      <w:r w:rsidRPr="00D60A69">
        <w:endnoteRef/>
      </w:r>
      <w:r w:rsidRPr="00D60A69">
        <w:rPr>
          <w:lang w:val="en-US"/>
        </w:rPr>
        <w:t xml:space="preserve"> Jansen TC, van Bommel J, Schoonderbeek FJ, et al; LACTATE study group: Early lactate-guided therapy in intensive care unit patients: a multicenter, open-label, randomized controlled trial. Am J Respir Crit Care Med 2010; 182:752–761</w:t>
      </w:r>
    </w:p>
  </w:endnote>
  <w:endnote w:id="65">
    <w:p w14:paraId="610C9227" w14:textId="77777777" w:rsidR="00587AE4" w:rsidRPr="00D60A69" w:rsidRDefault="00587AE4" w:rsidP="00801F84">
      <w:pPr>
        <w:pStyle w:val="Endnotentext"/>
        <w:rPr>
          <w:lang w:val="en-US"/>
        </w:rPr>
      </w:pPr>
      <w:r w:rsidRPr="00D60A69">
        <w:endnoteRef/>
      </w:r>
      <w:r w:rsidRPr="00D60A69">
        <w:rPr>
          <w:lang w:val="en-US"/>
        </w:rPr>
        <w:t xml:space="preserve"> Jones AE, Shapiro NI, Trzeciak S, et al; Emergency Medicine Shock Research Network (EMShockNet) Investigators: Lactate Clearance vs central venous oxygen saturation as goals of early sepsis therapy: a randomized clinical trial. JAMA 2010; 303:739–746</w:t>
      </w:r>
    </w:p>
  </w:endnote>
  <w:endnote w:id="66">
    <w:p w14:paraId="3A4FD9AE" w14:textId="77777777" w:rsidR="00587AE4" w:rsidRPr="00D60A69" w:rsidRDefault="00587AE4" w:rsidP="00801F84">
      <w:pPr>
        <w:pStyle w:val="Endnotentext"/>
        <w:rPr>
          <w:lang w:val="en-US"/>
        </w:rPr>
      </w:pPr>
      <w:r w:rsidRPr="00D60A69">
        <w:endnoteRef/>
      </w:r>
      <w:r w:rsidRPr="00D60A69">
        <w:rPr>
          <w:lang w:val="en-US"/>
        </w:rPr>
        <w:t xml:space="preserve"> Lyu X, Xu Q, Cai G, et al: [Efficacies of fluid resuscitation as guided by lactate Clearance rate and central venous oxygen saturation in patients with septic shock]. Zhonghua Yi Xue Za Zhi 2015; 95:496– 500</w:t>
      </w:r>
    </w:p>
  </w:endnote>
  <w:endnote w:id="67">
    <w:p w14:paraId="245EB730" w14:textId="77777777" w:rsidR="00587AE4" w:rsidRPr="00D60A69" w:rsidRDefault="00587AE4" w:rsidP="00801F84">
      <w:pPr>
        <w:pStyle w:val="Endnotentext"/>
        <w:rPr>
          <w:lang w:val="en-US"/>
        </w:rPr>
      </w:pPr>
      <w:r w:rsidRPr="00D60A69">
        <w:endnoteRef/>
      </w:r>
      <w:r w:rsidRPr="00D60A69">
        <w:rPr>
          <w:lang w:val="en-US"/>
        </w:rPr>
        <w:t xml:space="preserve"> Tian HH, Han SS, Lv CJ, et al: [The effect of early goal lactate clear ance rate on the outcome of septic shock patients with severe pneumonia]. Zhongguo Wei Zhong Bing Ji Jiu Yi Xue 2012; 24:42–45</w:t>
      </w:r>
    </w:p>
  </w:endnote>
  <w:endnote w:id="68">
    <w:p w14:paraId="60A67125" w14:textId="77777777" w:rsidR="00587AE4" w:rsidRPr="00D60A69" w:rsidRDefault="00587AE4" w:rsidP="00801F84">
      <w:pPr>
        <w:pStyle w:val="Endnotentext"/>
        <w:rPr>
          <w:lang w:val="en-US"/>
        </w:rPr>
      </w:pPr>
      <w:r w:rsidRPr="00D60A69">
        <w:endnoteRef/>
      </w:r>
      <w:r w:rsidRPr="00D60A69">
        <w:rPr>
          <w:lang w:val="en-US"/>
        </w:rPr>
        <w:t xml:space="preserve"> Yu B, Tian HY, Hu ZJ, et al: [Comparison of the effect of fluid resusci tation as guided either by lactate Clearance rate or by central venous oxygen saturation in patients with sepsis]. Zhonghua Wei Zhong Bing Ji Jiu Yi Xue 2013; 25:578–583</w:t>
      </w:r>
    </w:p>
  </w:endnote>
  <w:endnote w:id="69">
    <w:p w14:paraId="6C4F87EF" w14:textId="77777777" w:rsidR="00587AE4" w:rsidRPr="00D60A69" w:rsidRDefault="00587AE4" w:rsidP="00801F84">
      <w:pPr>
        <w:pStyle w:val="Endnotentext"/>
        <w:rPr>
          <w:lang w:val="en-US"/>
        </w:rPr>
      </w:pPr>
      <w:r w:rsidRPr="00D60A69">
        <w:endnoteRef/>
      </w:r>
      <w:r w:rsidRPr="00D60A69">
        <w:rPr>
          <w:lang w:val="en-US"/>
        </w:rPr>
        <w:t xml:space="preserve"> Gu WJ, Zhang Z, Bakker J: Early lactate Clearance-guided therapy in patients with sepsis: a meta-analysis with trial sequential analysis of randomized controlled trials. Intensive Care Med 2015; 41:1862– 1863</w:t>
      </w:r>
    </w:p>
  </w:endnote>
  <w:endnote w:id="70">
    <w:p w14:paraId="421EC074" w14:textId="77777777" w:rsidR="00587AE4" w:rsidRPr="00D60A69" w:rsidRDefault="00587AE4" w:rsidP="00801F84">
      <w:pPr>
        <w:pStyle w:val="Endnotentext"/>
        <w:rPr>
          <w:lang w:val="en-US"/>
        </w:rPr>
      </w:pPr>
      <w:r w:rsidRPr="00D60A69">
        <w:endnoteRef/>
      </w:r>
      <w:r w:rsidRPr="00D60A69">
        <w:rPr>
          <w:lang w:val="en-US"/>
        </w:rPr>
        <w:t xml:space="preserve"> Simpson SQ, Gaines M, Hussein Y, et al: Early goal-directed therapy for severe sepsis and septic shock: A living systematic review. J Crit Care 2016; 36:43–48</w:t>
      </w:r>
    </w:p>
  </w:endnote>
  <w:endnote w:id="71">
    <w:p w14:paraId="30C9F9E2" w14:textId="77777777" w:rsidR="00587AE4" w:rsidRPr="00D60A69" w:rsidRDefault="00587AE4" w:rsidP="00801F84">
      <w:pPr>
        <w:pStyle w:val="Endnotentext"/>
        <w:rPr>
          <w:lang w:val="en-US"/>
        </w:rPr>
      </w:pPr>
      <w:r w:rsidRPr="00D60A69">
        <w:endnoteRef/>
      </w:r>
      <w:r w:rsidRPr="00D60A69">
        <w:rPr>
          <w:lang w:val="en-US"/>
        </w:rPr>
        <w:t xml:space="preserve"> Dellinger RP: Foreword. The Future of Sepsis Performance Improve ment. Crit Care Med 2015; 43:1787–1789</w:t>
      </w:r>
    </w:p>
  </w:endnote>
  <w:endnote w:id="72">
    <w:p w14:paraId="4F84217A" w14:textId="77777777" w:rsidR="00587AE4" w:rsidRPr="00D60A69" w:rsidRDefault="00587AE4" w:rsidP="00801F84">
      <w:pPr>
        <w:pStyle w:val="Endnotentext"/>
        <w:rPr>
          <w:lang w:val="en-US"/>
        </w:rPr>
      </w:pPr>
      <w:r w:rsidRPr="00D60A69">
        <w:endnoteRef/>
      </w:r>
      <w:r w:rsidRPr="00D60A69">
        <w:rPr>
          <w:lang w:val="en-US"/>
        </w:rPr>
        <w:t xml:space="preserve"> Murphy DJ, Ogbu OC, Coopersmith CM: ICU director data: using data to assess value, inform local change, and relate to the external world. Chest 2015; 147:1168–1178</w:t>
      </w:r>
    </w:p>
  </w:endnote>
  <w:endnote w:id="73">
    <w:p w14:paraId="1B051F03" w14:textId="77777777" w:rsidR="00587AE4" w:rsidRPr="00D60A69" w:rsidRDefault="00587AE4" w:rsidP="00801F84">
      <w:pPr>
        <w:pStyle w:val="Endnotentext"/>
        <w:rPr>
          <w:lang w:val="en-US"/>
        </w:rPr>
      </w:pPr>
      <w:r w:rsidRPr="00D60A69">
        <w:endnoteRef/>
      </w:r>
      <w:r w:rsidRPr="00D60A69">
        <w:rPr>
          <w:lang w:val="en-US"/>
        </w:rPr>
        <w:t xml:space="preserve"> Black MD, Schorr C, Levy MM: Knowledge translation and the multi faceted intervention in the intensive care unit. Crit Care Med 2012; 40:1324–1328</w:t>
      </w:r>
    </w:p>
  </w:endnote>
  <w:endnote w:id="74">
    <w:p w14:paraId="2E8379D4" w14:textId="77777777" w:rsidR="00587AE4" w:rsidRPr="00D60A69" w:rsidRDefault="00587AE4" w:rsidP="00801F84">
      <w:pPr>
        <w:pStyle w:val="Endnotentext"/>
        <w:rPr>
          <w:lang w:val="en-US"/>
        </w:rPr>
      </w:pPr>
      <w:r w:rsidRPr="00D60A69">
        <w:endnoteRef/>
      </w:r>
      <w:r w:rsidRPr="00D60A69">
        <w:rPr>
          <w:lang w:val="en-US"/>
        </w:rPr>
        <w:t xml:space="preserve"> Gatewood MO, Wemple M, Greco S, et al: A quality improvement project to improve early sepsis care in the emergency department. BMJ Qual Saf 2015; 24:787–795</w:t>
      </w:r>
    </w:p>
  </w:endnote>
  <w:endnote w:id="75">
    <w:p w14:paraId="04E5754A" w14:textId="77777777" w:rsidR="00587AE4" w:rsidRPr="00D60A69" w:rsidRDefault="00587AE4" w:rsidP="00801F84">
      <w:pPr>
        <w:pStyle w:val="Endnotentext"/>
        <w:rPr>
          <w:lang w:val="en-US"/>
        </w:rPr>
      </w:pPr>
      <w:r w:rsidRPr="00D60A69">
        <w:endnoteRef/>
      </w:r>
      <w:r w:rsidRPr="00D60A69">
        <w:rPr>
          <w:lang w:val="en-US"/>
        </w:rPr>
        <w:t xml:space="preserve"> Hayden GE, Tuuri RE, Scott R, et al: Triage sepsis alert and sepsis protocol lower times to fluids and antibiotics in the ED. Am J Emerg Med. 2016;34(1):1–9</w:t>
      </w:r>
    </w:p>
  </w:endnote>
  <w:endnote w:id="76">
    <w:p w14:paraId="036A8F70" w14:textId="77777777" w:rsidR="00587AE4" w:rsidRPr="00D60A69" w:rsidRDefault="00587AE4" w:rsidP="00801F84">
      <w:pPr>
        <w:pStyle w:val="Endnotentext"/>
        <w:rPr>
          <w:lang w:val="en-US"/>
        </w:rPr>
      </w:pPr>
      <w:r w:rsidRPr="00D60A69">
        <w:endnoteRef/>
      </w:r>
      <w:r w:rsidRPr="00D60A69">
        <w:rPr>
          <w:lang w:val="en-US"/>
        </w:rPr>
        <w:t xml:space="preserve"> Jones SL, Ashton CM, Kiehne L, et al: Reductions in Sepsis Mortality and Costs After Design and Implementation of a Nurse-Based Early Recognition and Response Program. Jt Comm J Qual Patient Saf 2015; 41:483–491</w:t>
      </w:r>
    </w:p>
  </w:endnote>
  <w:endnote w:id="77">
    <w:p w14:paraId="2A0D643A" w14:textId="77777777" w:rsidR="00587AE4" w:rsidRPr="00D60A69" w:rsidRDefault="00587AE4" w:rsidP="00801F84">
      <w:pPr>
        <w:pStyle w:val="Endnotentext"/>
        <w:rPr>
          <w:lang w:val="en-US"/>
        </w:rPr>
      </w:pPr>
      <w:r w:rsidRPr="00D60A69">
        <w:endnoteRef/>
      </w:r>
      <w:r w:rsidRPr="00D60A69">
        <w:rPr>
          <w:lang w:val="en-US"/>
        </w:rPr>
        <w:t xml:space="preserve"> Damiani E, Donati A, Serafini G, et al: Effect of performance improve ment programs on compliance with sepsis bundles and mortality: a systematic review and meta-analysis of observational studies. PLoS One 2015; 10:e0125827</w:t>
      </w:r>
    </w:p>
  </w:endnote>
  <w:endnote w:id="78">
    <w:p w14:paraId="5D6179D1" w14:textId="77777777" w:rsidR="00587AE4" w:rsidRPr="00D60A69" w:rsidRDefault="00587AE4" w:rsidP="00801F84">
      <w:pPr>
        <w:pStyle w:val="Endnotentext"/>
        <w:rPr>
          <w:lang w:val="en-US"/>
        </w:rPr>
      </w:pPr>
      <w:r w:rsidRPr="00D60A69">
        <w:endnoteRef/>
      </w:r>
      <w:r w:rsidRPr="00D60A69">
        <w:rPr>
          <w:lang w:val="en-US"/>
        </w:rPr>
        <w:t xml:space="preserve"> Rhodes A, Phillips G, Beale R, et al: The Surviving Sepsis Campaign bundles and outcome: results from the International Multicentre Prev alence Study on Sepsis (the IMPreSS study). Intensive Care Med 2015; 41:1620–1628</w:t>
      </w:r>
    </w:p>
  </w:endnote>
  <w:endnote w:id="79">
    <w:p w14:paraId="5310425E" w14:textId="77777777" w:rsidR="00587AE4" w:rsidRPr="00D60A69" w:rsidRDefault="00587AE4" w:rsidP="00801F84">
      <w:pPr>
        <w:pStyle w:val="Endnotentext"/>
        <w:rPr>
          <w:lang w:val="en-US"/>
        </w:rPr>
      </w:pPr>
      <w:r w:rsidRPr="00D60A69">
        <w:endnoteRef/>
      </w:r>
      <w:r w:rsidRPr="00D60A69">
        <w:rPr>
          <w:lang w:val="en-US"/>
        </w:rPr>
        <w:t xml:space="preserve"> Zadroga R, Williams DN, Gottschall R, et al: Comparison of 2 blood culture media shows significant differences in bacterial recovery for patients on antimicrobial therapy. Clin Infect Dis 2013; 56:790–797</w:t>
      </w:r>
    </w:p>
  </w:endnote>
  <w:endnote w:id="80">
    <w:p w14:paraId="31CEFD2C" w14:textId="06EDD034" w:rsidR="00587AE4" w:rsidRPr="00D60A69" w:rsidRDefault="00587AE4" w:rsidP="00801F84">
      <w:pPr>
        <w:pStyle w:val="Endnotentext"/>
        <w:rPr>
          <w:lang w:val="en-US"/>
        </w:rPr>
      </w:pPr>
      <w:r w:rsidRPr="00D60A69">
        <w:endnoteRef/>
      </w:r>
      <w:r w:rsidRPr="00D60A69">
        <w:rPr>
          <w:lang w:val="en-US"/>
        </w:rPr>
        <w:t xml:space="preserve"> Kanegaye JT, Soliemanzadeh P, Brad</w:t>
      </w:r>
      <w:r w:rsidR="001A283B">
        <w:rPr>
          <w:lang w:val="en-US"/>
        </w:rPr>
        <w:t>ley JS: Lumbar puncture in pedi</w:t>
      </w:r>
      <w:r w:rsidRPr="00D60A69">
        <w:rPr>
          <w:lang w:val="en-US"/>
        </w:rPr>
        <w:t>atric bacterial meningitis: defining the time interval for recovery of cerebrospinal fluid pathogens after parenteral antibiotic pretreatment. Pediatrics 2001; 108:1169–1174</w:t>
      </w:r>
    </w:p>
  </w:endnote>
  <w:endnote w:id="81">
    <w:p w14:paraId="6CD33F79" w14:textId="77777777" w:rsidR="00587AE4" w:rsidRPr="00D60A69" w:rsidRDefault="00587AE4" w:rsidP="00801F84">
      <w:pPr>
        <w:pStyle w:val="Endnotentext"/>
        <w:rPr>
          <w:lang w:val="en-US"/>
        </w:rPr>
      </w:pPr>
      <w:r w:rsidRPr="00D60A69">
        <w:endnoteRef/>
      </w:r>
      <w:r w:rsidRPr="00D60A69">
        <w:rPr>
          <w:lang w:val="en-US"/>
        </w:rPr>
        <w:t xml:space="preserve"> Pollack LA, van Santen KL, Weiner LM, et al: Antibiotic Stewardship Programs in U.S. Acute Care Hospitals: Findings From the 2014 National Healthcare Safety Network Annual Hospital Survey. Clin Infect Dis 2016; 63:443–449</w:t>
      </w:r>
      <w:r w:rsidRPr="00D60A69" w:rsidDel="004B2425">
        <w:rPr>
          <w:lang w:val="en-US"/>
        </w:rPr>
        <w:t xml:space="preserve"> </w:t>
      </w:r>
    </w:p>
  </w:endnote>
  <w:endnote w:id="82">
    <w:p w14:paraId="7F36F186" w14:textId="77777777" w:rsidR="00587AE4" w:rsidRPr="00D60A69" w:rsidRDefault="00587AE4" w:rsidP="00801F84">
      <w:pPr>
        <w:pStyle w:val="Endnotentext"/>
        <w:rPr>
          <w:lang w:val="en-US"/>
        </w:rPr>
      </w:pPr>
      <w:r w:rsidRPr="00D60A69">
        <w:endnoteRef/>
      </w:r>
      <w:r w:rsidRPr="00D60A69">
        <w:rPr>
          <w:lang w:val="en-US"/>
        </w:rPr>
        <w:t xml:space="preserve"> Cardoso T, Carneiro AH, Ribeiro O, et al: Reducing mortality in severe sepsis with the implementation of a core 6-hour bundle: results from the Portuguese community-acquired sepsis study (SACiUCI study). Crit Care 2010; 14:R83</w:t>
      </w:r>
      <w:r w:rsidRPr="00D60A69" w:rsidDel="004B2425">
        <w:rPr>
          <w:lang w:val="en-US"/>
        </w:rPr>
        <w:t xml:space="preserve"> </w:t>
      </w:r>
    </w:p>
  </w:endnote>
  <w:endnote w:id="83">
    <w:p w14:paraId="79DCA985" w14:textId="77777777" w:rsidR="00587AE4" w:rsidRPr="00D60A69" w:rsidRDefault="00587AE4" w:rsidP="00801F84">
      <w:pPr>
        <w:pStyle w:val="Endnotentext"/>
        <w:rPr>
          <w:lang w:val="en-US"/>
        </w:rPr>
      </w:pPr>
      <w:r w:rsidRPr="00D60A69">
        <w:endnoteRef/>
      </w:r>
      <w:r w:rsidRPr="00D60A69">
        <w:rPr>
          <w:lang w:val="en-US"/>
        </w:rPr>
        <w:t xml:space="preserve"> De Sousa AG, Fernandes Junior CJ, Santos GPD, et al: The impact of each action in the Surviving Sepsis Campaign measures on hos</w:t>
      </w:r>
      <w:r w:rsidRPr="00D60A69">
        <w:rPr>
          <w:lang w:val="en-US"/>
        </w:rPr>
        <w:softHyphen/>
        <w:t>pital mortality of patients with severe sepsis/septic shock. Einstein. 2008;6(3):323–327</w:t>
      </w:r>
    </w:p>
  </w:endnote>
  <w:endnote w:id="84">
    <w:p w14:paraId="21605FA9" w14:textId="276D9D78" w:rsidR="00587AE4" w:rsidRPr="00D60A69" w:rsidRDefault="00587AE4" w:rsidP="00801F84">
      <w:pPr>
        <w:pStyle w:val="Endnotentext"/>
        <w:rPr>
          <w:lang w:val="en-US"/>
        </w:rPr>
      </w:pPr>
      <w:r w:rsidRPr="00D60A69">
        <w:endnoteRef/>
      </w:r>
      <w:r w:rsidRPr="00D60A69">
        <w:rPr>
          <w:lang w:val="en-US"/>
        </w:rPr>
        <w:t xml:space="preserve"> Garnacho-Montero J, Gutiörrez-Pizarraya A, Escoresca-Ortega A, et al: De-escalation of empirical therapy </w:t>
      </w:r>
      <w:r w:rsidR="001A283B">
        <w:rPr>
          <w:lang w:val="en-US"/>
        </w:rPr>
        <w:t>is associated with lower mortal</w:t>
      </w:r>
      <w:r w:rsidRPr="00D60A69">
        <w:rPr>
          <w:lang w:val="en-US"/>
        </w:rPr>
        <w:t>ity in patients with severe sepsis and septic shock. Intensive Care Med. 2013:1–9</w:t>
      </w:r>
    </w:p>
  </w:endnote>
  <w:endnote w:id="85">
    <w:p w14:paraId="0942921E" w14:textId="61942BF1" w:rsidR="00587AE4" w:rsidRPr="00D60A69" w:rsidRDefault="00587AE4" w:rsidP="00801F84">
      <w:pPr>
        <w:pStyle w:val="Endnotentext"/>
        <w:rPr>
          <w:lang w:val="en-US"/>
        </w:rPr>
      </w:pPr>
      <w:r w:rsidRPr="00D60A69">
        <w:endnoteRef/>
      </w:r>
      <w:r w:rsidRPr="00D60A69">
        <w:rPr>
          <w:lang w:val="en-US"/>
        </w:rPr>
        <w:t xml:space="preserve"> Weiss CH, Persell SD, Wunderink RG, et al: Empiric antibiotic, mechanical ventilation, and central ve</w:t>
      </w:r>
      <w:r w:rsidR="001A283B">
        <w:rPr>
          <w:lang w:val="en-US"/>
        </w:rPr>
        <w:t>nous catheter duration as poten</w:t>
      </w:r>
      <w:r w:rsidRPr="00D60A69">
        <w:rPr>
          <w:lang w:val="en-US"/>
        </w:rPr>
        <w:t>tial factors mediating the effect of a checklist prompting intervention on mortality: an exploratory analysis. BMC Health Serv Res 2012; 12:198</w:t>
      </w:r>
    </w:p>
  </w:endnote>
  <w:endnote w:id="86">
    <w:p w14:paraId="59EC3375" w14:textId="77777777" w:rsidR="00587AE4" w:rsidRPr="00D60A69" w:rsidRDefault="00587AE4" w:rsidP="00801F84">
      <w:pPr>
        <w:pStyle w:val="Endnotentext"/>
        <w:rPr>
          <w:lang w:val="en-US"/>
        </w:rPr>
      </w:pPr>
      <w:r w:rsidRPr="00D60A69">
        <w:endnoteRef/>
      </w:r>
      <w:r w:rsidRPr="00D60A69">
        <w:rPr>
          <w:lang w:val="en-US"/>
        </w:rPr>
        <w:t xml:space="preserve"> Ferrer R, Artigas A, Suarez D, et al; Edusepsis Study Group: Effectiveness of treatments for severe sepsis: a prospective, multi</w:t>
      </w:r>
      <w:r w:rsidRPr="00D60A69">
        <w:rPr>
          <w:lang w:val="en-US"/>
        </w:rPr>
        <w:softHyphen/>
        <w:t>center, observational study. Am J Respir Crit Care Med 2009; 180: 861–866</w:t>
      </w:r>
    </w:p>
  </w:endnote>
  <w:endnote w:id="87">
    <w:p w14:paraId="557EEFF0" w14:textId="77777777" w:rsidR="00587AE4" w:rsidRPr="00D60A69" w:rsidRDefault="00587AE4" w:rsidP="00801F84">
      <w:pPr>
        <w:pStyle w:val="Endnotentext"/>
        <w:rPr>
          <w:lang w:val="en-US"/>
        </w:rPr>
      </w:pPr>
      <w:r w:rsidRPr="00D60A69">
        <w:endnoteRef/>
      </w:r>
      <w:r w:rsidRPr="00D60A69">
        <w:rPr>
          <w:lang w:val="en-US"/>
        </w:rPr>
        <w:t xml:space="preserve"> Kumar A, Roberts D, Wood KE, et al: Duration of hypotension before initiation of effective antimicrobial therapy is the critical determinant of survival in human septic shock. Crit Care Med 2006; 34:1589–1596</w:t>
      </w:r>
    </w:p>
  </w:endnote>
  <w:endnote w:id="88">
    <w:p w14:paraId="01C79B44" w14:textId="77777777" w:rsidR="00587AE4" w:rsidRPr="00D60A69" w:rsidRDefault="00587AE4" w:rsidP="00801F84">
      <w:pPr>
        <w:pStyle w:val="Endnotentext"/>
        <w:rPr>
          <w:lang w:val="en-US"/>
        </w:rPr>
      </w:pPr>
      <w:r w:rsidRPr="00D60A69">
        <w:endnoteRef/>
      </w:r>
      <w:r w:rsidRPr="00D60A69">
        <w:rPr>
          <w:lang w:val="en-US"/>
        </w:rPr>
        <w:t xml:space="preserve"> Vaughn VM, Chopra V: Revisiting the panculture. BMJ Qual Saf. 2016 Feb 19. doi:10.1136/bmjqs-2015–004821 </w:t>
      </w:r>
    </w:p>
  </w:endnote>
  <w:endnote w:id="89">
    <w:p w14:paraId="619C2158" w14:textId="77777777" w:rsidR="00587AE4" w:rsidRPr="00D60A69" w:rsidRDefault="00587AE4" w:rsidP="00801F84">
      <w:pPr>
        <w:pStyle w:val="Endnotentext"/>
        <w:rPr>
          <w:lang w:val="en-US"/>
        </w:rPr>
      </w:pPr>
      <w:r w:rsidRPr="00D60A69">
        <w:endnoteRef/>
      </w:r>
      <w:r w:rsidRPr="00D60A69">
        <w:rPr>
          <w:lang w:val="en-US"/>
        </w:rPr>
        <w:t xml:space="preserve"> Weinstein MP, Reller LB, Murphy JR, et al: The clinical significance of positive blood cultures: a comprehensive analysis of 500 episodes of bacteremia and fungemia in adults. I. Laboratory and epidemiologic observations. Rev Infect Dis 1983; 5:35–53</w:t>
      </w:r>
      <w:r w:rsidRPr="00D60A69" w:rsidDel="004B2425">
        <w:rPr>
          <w:lang w:val="en-US"/>
        </w:rPr>
        <w:t xml:space="preserve"> </w:t>
      </w:r>
    </w:p>
  </w:endnote>
  <w:endnote w:id="90">
    <w:p w14:paraId="3DB81C2A" w14:textId="77777777" w:rsidR="00587AE4" w:rsidRPr="00D60A69" w:rsidRDefault="00587AE4" w:rsidP="00801F84">
      <w:pPr>
        <w:pStyle w:val="Endnotentext"/>
        <w:rPr>
          <w:lang w:val="en-US"/>
        </w:rPr>
      </w:pPr>
      <w:r w:rsidRPr="00D60A69">
        <w:endnoteRef/>
      </w:r>
      <w:r w:rsidRPr="00D60A69">
        <w:rPr>
          <w:lang w:val="en-US"/>
        </w:rPr>
        <w:t xml:space="preserve"> Li J, Plorde JJ, Carlson LG: Effects of volume and periodicity on blood cultures. J Clin Microbiol 1994; 32:2829–2831</w:t>
      </w:r>
      <w:r w:rsidRPr="00D60A69" w:rsidDel="00ED3ADB">
        <w:rPr>
          <w:lang w:val="en-US"/>
        </w:rPr>
        <w:t xml:space="preserve"> </w:t>
      </w:r>
      <w:r w:rsidRPr="00D60A69">
        <w:rPr>
          <w:lang w:val="en-US"/>
        </w:rPr>
        <w:t xml:space="preserve"> </w:t>
      </w:r>
    </w:p>
  </w:endnote>
  <w:endnote w:id="91">
    <w:p w14:paraId="5B1D5704" w14:textId="613C6244" w:rsidR="00587AE4" w:rsidRDefault="00587AE4" w:rsidP="00801F84">
      <w:pPr>
        <w:pStyle w:val="Endnotentext"/>
        <w:rPr>
          <w:lang w:val="en-US"/>
        </w:rPr>
      </w:pPr>
      <w:r w:rsidRPr="00D60A69">
        <w:endnoteRef/>
      </w:r>
      <w:r w:rsidRPr="00D60A69">
        <w:rPr>
          <w:lang w:val="en-US"/>
        </w:rPr>
        <w:t xml:space="preserve"> Baron EJ, Miller JM, Weinstein MP, et al: A guide to utilization of the microbiology laboratory for diagnosis of infectious diseases: 2013 recommendations by the Infectious Diseases Society of America (IDSA) and the American Society for Microbiology (ASM)(a). Clin Infect Dis 2013; 57:e22–e121</w:t>
      </w:r>
    </w:p>
    <w:p w14:paraId="6492AECE" w14:textId="208B5579" w:rsidR="00EF1A9E" w:rsidRDefault="00EF1A9E" w:rsidP="00801F84">
      <w:pPr>
        <w:pStyle w:val="Endnotentext"/>
        <w:rPr>
          <w:lang w:val="en-US"/>
        </w:rPr>
      </w:pPr>
    </w:p>
    <w:p w14:paraId="1C5AD980" w14:textId="3B9030EE" w:rsidR="00EF1A9E" w:rsidRDefault="00EF1A9E" w:rsidP="00801F84">
      <w:pPr>
        <w:pStyle w:val="Endnotentext"/>
        <w:rPr>
          <w:lang w:val="en-US"/>
        </w:rPr>
      </w:pPr>
    </w:p>
    <w:p w14:paraId="25B1EE3C" w14:textId="77777777" w:rsidR="00EF1A9E" w:rsidRPr="00D60A69" w:rsidRDefault="00EF1A9E" w:rsidP="00801F84">
      <w:pPr>
        <w:pStyle w:val="Endnotentext"/>
        <w:rPr>
          <w:lang w:val="en-US"/>
        </w:rPr>
      </w:pPr>
    </w:p>
  </w:endnote>
  <w:endnote w:id="92">
    <w:p w14:paraId="0B1A5BDE" w14:textId="77777777" w:rsidR="00587AE4" w:rsidRPr="00D60A69" w:rsidRDefault="00587AE4" w:rsidP="00801F84">
      <w:pPr>
        <w:pStyle w:val="Endnotentext"/>
        <w:rPr>
          <w:lang w:val="en-US"/>
        </w:rPr>
      </w:pPr>
      <w:r w:rsidRPr="00D60A69">
        <w:endnoteRef/>
      </w:r>
      <w:r w:rsidRPr="00D60A69">
        <w:rPr>
          <w:lang w:val="en-US"/>
        </w:rPr>
        <w:t xml:space="preserve"> O’Grady NP, Alexander M, Burns LA, et al; Healthcare Infection Control Practices Advisory Committee (HICPAC): Guidelines for the prevention of intravascular catheter-related infections. Clin Infect Dis 2011; 52:e162–e193</w:t>
      </w:r>
    </w:p>
  </w:endnote>
  <w:endnote w:id="93">
    <w:p w14:paraId="0D43191C" w14:textId="77777777" w:rsidR="00587AE4" w:rsidRPr="00D60A69" w:rsidRDefault="00587AE4" w:rsidP="00801F84">
      <w:pPr>
        <w:pStyle w:val="Endnotentext"/>
        <w:rPr>
          <w:lang w:val="en-US"/>
        </w:rPr>
      </w:pPr>
      <w:r w:rsidRPr="00D60A69">
        <w:endnoteRef/>
      </w:r>
      <w:r w:rsidRPr="00D60A69">
        <w:rPr>
          <w:lang w:val="en-US"/>
        </w:rPr>
        <w:t xml:space="preserve"> Blot F, Schmidt E, Nitenberg G, et al: Earlier positivity of central</w:t>
      </w:r>
      <w:r w:rsidRPr="00D60A69">
        <w:rPr>
          <w:lang w:val="en-US"/>
        </w:rPr>
        <w:softHyphen/>
        <w:t>venous- versus peripheral-blood cultures is highly predictive of catheter-related sepsis. J Clin Microbiol 1998; 36:105–109</w:t>
      </w:r>
    </w:p>
  </w:endnote>
  <w:endnote w:id="94">
    <w:p w14:paraId="62270942" w14:textId="28628B15" w:rsidR="00587AE4" w:rsidRPr="00D60A69" w:rsidRDefault="00587AE4" w:rsidP="00801F84">
      <w:pPr>
        <w:pStyle w:val="Endnotentext"/>
        <w:rPr>
          <w:lang w:val="en-US"/>
        </w:rPr>
      </w:pPr>
      <w:r w:rsidRPr="00D60A69">
        <w:endnoteRef/>
      </w:r>
      <w:r w:rsidRPr="00D60A69">
        <w:rPr>
          <w:lang w:val="en-US"/>
        </w:rPr>
        <w:t xml:space="preserve"> Kaasch AJ, Rieg S, Hellmich M, et al: Differential time to positivity is not predictive for central line-rela</w:t>
      </w:r>
      <w:r w:rsidR="00EF1A9E">
        <w:rPr>
          <w:lang w:val="en-US"/>
        </w:rPr>
        <w:t>ted Staphylococcus aureus blood</w:t>
      </w:r>
      <w:r w:rsidRPr="00D60A69">
        <w:rPr>
          <w:lang w:val="en-US"/>
        </w:rPr>
        <w:t xml:space="preserve">stream infection in routine clinical care. J Infect 2014; 68:58–61 </w:t>
      </w:r>
    </w:p>
  </w:endnote>
  <w:endnote w:id="95">
    <w:p w14:paraId="0E9B0AC3" w14:textId="77777777" w:rsidR="00587AE4" w:rsidRPr="00D60A69" w:rsidRDefault="00587AE4" w:rsidP="00801F84">
      <w:pPr>
        <w:pStyle w:val="Endnotentext"/>
        <w:rPr>
          <w:lang w:val="en-US"/>
        </w:rPr>
      </w:pPr>
      <w:r w:rsidRPr="00D60A69">
        <w:endnoteRef/>
      </w:r>
      <w:r w:rsidRPr="00D60A69">
        <w:rPr>
          <w:lang w:val="en-US"/>
        </w:rPr>
        <w:t xml:space="preserve"> Malgrange VB, Escande MC, Theobald S: Validity of earlier positiv</w:t>
      </w:r>
      <w:r w:rsidRPr="00D60A69">
        <w:rPr>
          <w:lang w:val="en-US"/>
        </w:rPr>
        <w:softHyphen/>
        <w:t>ity of central venous blood cultures in comparison with peripheral blood cultures for diagnosing catheter-related bacteremia in cancer patients. J Clin Microbiol 2001; 39:274–278</w:t>
      </w:r>
    </w:p>
  </w:endnote>
  <w:endnote w:id="96">
    <w:p w14:paraId="6CF88FE3" w14:textId="32833E2D" w:rsidR="00587AE4" w:rsidRPr="00D60A69" w:rsidRDefault="00587AE4" w:rsidP="00801F84">
      <w:pPr>
        <w:pStyle w:val="Endnotentext"/>
        <w:rPr>
          <w:lang w:val="en-US"/>
        </w:rPr>
      </w:pPr>
      <w:r w:rsidRPr="00D60A69">
        <w:endnoteRef/>
      </w:r>
      <w:r w:rsidRPr="00D60A69">
        <w:rPr>
          <w:lang w:val="en-US"/>
        </w:rPr>
        <w:t xml:space="preserve"> O’Grady NP, Barie PS, Bartlett JG, et al; American College of Critical Care Medicine; Infectious Diseases Society of America: Guidelines for evaluation of new fever in critically ill adult patients: 2008 update from the American College of Critical Care Medicine and the Infectious </w:t>
      </w:r>
      <w:r w:rsidR="00EF1A9E">
        <w:rPr>
          <w:lang w:val="en-US"/>
        </w:rPr>
        <w:t>Dis</w:t>
      </w:r>
      <w:r w:rsidRPr="00D60A69">
        <w:rPr>
          <w:lang w:val="en-US"/>
        </w:rPr>
        <w:t>eases Society of America. Crit Care Med 2008; 36:1330–1349</w:t>
      </w:r>
      <w:r w:rsidRPr="00D60A69" w:rsidDel="00ED3ADB">
        <w:rPr>
          <w:lang w:val="en-US"/>
        </w:rPr>
        <w:t xml:space="preserve"> </w:t>
      </w:r>
    </w:p>
  </w:endnote>
  <w:endnote w:id="97">
    <w:p w14:paraId="16B4E862" w14:textId="77777777" w:rsidR="00587AE4" w:rsidRPr="00D60A69" w:rsidRDefault="00587AE4" w:rsidP="00801F84">
      <w:pPr>
        <w:pStyle w:val="Endnotentext"/>
        <w:rPr>
          <w:lang w:val="en-US"/>
        </w:rPr>
      </w:pPr>
      <w:r w:rsidRPr="00D60A69">
        <w:endnoteRef/>
      </w:r>
      <w:r w:rsidRPr="00D60A69">
        <w:rPr>
          <w:lang w:val="en-US"/>
        </w:rPr>
        <w:t xml:space="preserve"> Mermel LA, Allon M, Bouza E, et al: Clinical practice guidelines for the diagnosis and management of intravascular catheter-related infection: 2009 Update by the Infectious Diseases Society of America. Clin Infect Dis 2009; 49:1–45 </w:t>
      </w:r>
    </w:p>
  </w:endnote>
  <w:endnote w:id="98">
    <w:p w14:paraId="3543C740" w14:textId="77777777" w:rsidR="00587AE4" w:rsidRPr="00D60A69" w:rsidRDefault="00587AE4" w:rsidP="00801F84">
      <w:pPr>
        <w:pStyle w:val="Endnotentext"/>
        <w:rPr>
          <w:lang w:val="en-US"/>
        </w:rPr>
      </w:pPr>
      <w:r w:rsidRPr="00D60A69">
        <w:endnoteRef/>
      </w:r>
      <w:r w:rsidRPr="00D60A69">
        <w:rPr>
          <w:lang w:val="en-US"/>
        </w:rPr>
        <w:t xml:space="preserve"> Boyce JM, Nadeau J, Dumigan D, et al: Obtaining blood cultures by venipuncture versus from central lines: impact on blood culture contamination rates and potential effect on central line-associated blood</w:t>
      </w:r>
      <w:r w:rsidRPr="00D60A69">
        <w:rPr>
          <w:lang w:val="en-US"/>
        </w:rPr>
        <w:softHyphen/>
        <w:t>stream infection reporting. Infect Control Hosp Epidemiol 2013; 34:1042–1047</w:t>
      </w:r>
    </w:p>
  </w:endnote>
  <w:endnote w:id="99">
    <w:p w14:paraId="043FBF51" w14:textId="77777777" w:rsidR="00587AE4" w:rsidRPr="00D60A69" w:rsidRDefault="00587AE4" w:rsidP="00801F84">
      <w:pPr>
        <w:pStyle w:val="Endnotentext"/>
        <w:rPr>
          <w:lang w:val="en-US"/>
        </w:rPr>
      </w:pPr>
      <w:r w:rsidRPr="00D60A69">
        <w:endnoteRef/>
      </w:r>
      <w:r w:rsidRPr="00D60A69">
        <w:rPr>
          <w:lang w:val="en-US"/>
        </w:rPr>
        <w:t xml:space="preserve"> Beekmann SE, Diekema DJ, Huskins WC, et al; Infectious Diseases Society of America Emerging Infections Network: Diagnosing and reporting of central line-associated bloodstream infections. Infect Control Hosp Epidemiol 2012; 33:875–882</w:t>
      </w:r>
    </w:p>
  </w:endnote>
  <w:endnote w:id="100">
    <w:p w14:paraId="1C9B2A78" w14:textId="77777777" w:rsidR="00587AE4" w:rsidRPr="00D60A69" w:rsidRDefault="00587AE4" w:rsidP="00801F84">
      <w:pPr>
        <w:pStyle w:val="Endnotentext"/>
        <w:rPr>
          <w:lang w:val="en-US"/>
        </w:rPr>
      </w:pPr>
      <w:r w:rsidRPr="00D60A69">
        <w:endnoteRef/>
      </w:r>
      <w:r w:rsidRPr="00D60A69">
        <w:rPr>
          <w:lang w:val="en-US"/>
        </w:rPr>
        <w:t xml:space="preserve"> Garcia RA, Spitzer ED, Beaudry J, et al: Multidisciplinary team review of best practices for collection and handling of blood cultures to determine effective interventions for increasing the yield of true</w:t>
      </w:r>
      <w:r w:rsidRPr="00D60A69">
        <w:rPr>
          <w:lang w:val="en-US"/>
        </w:rPr>
        <w:softHyphen/>
        <w:t>positive bacteremias, reducing contamination, and eliminating false</w:t>
      </w:r>
      <w:r w:rsidRPr="00D60A69">
        <w:rPr>
          <w:lang w:val="en-US"/>
        </w:rPr>
        <w:softHyphen/>
        <w:t>positive central line-associated bloodstream infections. Am J Infect Control. 2015;43(11):1222–1237</w:t>
      </w:r>
    </w:p>
  </w:endnote>
  <w:endnote w:id="101">
    <w:p w14:paraId="07B8FF3C" w14:textId="77777777" w:rsidR="00587AE4" w:rsidRPr="00D60A69" w:rsidRDefault="00587AE4" w:rsidP="00801F84">
      <w:pPr>
        <w:pStyle w:val="Endnotentext"/>
        <w:rPr>
          <w:lang w:val="en-US"/>
        </w:rPr>
      </w:pPr>
      <w:r w:rsidRPr="00D60A69">
        <w:endnoteRef/>
      </w:r>
      <w:r w:rsidRPr="00D60A69">
        <w:rPr>
          <w:lang w:val="en-US"/>
        </w:rPr>
        <w:t xml:space="preserve"> Vincent JL, Brealey D, Libert N, et al; Rapid Diagnosis of Infections in the Critically Ill Team: Rapid Diagnosis of Infection in the Critically Ill, a Multicenter Study of Molecular Detection in Bloodstream Infec</w:t>
      </w:r>
      <w:r w:rsidRPr="00D60A69">
        <w:rPr>
          <w:lang w:val="en-US"/>
        </w:rPr>
        <w:softHyphen/>
        <w:t>tions, Pneumonia, and Sterile Site Infections. Crit Care Med 2015; 43:2283–2291</w:t>
      </w:r>
      <w:r w:rsidRPr="00D60A69" w:rsidDel="00ED3ADB">
        <w:rPr>
          <w:lang w:val="en-US"/>
        </w:rPr>
        <w:t xml:space="preserve"> </w:t>
      </w:r>
    </w:p>
  </w:endnote>
  <w:endnote w:id="102">
    <w:p w14:paraId="5F2458C4" w14:textId="77777777" w:rsidR="00587AE4" w:rsidRPr="00D60A69" w:rsidRDefault="00587AE4" w:rsidP="00801F84">
      <w:pPr>
        <w:pStyle w:val="Endnotentext"/>
        <w:rPr>
          <w:lang w:val="en-US"/>
        </w:rPr>
      </w:pPr>
      <w:r w:rsidRPr="00D60A69">
        <w:endnoteRef/>
      </w:r>
      <w:r w:rsidRPr="00D60A69">
        <w:rPr>
          <w:lang w:val="en-US"/>
        </w:rPr>
        <w:t xml:space="preserve"> Makristathis A, Riss S, Hirschl AM: A novel fluorescence in situ hybridization test for rapid pathogen identification in positive blood cultures. Clin Microbiol Infect 2014; 20:O760–O763</w:t>
      </w:r>
    </w:p>
  </w:endnote>
  <w:endnote w:id="103">
    <w:p w14:paraId="106E4B58" w14:textId="77777777" w:rsidR="00587AE4" w:rsidRPr="00D60A69" w:rsidRDefault="00587AE4" w:rsidP="00801F84">
      <w:pPr>
        <w:pStyle w:val="Endnotentext"/>
        <w:rPr>
          <w:lang w:val="en-US"/>
        </w:rPr>
      </w:pPr>
      <w:r w:rsidRPr="00D60A69">
        <w:endnoteRef/>
      </w:r>
      <w:r w:rsidRPr="00D60A69">
        <w:rPr>
          <w:lang w:val="en-US"/>
        </w:rPr>
        <w:t xml:space="preserve"> Tissari P, Zumla A, Tarkka E, et al: Accurate and rapid identification of bacterial species from positive blood cultures with a DNA-based microarray platform: an observational study. Lancet 2010; 375: 224–230</w:t>
      </w:r>
    </w:p>
  </w:endnote>
  <w:endnote w:id="104">
    <w:p w14:paraId="724D3746" w14:textId="77777777" w:rsidR="00587AE4" w:rsidRPr="00D60A69" w:rsidRDefault="00587AE4" w:rsidP="00801F84">
      <w:pPr>
        <w:pStyle w:val="Endnotentext"/>
        <w:rPr>
          <w:lang w:val="en-US"/>
        </w:rPr>
      </w:pPr>
      <w:r w:rsidRPr="00D60A69">
        <w:endnoteRef/>
      </w:r>
      <w:r w:rsidRPr="00D60A69">
        <w:rPr>
          <w:lang w:val="en-US"/>
        </w:rPr>
        <w:t xml:space="preserve"> Niven DJ, Gaudet JE, Laupland KB, et al. Accuracy of peripheral thermometers for estimating temperature: a systematic review and meta-analysis. Ann Intern Med. 2015;163:768-779</w:t>
      </w:r>
    </w:p>
  </w:endnote>
  <w:endnote w:id="105">
    <w:p w14:paraId="3457BFFD" w14:textId="77777777" w:rsidR="00587AE4" w:rsidRPr="00D60A69" w:rsidRDefault="00587AE4" w:rsidP="00801F84">
      <w:pPr>
        <w:pStyle w:val="Endnotentext"/>
        <w:rPr>
          <w:lang w:val="en-US"/>
        </w:rPr>
      </w:pPr>
      <w:r w:rsidRPr="00D60A69">
        <w:endnoteRef/>
      </w:r>
      <w:r w:rsidRPr="00D60A69">
        <w:rPr>
          <w:lang w:val="en-US"/>
        </w:rPr>
        <w:t xml:space="preserve"> Ferrer R, Martin-Loeches I, Phillips G, et al: Empiric antibiotic treat ment reduces mortality in severe sepsis and septic shock from the first hour: results from a guideline-based performance improvement program. Crit Care Med 2014; 42:1749–1755</w:t>
      </w:r>
    </w:p>
  </w:endnote>
  <w:endnote w:id="106">
    <w:p w14:paraId="256D1033" w14:textId="77777777" w:rsidR="00587AE4" w:rsidRPr="00D60A69" w:rsidRDefault="00587AE4" w:rsidP="00801F84">
      <w:pPr>
        <w:pStyle w:val="Endnotentext"/>
        <w:rPr>
          <w:lang w:val="en-US"/>
        </w:rPr>
      </w:pPr>
      <w:r w:rsidRPr="00D60A69">
        <w:endnoteRef/>
      </w:r>
      <w:r w:rsidRPr="00D60A69">
        <w:rPr>
          <w:lang w:val="en-US"/>
        </w:rPr>
        <w:t xml:space="preserve"> Zhang D, Micek ST, Kollef MH: Time to Appropriate Antibiotic Ther apy Is an Independent Determinant of Postinfection ICU and Hospi tal Lengths of Stay in Patients With Sepsis. Crit Care Med 2015; 43:2133–2140</w:t>
      </w:r>
    </w:p>
  </w:endnote>
  <w:endnote w:id="107">
    <w:p w14:paraId="64132C59" w14:textId="77777777" w:rsidR="00587AE4" w:rsidRPr="00D60A69" w:rsidRDefault="00587AE4" w:rsidP="00801F84">
      <w:pPr>
        <w:pStyle w:val="Endnotentext"/>
        <w:rPr>
          <w:lang w:val="en-US"/>
        </w:rPr>
      </w:pPr>
      <w:r w:rsidRPr="00D60A69">
        <w:endnoteRef/>
      </w:r>
      <w:r w:rsidRPr="00D60A69">
        <w:rPr>
          <w:lang w:val="en-US"/>
        </w:rPr>
        <w:t xml:space="preserve"> Bagshaw SM, Lapinsky S, Dial S, et al; Cooperative Antimicrobial Therapy of Septic Shock (CATSS) Database Research Group: Acute kidney injury in septic shock: clinical outcomes and impact of dura tion of hypotension prior to initiation of antimicrobial therapy. Intensive Care Med 2009; 35:871–881</w:t>
      </w:r>
    </w:p>
  </w:endnote>
  <w:endnote w:id="108">
    <w:p w14:paraId="4E993889" w14:textId="77777777" w:rsidR="00587AE4" w:rsidRPr="00D60A69" w:rsidRDefault="00587AE4" w:rsidP="00801F84">
      <w:pPr>
        <w:pStyle w:val="Endnotentext"/>
        <w:rPr>
          <w:lang w:val="en-US"/>
        </w:rPr>
      </w:pPr>
      <w:r w:rsidRPr="00D60A69">
        <w:endnoteRef/>
      </w:r>
      <w:r w:rsidRPr="00D60A69">
        <w:rPr>
          <w:lang w:val="en-US"/>
        </w:rPr>
        <w:t xml:space="preserve"> Iscimen R, Cartin-Ceba R, Yilmaz M, et al: Risk factors for the devel opment of acute lung injury in patients with septic shock: an observa tional cohort study. Crit Care Med 2008; 36:1518–1522</w:t>
      </w:r>
    </w:p>
  </w:endnote>
  <w:endnote w:id="109">
    <w:p w14:paraId="671AB051" w14:textId="77777777" w:rsidR="00587AE4" w:rsidRPr="00D60A69" w:rsidRDefault="00587AE4" w:rsidP="00801F84">
      <w:pPr>
        <w:pStyle w:val="Endnotentext"/>
        <w:rPr>
          <w:lang w:val="en-US"/>
        </w:rPr>
      </w:pPr>
      <w:r w:rsidRPr="00D60A69">
        <w:endnoteRef/>
      </w:r>
      <w:r w:rsidRPr="00D60A69">
        <w:rPr>
          <w:lang w:val="en-US"/>
        </w:rPr>
        <w:t xml:space="preserve"> Garnacho-Montero J, Aldabo-Pallas T, Garnacho-Montero C, et al: Timing of adequate antibiotic therapy is a greater determinant of out come than are TNF and IL-10 polymorphisms in patients with sepsis. Crit Care 2006; 10:R111</w:t>
      </w:r>
    </w:p>
  </w:endnote>
  <w:endnote w:id="110">
    <w:p w14:paraId="6D51E280" w14:textId="77777777" w:rsidR="00587AE4" w:rsidRPr="00D60A69" w:rsidRDefault="00587AE4" w:rsidP="00801F84">
      <w:pPr>
        <w:pStyle w:val="Endnotentext"/>
        <w:rPr>
          <w:lang w:val="en-US"/>
        </w:rPr>
      </w:pPr>
      <w:r w:rsidRPr="00D60A69">
        <w:endnoteRef/>
      </w:r>
      <w:r w:rsidRPr="00D60A69">
        <w:rPr>
          <w:lang w:val="en-US"/>
        </w:rPr>
        <w:t xml:space="preserve"> Barie PS, Hydo LJ, Shou J, et al: Influence of antibiotic therapy on mortality of critical surgical illness caused or complicated by infection. Surg Infect (Larchmt) 2005; 6:41–54</w:t>
      </w:r>
    </w:p>
  </w:endnote>
  <w:endnote w:id="111">
    <w:p w14:paraId="796B494C" w14:textId="77777777" w:rsidR="00587AE4" w:rsidRPr="00D60A69" w:rsidRDefault="00587AE4" w:rsidP="00801F84">
      <w:pPr>
        <w:pStyle w:val="Endnotentext"/>
        <w:rPr>
          <w:lang w:val="en-US"/>
        </w:rPr>
      </w:pPr>
      <w:r w:rsidRPr="00D60A69">
        <w:endnoteRef/>
      </w:r>
      <w:r w:rsidRPr="00D60A69">
        <w:rPr>
          <w:lang w:val="en-US"/>
        </w:rPr>
        <w:t xml:space="preserve"> Barochia AV, Cui X, Vitberg D, et al: Bundled care for septic shock: an analysis of clinical trials. Crit Care Med 2010; 38:668–678</w:t>
      </w:r>
    </w:p>
  </w:endnote>
  <w:endnote w:id="112">
    <w:p w14:paraId="23E7F21B" w14:textId="77777777" w:rsidR="00587AE4" w:rsidRPr="00D60A69" w:rsidRDefault="00587AE4" w:rsidP="00801F84">
      <w:pPr>
        <w:pStyle w:val="Endnotentext"/>
        <w:rPr>
          <w:lang w:val="en-US"/>
        </w:rPr>
      </w:pPr>
      <w:r w:rsidRPr="00D60A69">
        <w:endnoteRef/>
      </w:r>
      <w:r w:rsidRPr="00D60A69">
        <w:rPr>
          <w:lang w:val="en-US"/>
        </w:rPr>
        <w:t xml:space="preserve"> Gaieski DF, Mikkelsen ME, Band RA, et al: Impact of time to antibiot ics on survival in patients with severe sepsis or septic shock in whom early goal-directed therapy was initiated in the emergency depart ment. Crit Care Med 2010; 38:1045–1053</w:t>
      </w:r>
    </w:p>
  </w:endnote>
  <w:endnote w:id="113">
    <w:p w14:paraId="143FB547" w14:textId="77777777" w:rsidR="00587AE4" w:rsidRPr="00D60A69" w:rsidRDefault="00587AE4" w:rsidP="00801F84">
      <w:pPr>
        <w:pStyle w:val="Endnotentext"/>
        <w:rPr>
          <w:lang w:val="en-US"/>
        </w:rPr>
      </w:pPr>
      <w:r w:rsidRPr="00D60A69">
        <w:endnoteRef/>
      </w:r>
      <w:r w:rsidRPr="00D60A69">
        <w:rPr>
          <w:lang w:val="en-US"/>
        </w:rPr>
        <w:t xml:space="preserve"> Kumar A: Systematic Bias in Meta-Analyses of Time to Antimicrobial in Sepsis Studies. Crit Care Med 2016; 44:e234–e235</w:t>
      </w:r>
    </w:p>
  </w:endnote>
  <w:endnote w:id="114">
    <w:p w14:paraId="6B1A127F" w14:textId="77777777" w:rsidR="00587AE4" w:rsidRPr="00D60A69" w:rsidRDefault="00587AE4" w:rsidP="00801F84">
      <w:pPr>
        <w:pStyle w:val="Endnotentext"/>
        <w:rPr>
          <w:lang w:val="en-US"/>
        </w:rPr>
      </w:pPr>
      <w:r w:rsidRPr="00D60A69">
        <w:endnoteRef/>
      </w:r>
      <w:r w:rsidRPr="00D60A69">
        <w:rPr>
          <w:lang w:val="en-US"/>
        </w:rPr>
        <w:t xml:space="preserve"> Shirakura Y, Kuriyama A: Timing of Antibiotic Administration in Sepsis and Septic Shock: The Impact That a Meta-Analysis Does Not Depict. Crit Care Med 2016; 44:e1004</w:t>
      </w:r>
    </w:p>
  </w:endnote>
  <w:endnote w:id="115">
    <w:p w14:paraId="62448AB2" w14:textId="77777777" w:rsidR="00587AE4" w:rsidRPr="00D60A69" w:rsidRDefault="00587AE4" w:rsidP="00801F84">
      <w:pPr>
        <w:pStyle w:val="Endnotentext"/>
        <w:rPr>
          <w:lang w:val="en-US"/>
        </w:rPr>
      </w:pPr>
      <w:r w:rsidRPr="00D60A69">
        <w:endnoteRef/>
      </w:r>
      <w:r w:rsidRPr="00D60A69">
        <w:rPr>
          <w:lang w:val="en-US"/>
        </w:rPr>
        <w:t xml:space="preserve"> Kaasch AJ, Rieg S, Kuetscher J, et al; preSABATO study group: Delay in the administration of appropriate antimicrobial therapy in Staphy lococcus aureus bloodstream infection: a prospective multicenter hospital-based cohort study. Infection 2013; 41:979–985</w:t>
      </w:r>
    </w:p>
  </w:endnote>
  <w:endnote w:id="116">
    <w:p w14:paraId="7A89B28A" w14:textId="77777777" w:rsidR="00587AE4" w:rsidRPr="00D60A69" w:rsidRDefault="00587AE4" w:rsidP="00801F84">
      <w:pPr>
        <w:pStyle w:val="Endnotentext"/>
        <w:rPr>
          <w:lang w:val="en-US"/>
        </w:rPr>
      </w:pPr>
      <w:r w:rsidRPr="00D60A69">
        <w:endnoteRef/>
      </w:r>
      <w:r w:rsidRPr="00D60A69">
        <w:rPr>
          <w:lang w:val="en-US"/>
        </w:rPr>
        <w:t xml:space="preserve"> Corona A, Bertolini G, Lipman J, et al: Antibiotic use and impact on outcome from bacteraemic critical illness: the BActeraemia Study in Intensive Care (BASIC). J Antimicrob Chemother 2010; 65:1276– 1285</w:t>
      </w:r>
    </w:p>
  </w:endnote>
  <w:endnote w:id="117">
    <w:p w14:paraId="0F935D35" w14:textId="77777777" w:rsidR="00587AE4" w:rsidRPr="00D60A69" w:rsidRDefault="00587AE4" w:rsidP="00801F84">
      <w:pPr>
        <w:pStyle w:val="Endnotentext"/>
        <w:rPr>
          <w:lang w:val="en-US"/>
        </w:rPr>
      </w:pPr>
      <w:r w:rsidRPr="00D60A69">
        <w:endnoteRef/>
      </w:r>
      <w:r w:rsidRPr="00D60A69">
        <w:rPr>
          <w:lang w:val="en-US"/>
        </w:rPr>
        <w:t xml:space="preserve"> Giner AM, Kuster SP, Zbinden R, et al: Initial management of and outcome in patients with pneumococcal bacteremia: a retrospec tive study at a Swiss university hospital, 2003-2009. Infection 2011; 39:519–526</w:t>
      </w:r>
    </w:p>
  </w:endnote>
  <w:endnote w:id="118">
    <w:p w14:paraId="236B8483" w14:textId="77777777" w:rsidR="00587AE4" w:rsidRPr="00D60A69" w:rsidRDefault="00587AE4" w:rsidP="00801F84">
      <w:pPr>
        <w:pStyle w:val="Endnotentext"/>
        <w:rPr>
          <w:lang w:val="en-US"/>
        </w:rPr>
      </w:pPr>
      <w:r w:rsidRPr="00D60A69">
        <w:endnoteRef/>
      </w:r>
      <w:r w:rsidRPr="00D60A69">
        <w:rPr>
          <w:lang w:val="en-US"/>
        </w:rPr>
        <w:t xml:space="preserve"> Lin MY, Weinstein RA, Hota B: Delay of active antimicrobial therapy and mortality among patients with bacteremia: impact of severe neu tropenia. Antimicrob Agents Chemother 2008; 52:3188–3194</w:t>
      </w:r>
    </w:p>
  </w:endnote>
  <w:endnote w:id="119">
    <w:p w14:paraId="6EC7494A" w14:textId="77777777" w:rsidR="00587AE4" w:rsidRPr="00D60A69" w:rsidRDefault="00587AE4" w:rsidP="00801F84">
      <w:pPr>
        <w:pStyle w:val="Endnotentext"/>
        <w:rPr>
          <w:lang w:val="en-US"/>
        </w:rPr>
      </w:pPr>
      <w:r w:rsidRPr="00D60A69">
        <w:endnoteRef/>
      </w:r>
      <w:r w:rsidRPr="00D60A69">
        <w:rPr>
          <w:lang w:val="en-US"/>
        </w:rPr>
        <w:t xml:space="preserve"> Amaral AC, Fowler RA, Pinto R, et al; Cooperative Antimicrobial Ther apy of Septic Shock Database Research Group: Patient and Organi zational Factors Associated With Delays in Antimicrobial Therapy for Septic Shock. Crit Care Med 2016; 44:2145–2153</w:t>
      </w:r>
    </w:p>
  </w:endnote>
  <w:endnote w:id="120">
    <w:p w14:paraId="6E538275" w14:textId="77777777" w:rsidR="00587AE4" w:rsidRPr="00D60A69" w:rsidRDefault="00587AE4" w:rsidP="00801F84">
      <w:pPr>
        <w:pStyle w:val="Endnotentext"/>
        <w:rPr>
          <w:lang w:val="en-US"/>
        </w:rPr>
      </w:pPr>
      <w:r w:rsidRPr="00D60A69">
        <w:endnoteRef/>
      </w:r>
      <w:r w:rsidRPr="00D60A69">
        <w:rPr>
          <w:lang w:val="en-US"/>
        </w:rPr>
        <w:t xml:space="preserve"> Funk DJ, Kumar A: Antimicrobial therapy for life-threatening infections: speed is life. Crit Care Clin 2011; 27:53–76</w:t>
      </w:r>
    </w:p>
  </w:endnote>
  <w:endnote w:id="121">
    <w:p w14:paraId="14C0B5F9" w14:textId="77777777" w:rsidR="00587AE4" w:rsidRPr="00D60A69" w:rsidRDefault="00587AE4" w:rsidP="00801F84">
      <w:pPr>
        <w:pStyle w:val="Endnotentext"/>
        <w:rPr>
          <w:lang w:val="en-US"/>
        </w:rPr>
      </w:pPr>
      <w:r w:rsidRPr="00D60A69">
        <w:endnoteRef/>
      </w:r>
      <w:r w:rsidRPr="00D60A69">
        <w:rPr>
          <w:lang w:val="en-US"/>
        </w:rPr>
        <w:t xml:space="preserve"> Petitpas F, Guenezan J, Vendeuvre T, et al: Use of intra-osseous access in adults: a systematic review. Crit Care 2016; 20:102</w:t>
      </w:r>
    </w:p>
  </w:endnote>
  <w:endnote w:id="122">
    <w:p w14:paraId="4011C17D" w14:textId="77777777" w:rsidR="00587AE4" w:rsidRPr="00D60A69" w:rsidRDefault="00587AE4" w:rsidP="00801F84">
      <w:pPr>
        <w:pStyle w:val="Endnotentext"/>
        <w:rPr>
          <w:lang w:val="en-US"/>
        </w:rPr>
      </w:pPr>
      <w:r w:rsidRPr="00D60A69">
        <w:endnoteRef/>
      </w:r>
      <w:r w:rsidRPr="00D60A69">
        <w:rPr>
          <w:lang w:val="en-US"/>
        </w:rPr>
        <w:t xml:space="preserve"> Buck ML, Wiggins BS, Sesler JM: Intraosseous drug administration in children and adults during cardiopulmonary resuscitation. Ann Pharmacother 2007; 41:1679–1686</w:t>
      </w:r>
    </w:p>
  </w:endnote>
  <w:endnote w:id="123">
    <w:p w14:paraId="04389C73" w14:textId="77777777" w:rsidR="00587AE4" w:rsidRPr="00D60A69" w:rsidRDefault="00587AE4" w:rsidP="00801F84">
      <w:pPr>
        <w:pStyle w:val="Endnotentext"/>
        <w:rPr>
          <w:lang w:val="en-US"/>
        </w:rPr>
      </w:pPr>
      <w:r w:rsidRPr="00D60A69">
        <w:endnoteRef/>
      </w:r>
      <w:r w:rsidRPr="00D60A69">
        <w:rPr>
          <w:lang w:val="en-US"/>
        </w:rPr>
        <w:t xml:space="preserve"> Romanelli G, Cravarezza P: Intramuscular meropenem in the treat ment of bacterial infections of the urinary and lower respiratory tracts. Italian Intramuscular Meropenem Study Group. J Antimicrob Che mother 1995; 36 Suppl A:109–119</w:t>
      </w:r>
    </w:p>
  </w:endnote>
  <w:endnote w:id="124">
    <w:p w14:paraId="0AD6988F" w14:textId="77777777" w:rsidR="00587AE4" w:rsidRPr="00D60A69" w:rsidRDefault="00587AE4" w:rsidP="00801F84">
      <w:pPr>
        <w:pStyle w:val="Endnotentext"/>
        <w:rPr>
          <w:lang w:val="en-US"/>
        </w:rPr>
      </w:pPr>
      <w:r w:rsidRPr="00D60A69">
        <w:endnoteRef/>
      </w:r>
      <w:r w:rsidRPr="00D60A69">
        <w:rPr>
          <w:lang w:val="en-US"/>
        </w:rPr>
        <w:t xml:space="preserve"> Cormio L, Berardi B, Callea A, et al: Antimicrobial prophylaxis for transrectal prostatic biopsy: a prospective study of ciprofloxacin vs piperacillin/tazobactam. BJU Int 2002; 90:700–702</w:t>
      </w:r>
    </w:p>
  </w:endnote>
  <w:endnote w:id="125">
    <w:p w14:paraId="65A762F0" w14:textId="504F8007" w:rsidR="00587AE4" w:rsidRDefault="00587AE4" w:rsidP="00801F84">
      <w:pPr>
        <w:pStyle w:val="Endnotentext"/>
        <w:rPr>
          <w:lang w:val="en-US"/>
        </w:rPr>
      </w:pPr>
      <w:r w:rsidRPr="00D60A69">
        <w:endnoteRef/>
      </w:r>
      <w:r w:rsidRPr="00D60A69">
        <w:rPr>
          <w:lang w:val="en-US"/>
        </w:rPr>
        <w:t xml:space="preserve"> Barbhaiya RH, Knupp CA, Tenney J, et al: Safety, tolerance, and phar-macokinetics of cefepime administered intramuscularly to healthy subjects. J Clin Pharmacol 1990; 30:900–910</w:t>
      </w:r>
    </w:p>
    <w:p w14:paraId="14EF663C" w14:textId="3559D7D9" w:rsidR="00EF1A9E" w:rsidRDefault="00EF1A9E" w:rsidP="00801F84">
      <w:pPr>
        <w:pStyle w:val="Endnotentext"/>
        <w:rPr>
          <w:lang w:val="en-US"/>
        </w:rPr>
      </w:pPr>
    </w:p>
    <w:p w14:paraId="52BA73FA" w14:textId="77777777" w:rsidR="00EF1A9E" w:rsidRPr="00D60A69" w:rsidRDefault="00EF1A9E" w:rsidP="00801F84">
      <w:pPr>
        <w:pStyle w:val="Endnotentext"/>
        <w:rPr>
          <w:lang w:val="en-US"/>
        </w:rPr>
      </w:pPr>
    </w:p>
  </w:endnote>
  <w:endnote w:id="126">
    <w:p w14:paraId="618B8BD8" w14:textId="77777777" w:rsidR="00587AE4" w:rsidRPr="00D60A69" w:rsidRDefault="00587AE4" w:rsidP="00801F84">
      <w:pPr>
        <w:pStyle w:val="Endnotentext"/>
        <w:rPr>
          <w:lang w:val="en-US"/>
        </w:rPr>
      </w:pPr>
      <w:r w:rsidRPr="00D60A69">
        <w:endnoteRef/>
      </w:r>
      <w:r w:rsidRPr="00D60A69">
        <w:rPr>
          <w:lang w:val="en-US"/>
        </w:rPr>
        <w:t xml:space="preserve"> Barie PS, Hydo LJ, Shou J, et al: Influence of antibiotic therapy on mortality of critical surgical illness caused or complicated by infection. Surg Infect (Larchmt) 2005; 6:41–54</w:t>
      </w:r>
    </w:p>
  </w:endnote>
  <w:endnote w:id="127">
    <w:p w14:paraId="4180C492" w14:textId="77777777" w:rsidR="00587AE4" w:rsidRPr="00D60A69" w:rsidRDefault="00587AE4" w:rsidP="00801F84">
      <w:pPr>
        <w:pStyle w:val="Endnotentext"/>
        <w:rPr>
          <w:lang w:val="en-US"/>
        </w:rPr>
      </w:pPr>
      <w:r w:rsidRPr="00D60A69">
        <w:endnoteRef/>
      </w:r>
      <w:r w:rsidRPr="00D60A69">
        <w:rPr>
          <w:lang w:val="en-US"/>
        </w:rPr>
        <w:t xml:space="preserve"> Kumar A, Ellis P, Arabi Y, et al; Cooperative Antimicrobial Therapy of Septic Shock Database Research Group: Initiation of inappropri ate antimicrobial therapy results in a fivefold reduction of survival in human septic shock. Chest 2009; 136:1237–1248</w:t>
      </w:r>
    </w:p>
  </w:endnote>
  <w:endnote w:id="128">
    <w:p w14:paraId="0401EC7C" w14:textId="77777777" w:rsidR="00587AE4" w:rsidRPr="00D60A69" w:rsidRDefault="00587AE4" w:rsidP="00801F84">
      <w:pPr>
        <w:pStyle w:val="Endnotentext"/>
        <w:rPr>
          <w:lang w:val="en-US"/>
        </w:rPr>
      </w:pPr>
      <w:r w:rsidRPr="00D60A69">
        <w:endnoteRef/>
      </w:r>
      <w:r w:rsidRPr="00D60A69">
        <w:rPr>
          <w:lang w:val="en-US"/>
        </w:rPr>
        <w:t xml:space="preserve"> Ibrahim EH, Sherman G, Ward S, et al: The influence of inadequate antimicrobial treatment of bloodstream infections on patient out comes in the ICU setting. Chest 2000; 118:146–155</w:t>
      </w:r>
      <w:r w:rsidRPr="00D60A69">
        <w:rPr>
          <w:lang w:val="en-US"/>
        </w:rPr>
        <w:tab/>
      </w:r>
    </w:p>
  </w:endnote>
  <w:endnote w:id="129">
    <w:p w14:paraId="58DA038C" w14:textId="77777777" w:rsidR="00587AE4" w:rsidRPr="00D60A69" w:rsidRDefault="00587AE4" w:rsidP="00801F84">
      <w:pPr>
        <w:pStyle w:val="Endnotentext"/>
        <w:rPr>
          <w:lang w:val="en-US"/>
        </w:rPr>
      </w:pPr>
      <w:r w:rsidRPr="00D60A69">
        <w:endnoteRef/>
      </w:r>
      <w:r w:rsidRPr="00D60A69">
        <w:rPr>
          <w:lang w:val="en-US"/>
        </w:rPr>
        <w:t xml:space="preserve"> Paul M, Shani V, Muchtar E, et al: Systematic review and meta-analy sis of the efficacy of appropriate empiric antibiotic therapy for sepsis. Antimicrob Agents Chemother 2010; 54:4851–4863</w:t>
      </w:r>
    </w:p>
  </w:endnote>
  <w:endnote w:id="130">
    <w:p w14:paraId="3EC6FC08" w14:textId="4A29D03F" w:rsidR="00587AE4" w:rsidRPr="00D60A69" w:rsidRDefault="00587AE4" w:rsidP="00801F84">
      <w:pPr>
        <w:pStyle w:val="Endnotentext"/>
        <w:rPr>
          <w:lang w:val="en-US"/>
        </w:rPr>
      </w:pPr>
      <w:r w:rsidRPr="00D60A69">
        <w:endnoteRef/>
      </w:r>
      <w:r w:rsidRPr="00D60A69">
        <w:rPr>
          <w:lang w:val="en-US"/>
        </w:rPr>
        <w:t xml:space="preserve"> Kreger BE, Craven DE, McCabe WR: Gram-negative bacteremia. IV. Re-evaluation of clinical features and treatment in 612 patients. Am J Med 1980; 68:344–355</w:t>
      </w:r>
    </w:p>
  </w:endnote>
  <w:endnote w:id="131">
    <w:p w14:paraId="3D89EF95" w14:textId="77777777" w:rsidR="00587AE4" w:rsidRPr="00D60A69" w:rsidRDefault="00587AE4" w:rsidP="00801F84">
      <w:pPr>
        <w:pStyle w:val="Endnotentext"/>
        <w:rPr>
          <w:lang w:val="en-US"/>
        </w:rPr>
      </w:pPr>
      <w:r w:rsidRPr="00D60A69">
        <w:endnoteRef/>
      </w:r>
      <w:r w:rsidRPr="00D60A69">
        <w:rPr>
          <w:lang w:val="en-US"/>
        </w:rPr>
        <w:t xml:space="preserve"> Mermel LA, Allon M, Bouza E, et al: Clinical practice guidelines for the diagnosis and management of intravascular catheter-related infection: 2009 Update by the Infectious Diseases Society of America. Clin Infect Dis 2009; 49:1–45</w:t>
      </w:r>
      <w:r w:rsidRPr="00D60A69" w:rsidDel="009A5131">
        <w:rPr>
          <w:lang w:val="en-US"/>
        </w:rPr>
        <w:t xml:space="preserve"> </w:t>
      </w:r>
    </w:p>
  </w:endnote>
  <w:endnote w:id="132">
    <w:p w14:paraId="6FB8FA5F" w14:textId="77777777" w:rsidR="00587AE4" w:rsidRPr="00D60A69" w:rsidRDefault="00587AE4" w:rsidP="00801F84">
      <w:pPr>
        <w:pStyle w:val="Endnotentext"/>
        <w:rPr>
          <w:lang w:val="en-US"/>
        </w:rPr>
      </w:pPr>
      <w:r w:rsidRPr="00D60A69">
        <w:endnoteRef/>
      </w:r>
      <w:r w:rsidRPr="00D60A69">
        <w:rPr>
          <w:lang w:val="en-US"/>
        </w:rPr>
        <w:t xml:space="preserve"> Mermel LA, Maki DG: Detection of bacteremia in adults: conse quences of culturing an inadequate volume of blood. Ann Intern Med 1993; 119:270–272</w:t>
      </w:r>
    </w:p>
  </w:endnote>
  <w:endnote w:id="133">
    <w:p w14:paraId="266A0726" w14:textId="77777777" w:rsidR="00587AE4" w:rsidRPr="00D60A69" w:rsidRDefault="00587AE4" w:rsidP="00801F84">
      <w:pPr>
        <w:pStyle w:val="Endnotentext"/>
        <w:rPr>
          <w:lang w:val="en-US"/>
        </w:rPr>
      </w:pPr>
      <w:r w:rsidRPr="00D60A69">
        <w:endnoteRef/>
      </w:r>
      <w:r w:rsidRPr="00D60A69">
        <w:rPr>
          <w:lang w:val="en-US"/>
        </w:rPr>
        <w:t xml:space="preserve"> Bow EJ, Evans G, Fuller J, et al: Canadian clinical practice guidelines for invasive candidiasis in adults. Can J Infect Dis Med Microbiol 2010; 21:e122–e150</w:t>
      </w:r>
    </w:p>
  </w:endnote>
  <w:endnote w:id="134">
    <w:p w14:paraId="4CA1015D" w14:textId="77777777" w:rsidR="00587AE4" w:rsidRPr="00D60A69" w:rsidRDefault="00587AE4" w:rsidP="00801F84">
      <w:pPr>
        <w:pStyle w:val="Endnotentext"/>
        <w:rPr>
          <w:lang w:val="en-US"/>
        </w:rPr>
      </w:pPr>
      <w:r w:rsidRPr="00D60A69">
        <w:endnoteRef/>
      </w:r>
      <w:r w:rsidRPr="00D60A69">
        <w:rPr>
          <w:lang w:val="en-US"/>
        </w:rPr>
        <w:t xml:space="preserve"> Connolly S: Clinical Practice Guidelines: Burn Patient Management. ACI Statewide Burn Injury Service. Chatswood, NSW, Australia: NSW Agency for Clinical Innovation; 2011 </w:t>
      </w:r>
    </w:p>
  </w:endnote>
  <w:endnote w:id="135">
    <w:p w14:paraId="57BE2E57" w14:textId="77777777" w:rsidR="00587AE4" w:rsidRPr="00D60A69" w:rsidRDefault="00587AE4" w:rsidP="00801F84">
      <w:pPr>
        <w:pStyle w:val="Endnotentext"/>
        <w:rPr>
          <w:lang w:val="en-US"/>
        </w:rPr>
      </w:pPr>
      <w:r w:rsidRPr="00D60A69">
        <w:endnoteRef/>
      </w:r>
      <w:r w:rsidRPr="00D60A69">
        <w:rPr>
          <w:lang w:val="en-US"/>
        </w:rPr>
        <w:t xml:space="preserve"> Cornely OA, Bassetti M, Calandra T, et al; ESCMID Fungal Infection Study Group: ESCMID* guideline for the diagnosis and manage ment of Candida diseases 2012: non-neutropenic adult patients. Clin Microbiol Infect 2012; 18 Suppl 7:19–37</w:t>
      </w:r>
    </w:p>
  </w:endnote>
  <w:endnote w:id="136">
    <w:p w14:paraId="3604AC7A" w14:textId="77777777" w:rsidR="00587AE4" w:rsidRPr="00D60A69" w:rsidRDefault="00587AE4" w:rsidP="00801F84">
      <w:pPr>
        <w:pStyle w:val="Endnotentext"/>
        <w:rPr>
          <w:lang w:val="en-US"/>
        </w:rPr>
      </w:pPr>
      <w:r w:rsidRPr="00D60A69">
        <w:endnoteRef/>
      </w:r>
      <w:r w:rsidRPr="00D60A69">
        <w:rPr>
          <w:lang w:val="en-US"/>
        </w:rPr>
        <w:t xml:space="preserve"> Kalil AC, Metersky ML, Klompas M, et al: Management of Adults With Hospital-acquired and Ventilator-associated Pneumonia: 2016 Clinical Practice Guidelines by the Infectious Diseases Society of America and the American Thoracic Society. Clin Infect Dis 2016; 63:e61–e111</w:t>
      </w:r>
    </w:p>
  </w:endnote>
  <w:endnote w:id="137">
    <w:p w14:paraId="6C599B3C" w14:textId="77777777" w:rsidR="00587AE4" w:rsidRPr="00D60A69" w:rsidRDefault="00587AE4" w:rsidP="00801F84">
      <w:pPr>
        <w:pStyle w:val="Endnotentext"/>
        <w:rPr>
          <w:lang w:val="en-US"/>
        </w:rPr>
      </w:pPr>
      <w:r w:rsidRPr="00D60A69">
        <w:endnoteRef/>
      </w:r>
      <w:r w:rsidRPr="00D60A69">
        <w:rPr>
          <w:lang w:val="en-US"/>
        </w:rPr>
        <w:t xml:space="preserve"> Liu C, Bayer A, Cosgrove SE, et al; Infectious Diseases Society of America: Clinical practice guidelines by the infectious dis eases society of america for the treatment of methicillin-resistant Staphylococcus aureus infections in adults and children. Clin Infect Dis 2011; 52:e18–e55</w:t>
      </w:r>
    </w:p>
  </w:endnote>
  <w:endnote w:id="138">
    <w:p w14:paraId="44A5419C" w14:textId="77777777" w:rsidR="00587AE4" w:rsidRPr="00D60A69" w:rsidRDefault="00587AE4" w:rsidP="00801F84">
      <w:pPr>
        <w:pStyle w:val="Endnotentext"/>
        <w:rPr>
          <w:lang w:val="en-US"/>
        </w:rPr>
      </w:pPr>
      <w:r w:rsidRPr="00D60A69">
        <w:endnoteRef/>
      </w:r>
      <w:r w:rsidRPr="00D60A69">
        <w:rPr>
          <w:lang w:val="en-US"/>
        </w:rPr>
        <w:t xml:space="preserve"> Pappas PG, Kauffman CA, Andes DR, et al: Clinical Practice Guideline for the Management of Candidiasis: 2016 Update by the Infectious Diseases Society of America. Clin Infect Dis 2016; 62:e1–50</w:t>
      </w:r>
    </w:p>
  </w:endnote>
  <w:endnote w:id="139">
    <w:p w14:paraId="12D2DE68" w14:textId="77777777" w:rsidR="00587AE4" w:rsidRPr="00D60A69" w:rsidRDefault="00587AE4" w:rsidP="00801F84">
      <w:pPr>
        <w:pStyle w:val="Endnotentext"/>
        <w:rPr>
          <w:lang w:val="en-US"/>
        </w:rPr>
      </w:pPr>
      <w:r w:rsidRPr="00D60A69">
        <w:endnoteRef/>
      </w:r>
      <w:r w:rsidRPr="00D60A69">
        <w:rPr>
          <w:lang w:val="en-US"/>
        </w:rPr>
        <w:t xml:space="preserve"> Penack O, Becker C, Buchheidt D, et al: Management of sepsis in neutropenic patients: 2014 updated guidelines from the Infectious Diseases Working Party of the German Society of Hematology and Medical Oncology (AGIHO). Ann Hematol 2014; 93:1083–1095</w:t>
      </w:r>
    </w:p>
  </w:endnote>
  <w:endnote w:id="140">
    <w:p w14:paraId="3EAB025D" w14:textId="77777777" w:rsidR="00587AE4" w:rsidRPr="00D60A69" w:rsidRDefault="00587AE4" w:rsidP="00801F84">
      <w:pPr>
        <w:pStyle w:val="Endnotentext"/>
        <w:rPr>
          <w:lang w:val="en-US"/>
        </w:rPr>
      </w:pPr>
      <w:r w:rsidRPr="00D60A69">
        <w:endnoteRef/>
      </w:r>
      <w:r w:rsidRPr="00D60A69">
        <w:rPr>
          <w:lang w:val="en-US"/>
        </w:rPr>
        <w:t xml:space="preserve"> Penack O, Buchheidt D, Christopeit M, et al; German Society of Hematology and Oncology: Management of sepsis in neutropenic patients: guidelines from the infectious diseases working party of the German Society of Hematology and Oncology. Ann Oncol 2011; 22:1019–1029</w:t>
      </w:r>
    </w:p>
  </w:endnote>
  <w:endnote w:id="141">
    <w:p w14:paraId="418687AC" w14:textId="77777777" w:rsidR="00587AE4" w:rsidRPr="00D60A69" w:rsidRDefault="00587AE4" w:rsidP="00801F84">
      <w:pPr>
        <w:pStyle w:val="Endnotentext"/>
        <w:rPr>
          <w:lang w:val="en-US"/>
        </w:rPr>
      </w:pPr>
      <w:r w:rsidRPr="00D60A69">
        <w:endnoteRef/>
      </w:r>
      <w:r w:rsidRPr="00D60A69">
        <w:rPr>
          <w:lang w:val="en-US"/>
        </w:rPr>
        <w:t xml:space="preserve"> Solomkin JS, Mazuski JE, Bradley JS, et al: Diagnosis and management of complicated intra-abdominal infection in adults and children: guide lines by the Surgical Infection Society and the Infectious Diseases Society of America. Surg Infect (Larchmt) 2010; 11:79–109</w:t>
      </w:r>
    </w:p>
  </w:endnote>
  <w:endnote w:id="142">
    <w:p w14:paraId="610F9BD0" w14:textId="77777777" w:rsidR="00587AE4" w:rsidRPr="00D60A69" w:rsidRDefault="00587AE4" w:rsidP="00801F84">
      <w:pPr>
        <w:pStyle w:val="Endnotentext"/>
        <w:rPr>
          <w:lang w:val="en-US"/>
        </w:rPr>
      </w:pPr>
      <w:r w:rsidRPr="00D60A69">
        <w:endnoteRef/>
      </w:r>
      <w:r w:rsidRPr="00D60A69">
        <w:rPr>
          <w:lang w:val="en-US"/>
        </w:rPr>
        <w:t xml:space="preserve"> Stevens DL, Bisno AL, Chambers HF, et al: Practice guidelines for the diagnosis and management of skin and soft tissue infections: 2014 update by the infectious diseases society of America. Clin Infect Dis 2014; 59:147–159</w:t>
      </w:r>
    </w:p>
  </w:endnote>
  <w:endnote w:id="143">
    <w:p w14:paraId="2ED95B99" w14:textId="77777777" w:rsidR="00587AE4" w:rsidRPr="00D60A69" w:rsidRDefault="00587AE4" w:rsidP="00801F84">
      <w:pPr>
        <w:pStyle w:val="Endnotentext"/>
        <w:rPr>
          <w:lang w:val="en-US"/>
        </w:rPr>
      </w:pPr>
      <w:r w:rsidRPr="00D60A69">
        <w:endnoteRef/>
      </w:r>
      <w:r w:rsidRPr="00D60A69">
        <w:rPr>
          <w:lang w:val="en-US"/>
        </w:rPr>
        <w:t xml:space="preserve"> Micek ST, Welch EC, Khan J, et al: Empiric combination antibiotic therapy is associated with improved outcome against sepsis due to Gram-negative bacteria: a retrospective analysis. Antimicrob Agents Chemother 2010; 54:1742–1748</w:t>
      </w:r>
    </w:p>
  </w:endnote>
  <w:endnote w:id="144">
    <w:p w14:paraId="639BB8AC" w14:textId="77777777" w:rsidR="00587AE4" w:rsidRPr="00D60A69" w:rsidRDefault="00587AE4" w:rsidP="00801F84">
      <w:pPr>
        <w:pStyle w:val="Endnotentext"/>
        <w:rPr>
          <w:lang w:val="en-US"/>
        </w:rPr>
      </w:pPr>
      <w:r w:rsidRPr="00D60A69">
        <w:endnoteRef/>
      </w:r>
      <w:r w:rsidRPr="00D60A69">
        <w:rPr>
          <w:lang w:val="en-US"/>
        </w:rPr>
        <w:t xml:space="preserve"> Pittet D, Monod M, Suter PM, et al: Candida colonization and sub sequent infections in critically ill surgical patients. Ann Surg 1994; 220:751–758</w:t>
      </w:r>
    </w:p>
  </w:endnote>
  <w:endnote w:id="145">
    <w:p w14:paraId="6808923F" w14:textId="77777777" w:rsidR="00587AE4" w:rsidRPr="00D60A69" w:rsidRDefault="00587AE4" w:rsidP="00801F84">
      <w:pPr>
        <w:pStyle w:val="Endnotentext"/>
        <w:rPr>
          <w:lang w:val="en-US"/>
        </w:rPr>
      </w:pPr>
      <w:r w:rsidRPr="00D60A69">
        <w:endnoteRef/>
      </w:r>
      <w:r w:rsidRPr="00D60A69">
        <w:rPr>
          <w:lang w:val="en-US"/>
        </w:rPr>
        <w:t xml:space="preserve"> Blumberg HM, Jarvis WR, Soucie JM, et al; National Epidemiology of Mycoses Survey(NEMIS) Study Group: Risk factors for candidal bloodstream infections in surgical intensive care unit patients: the NEMIS prospective multicenter study. The National Epidemiology of Mycosis Survey. Clin Infect Dis 2001; 33:177–186</w:t>
      </w:r>
    </w:p>
  </w:endnote>
  <w:endnote w:id="146">
    <w:p w14:paraId="1B30BB7A" w14:textId="77777777" w:rsidR="00587AE4" w:rsidRPr="00D60A69" w:rsidRDefault="00587AE4" w:rsidP="00801F84">
      <w:pPr>
        <w:pStyle w:val="Endnotentext"/>
        <w:rPr>
          <w:lang w:val="en-US"/>
        </w:rPr>
      </w:pPr>
      <w:r w:rsidRPr="00D60A69">
        <w:endnoteRef/>
      </w:r>
      <w:r w:rsidRPr="00D60A69">
        <w:rPr>
          <w:lang w:val="en-US"/>
        </w:rPr>
        <w:t xml:space="preserve"> Green DL: Selection of an empiric antibiotic regimen for hospital acquired pneumonia using a unit and culture-type specific antibio gram. J Intensive Care Med 2005; 20:296–301</w:t>
      </w:r>
    </w:p>
  </w:endnote>
  <w:endnote w:id="147">
    <w:p w14:paraId="379504CC" w14:textId="77777777" w:rsidR="00587AE4" w:rsidRPr="00D60A69" w:rsidRDefault="00587AE4" w:rsidP="00801F84">
      <w:pPr>
        <w:pStyle w:val="Endnotentext"/>
        <w:rPr>
          <w:lang w:val="en-US"/>
        </w:rPr>
      </w:pPr>
      <w:r w:rsidRPr="00D60A69">
        <w:endnoteRef/>
      </w:r>
      <w:r w:rsidRPr="00D60A69">
        <w:rPr>
          <w:lang w:val="en-US"/>
        </w:rPr>
        <w:t xml:space="preserve"> Kaufman D, Haas CE, Edinger R, et al: Antibiotic susceptibility in the surgical intensive care unit compared with the hospital-wide antibio gram. Arch Surg 1998; 133:1041–1045</w:t>
      </w:r>
    </w:p>
  </w:endnote>
  <w:endnote w:id="148">
    <w:p w14:paraId="6AE5D8E7" w14:textId="77777777" w:rsidR="00587AE4" w:rsidRPr="00D60A69" w:rsidRDefault="00587AE4" w:rsidP="00801F84">
      <w:pPr>
        <w:pStyle w:val="Endnotentext"/>
        <w:rPr>
          <w:lang w:val="en-US"/>
        </w:rPr>
      </w:pPr>
      <w:r w:rsidRPr="00D60A69">
        <w:endnoteRef/>
      </w:r>
      <w:r w:rsidRPr="00D60A69">
        <w:rPr>
          <w:lang w:val="en-US"/>
        </w:rPr>
        <w:t xml:space="preserve"> Kerremans JJ, Verbrugh HA, Vos MC: Frequency of microbio logically correct antibiotic therapy increased by infectious disease consultations and microbiological results. J Clin Microbiol 2012; 50:2066–2068</w:t>
      </w:r>
    </w:p>
  </w:endnote>
  <w:endnote w:id="149">
    <w:p w14:paraId="2DDBC875" w14:textId="4599060B" w:rsidR="00587AE4" w:rsidRPr="00D60A69" w:rsidRDefault="00587AE4" w:rsidP="00801F84">
      <w:pPr>
        <w:pStyle w:val="Endnotentext"/>
        <w:rPr>
          <w:lang w:val="en-US"/>
        </w:rPr>
      </w:pPr>
      <w:r w:rsidRPr="00D60A69">
        <w:endnoteRef/>
      </w:r>
      <w:r w:rsidRPr="00D60A69">
        <w:rPr>
          <w:lang w:val="en-US"/>
        </w:rPr>
        <w:t xml:space="preserve"> Guo Y, Gao W, Yang H, et al: De-escalation of empiric antibiotics in patients with severe sepsis or septic shock: A meta-analysis. Heart Lung 2016; 45:454–459</w:t>
      </w:r>
    </w:p>
  </w:endnote>
  <w:endnote w:id="150">
    <w:p w14:paraId="1A9265E4" w14:textId="77777777" w:rsidR="00587AE4" w:rsidRPr="00D60A69" w:rsidRDefault="00587AE4" w:rsidP="00801F84">
      <w:pPr>
        <w:pStyle w:val="Endnotentext"/>
        <w:rPr>
          <w:lang w:val="en-US"/>
        </w:rPr>
      </w:pPr>
      <w:r w:rsidRPr="00D60A69">
        <w:endnoteRef/>
      </w:r>
      <w:r w:rsidRPr="00D60A69">
        <w:rPr>
          <w:lang w:val="en-US"/>
        </w:rPr>
        <w:t xml:space="preserve"> Working Group IAP/APA Acute Pancreatitis Guidelines: IAP/APA evidence-based guidelines for the management of acute pancreati tis. Pancreatology. 2013;13(4):e1–e15</w:t>
      </w:r>
    </w:p>
  </w:endnote>
  <w:endnote w:id="151">
    <w:p w14:paraId="7D5B9DFD" w14:textId="77777777" w:rsidR="00587AE4" w:rsidRPr="00D60A69" w:rsidRDefault="00587AE4" w:rsidP="00801F84">
      <w:pPr>
        <w:pStyle w:val="Endnotentext"/>
        <w:rPr>
          <w:lang w:val="en-US"/>
        </w:rPr>
      </w:pPr>
      <w:r w:rsidRPr="00D60A69">
        <w:endnoteRef/>
      </w:r>
      <w:r w:rsidRPr="00D60A69">
        <w:rPr>
          <w:lang w:val="en-US"/>
        </w:rPr>
        <w:t xml:space="preserve"> Wittau M, Mayer B, Scheele J, et al: Systematic review and meta analysis of antibiotic prophylaxis in severe acute pancreatitis. Scand J Gastroenterol 2011; 46:261–270</w:t>
      </w:r>
    </w:p>
  </w:endnote>
  <w:endnote w:id="152">
    <w:p w14:paraId="3EC8DBA9" w14:textId="77777777" w:rsidR="00587AE4" w:rsidRPr="00D60A69" w:rsidRDefault="00587AE4" w:rsidP="00801F84">
      <w:pPr>
        <w:pStyle w:val="Endnotentext"/>
        <w:rPr>
          <w:lang w:val="en-US"/>
        </w:rPr>
      </w:pPr>
      <w:r w:rsidRPr="00D60A69">
        <w:endnoteRef/>
      </w:r>
      <w:r w:rsidRPr="00D60A69">
        <w:rPr>
          <w:lang w:val="en-US"/>
        </w:rPr>
        <w:t xml:space="preserve"> Avni T, Levcovich A, Ad-El DD, et al: Prophylactic antibiotics for burns patients: systematic review and meta-analysis. BMJ 2010; 340:c241</w:t>
      </w:r>
    </w:p>
  </w:endnote>
  <w:endnote w:id="153">
    <w:p w14:paraId="3A9FB9D6" w14:textId="77777777" w:rsidR="00587AE4" w:rsidRPr="00D60A69" w:rsidRDefault="00587AE4" w:rsidP="00801F84">
      <w:pPr>
        <w:pStyle w:val="Endnotentext"/>
        <w:rPr>
          <w:lang w:val="en-US"/>
        </w:rPr>
      </w:pPr>
      <w:r w:rsidRPr="00D60A69">
        <w:endnoteRef/>
      </w:r>
      <w:r w:rsidRPr="00D60A69">
        <w:rPr>
          <w:lang w:val="en-US"/>
        </w:rPr>
        <w:t xml:space="preserve"> Barajas-Nava LA, López-Alcalde J, Roquö i Figuls M, Solä I, Bonfill Cosp X: Antibiotic prophylaxis for preventing burn wound infection. Cochrane Database Syst Rev. 2013;(6):CD008738</w:t>
      </w:r>
    </w:p>
  </w:endnote>
  <w:endnote w:id="154">
    <w:p w14:paraId="1CA91F9C" w14:textId="77777777" w:rsidR="00587AE4" w:rsidRPr="00D60A69" w:rsidRDefault="00587AE4" w:rsidP="00801F84">
      <w:pPr>
        <w:pStyle w:val="Endnotentext"/>
        <w:rPr>
          <w:lang w:val="en-US"/>
        </w:rPr>
      </w:pPr>
      <w:r w:rsidRPr="00D60A69">
        <w:endnoteRef/>
      </w:r>
      <w:r w:rsidRPr="00D60A69">
        <w:rPr>
          <w:lang w:val="en-US"/>
        </w:rPr>
        <w:t xml:space="preserve"> Connolly S: Clinical Practice Guidelines: Burn Patient Management. ACI Statewide Burn Injury Service. Chatswood, NSW, Australia: NSW Agency for Clinical Innovation; 2011</w:t>
      </w:r>
      <w:r w:rsidRPr="00D60A69" w:rsidDel="00B625A3">
        <w:rPr>
          <w:lang w:val="en-US"/>
        </w:rPr>
        <w:t xml:space="preserve"> </w:t>
      </w:r>
    </w:p>
  </w:endnote>
  <w:endnote w:id="155">
    <w:p w14:paraId="49095340" w14:textId="77777777" w:rsidR="00587AE4" w:rsidRPr="00D60A69" w:rsidRDefault="00587AE4" w:rsidP="00801F84">
      <w:pPr>
        <w:pStyle w:val="Endnotentext"/>
        <w:rPr>
          <w:lang w:val="en-US"/>
        </w:rPr>
      </w:pPr>
      <w:r w:rsidRPr="00D60A69">
        <w:endnoteRef/>
      </w:r>
      <w:r w:rsidRPr="00D60A69">
        <w:rPr>
          <w:lang w:val="en-US"/>
        </w:rPr>
        <w:t xml:space="preserve"> Moore RD, Smith CR, Lietman PS: Association of aminoglycoside plasma levels with therapeutic outcome in gram-negative pneumo nia. Am J Med 1984; 77:657–662</w:t>
      </w:r>
    </w:p>
  </w:endnote>
  <w:endnote w:id="156">
    <w:p w14:paraId="05CB91E0" w14:textId="77777777" w:rsidR="00587AE4" w:rsidRPr="00D60A69" w:rsidRDefault="00587AE4" w:rsidP="00801F84">
      <w:pPr>
        <w:pStyle w:val="Endnotentext"/>
        <w:rPr>
          <w:lang w:val="en-US"/>
        </w:rPr>
      </w:pPr>
      <w:r w:rsidRPr="00D60A69">
        <w:endnoteRef/>
      </w:r>
      <w:r w:rsidRPr="00D60A69">
        <w:rPr>
          <w:lang w:val="en-US"/>
        </w:rPr>
        <w:t xml:space="preserve"> Men P, Li HB, Zhai SD, et al: Association between the AUC0-24/MIC Ratio of Vancomycin and Its Clinical Effectiveness: A Systematic Review and Meta-Analysis. PLoS One 2016; 11:e0146224</w:t>
      </w:r>
    </w:p>
  </w:endnote>
  <w:endnote w:id="157">
    <w:p w14:paraId="6DA7E6C2" w14:textId="77777777" w:rsidR="00587AE4" w:rsidRPr="00D60A69" w:rsidRDefault="00587AE4" w:rsidP="00801F84">
      <w:pPr>
        <w:pStyle w:val="Endnotentext"/>
        <w:rPr>
          <w:lang w:val="en-US"/>
        </w:rPr>
      </w:pPr>
      <w:r w:rsidRPr="00D60A69">
        <w:endnoteRef/>
      </w:r>
      <w:r w:rsidRPr="00D60A69">
        <w:rPr>
          <w:lang w:val="en-US"/>
        </w:rPr>
        <w:t xml:space="preserve"> Moise-Broder PA, Forrest A, Birmingham MC, et al: Pharmacodynamics of vancomycin and other antimicrobials in patients with Staphylococcus aureus lower respiratory tract infections. Clin Pharmacokinet 2004; 43:925–942</w:t>
      </w:r>
    </w:p>
  </w:endnote>
  <w:endnote w:id="158">
    <w:p w14:paraId="5D4C9D02" w14:textId="77777777" w:rsidR="00587AE4" w:rsidRPr="00D60A69" w:rsidRDefault="00587AE4" w:rsidP="00801F84">
      <w:pPr>
        <w:pStyle w:val="Endnotentext"/>
        <w:rPr>
          <w:lang w:val="en-US"/>
        </w:rPr>
      </w:pPr>
      <w:r w:rsidRPr="00D60A69">
        <w:endnoteRef/>
      </w:r>
      <w:r w:rsidRPr="00D60A69">
        <w:rPr>
          <w:lang w:val="en-US"/>
        </w:rPr>
        <w:t xml:space="preserve"> Zelenitsky S, Rubinstein E, Ariano R, et al; Cooperative Antimicrobial Therapy of Septic Shock-CATSS Database Research Group: Vancomycin pharmacodynamics and survival in patients with meth icillin-resistant Staphylococcus aureus-associated septic shock. Int J Antimicrob Agents 2013; 41:255–260</w:t>
      </w:r>
    </w:p>
  </w:endnote>
  <w:endnote w:id="159">
    <w:p w14:paraId="5F302B5E" w14:textId="77777777" w:rsidR="00587AE4" w:rsidRPr="00D60A69" w:rsidRDefault="00587AE4" w:rsidP="00801F84">
      <w:pPr>
        <w:pStyle w:val="Endnotentext"/>
        <w:rPr>
          <w:lang w:val="en-US"/>
        </w:rPr>
      </w:pPr>
      <w:r w:rsidRPr="00D60A69">
        <w:endnoteRef/>
      </w:r>
      <w:r w:rsidRPr="00D60A69">
        <w:rPr>
          <w:lang w:val="en-US"/>
        </w:rPr>
        <w:t xml:space="preserve"> Forrest A, Nix DE, Ballow CH, et al: Pharmacodynamics of intra venous ciprofloxacin in seriously ill patients. Antimicrob Agents Chemother 1993; 37:1073–1081</w:t>
      </w:r>
    </w:p>
  </w:endnote>
  <w:endnote w:id="160">
    <w:p w14:paraId="55FCA697" w14:textId="77777777" w:rsidR="00587AE4" w:rsidRPr="00D60A69" w:rsidRDefault="00587AE4" w:rsidP="00801F84">
      <w:pPr>
        <w:pStyle w:val="Endnotentext"/>
        <w:rPr>
          <w:lang w:val="en-US"/>
        </w:rPr>
      </w:pPr>
      <w:r w:rsidRPr="00D60A69">
        <w:endnoteRef/>
      </w:r>
      <w:r w:rsidRPr="00D60A69">
        <w:rPr>
          <w:lang w:val="en-US"/>
        </w:rPr>
        <w:t xml:space="preserve"> Preston SL, Drusano GL, Berman AL, et al: Pharmacodynamics of levofloxacin: a new paradigm for early clinical trials. JAMA 1998; 279:125–129</w:t>
      </w:r>
    </w:p>
  </w:endnote>
  <w:endnote w:id="161">
    <w:p w14:paraId="588FC8D8" w14:textId="77777777" w:rsidR="00587AE4" w:rsidRPr="00D60A69" w:rsidRDefault="00587AE4" w:rsidP="00801F84">
      <w:pPr>
        <w:pStyle w:val="Endnotentext"/>
        <w:rPr>
          <w:lang w:val="en-US"/>
        </w:rPr>
      </w:pPr>
      <w:r w:rsidRPr="00D60A69">
        <w:endnoteRef/>
      </w:r>
      <w:r w:rsidRPr="00D60A69">
        <w:rPr>
          <w:lang w:val="en-US"/>
        </w:rPr>
        <w:t xml:space="preserve"> Drusano GL, Preston SL, Fowler C, et al: Relationship between fluoroquinolone area under the curve: minimum inhibitory con centration ratio and the probability of eradication of the infecting pathogen, in patients with nosocomial pneumonia. J Infect Dis 2004; 189:1590–1597</w:t>
      </w:r>
    </w:p>
  </w:endnote>
  <w:endnote w:id="162">
    <w:p w14:paraId="193F5E6A" w14:textId="77777777" w:rsidR="00587AE4" w:rsidRPr="00D60A69" w:rsidRDefault="00587AE4" w:rsidP="00801F84">
      <w:pPr>
        <w:pStyle w:val="Endnotentext"/>
        <w:rPr>
          <w:lang w:val="en-US"/>
        </w:rPr>
      </w:pPr>
      <w:r w:rsidRPr="00D60A69">
        <w:endnoteRef/>
      </w:r>
      <w:r w:rsidRPr="00D60A69">
        <w:rPr>
          <w:lang w:val="en-US"/>
        </w:rPr>
        <w:t xml:space="preserve"> Kashuba AD, Nafziger AN, Drusano GL, et al: Optimizing aminogly coside therapy for nosocomial pneumonia caused by gram-negative bacteria. Antimicrob Agents Chemother 1999; 43:623–629</w:t>
      </w:r>
    </w:p>
  </w:endnote>
  <w:endnote w:id="163">
    <w:p w14:paraId="2F15D77C" w14:textId="77777777" w:rsidR="00587AE4" w:rsidRPr="00D60A69" w:rsidRDefault="00587AE4" w:rsidP="00801F84">
      <w:pPr>
        <w:pStyle w:val="Endnotentext"/>
        <w:rPr>
          <w:lang w:val="en-US"/>
        </w:rPr>
      </w:pPr>
      <w:r w:rsidRPr="00D60A69">
        <w:endnoteRef/>
      </w:r>
      <w:r w:rsidRPr="00D60A69">
        <w:rPr>
          <w:lang w:val="en-US"/>
        </w:rPr>
        <w:t xml:space="preserve"> Schentag JJ, Smith IL, Swanson DJ, et al: Role for dual individualiza tion with cefmenoxime. Am J Med 1984; 77:43–50</w:t>
      </w:r>
    </w:p>
  </w:endnote>
  <w:endnote w:id="164">
    <w:p w14:paraId="73F874C1" w14:textId="77777777" w:rsidR="00587AE4" w:rsidRPr="00D60A69" w:rsidRDefault="00587AE4" w:rsidP="00801F84">
      <w:pPr>
        <w:pStyle w:val="Endnotentext"/>
        <w:rPr>
          <w:lang w:val="en-US"/>
        </w:rPr>
      </w:pPr>
      <w:r w:rsidRPr="00D60A69">
        <w:endnoteRef/>
      </w:r>
      <w:r w:rsidRPr="00D60A69">
        <w:rPr>
          <w:lang w:val="en-US"/>
        </w:rPr>
        <w:t xml:space="preserve"> Crandon JL, Bulik CC, Kuti JL, et al: Clinical pharmacodynamics of cefepime in patients infected with Pseudomonas aeruginosa. Antimicrob Agents Chemother 2010; 54:1111–1116</w:t>
      </w:r>
    </w:p>
  </w:endnote>
  <w:endnote w:id="165">
    <w:p w14:paraId="1DA3FF9C" w14:textId="77777777" w:rsidR="00587AE4" w:rsidRPr="00D60A69" w:rsidRDefault="00587AE4" w:rsidP="00801F84">
      <w:pPr>
        <w:pStyle w:val="Endnotentext"/>
        <w:rPr>
          <w:lang w:val="en-US"/>
        </w:rPr>
      </w:pPr>
      <w:r w:rsidRPr="00D60A69">
        <w:endnoteRef/>
      </w:r>
      <w:r w:rsidRPr="00D60A69">
        <w:rPr>
          <w:lang w:val="en-US"/>
        </w:rPr>
        <w:t xml:space="preserve"> McKinnon PS, Paladino JA, Schentag JJ: Evaluation of area under the inhibitory curve (AUIC) and time above the minimum inhibitory concentration (T&gt;MIC) as predictors of outcome for cefepime and ceftazidime in serious bacterial infections. Int J Antimicrob Agents 2008; 31:345–351</w:t>
      </w:r>
    </w:p>
  </w:endnote>
  <w:endnote w:id="166">
    <w:p w14:paraId="3791C1F0" w14:textId="77777777" w:rsidR="00587AE4" w:rsidRPr="00D60A69" w:rsidRDefault="00587AE4" w:rsidP="00801F84">
      <w:pPr>
        <w:pStyle w:val="Endnotentext"/>
        <w:rPr>
          <w:lang w:val="en-US"/>
        </w:rPr>
      </w:pPr>
      <w:r w:rsidRPr="00D60A69">
        <w:endnoteRef/>
      </w:r>
      <w:r w:rsidRPr="00D60A69">
        <w:rPr>
          <w:lang w:val="en-US"/>
        </w:rPr>
        <w:t xml:space="preserve"> Roberts JA, Abdul-Aziz MH, Davis JS, et al: Continuous versus Intermittent </w:t>
      </w:r>
      <w:r w:rsidRPr="00D60A69">
        <w:t>β</w:t>
      </w:r>
      <w:r w:rsidRPr="00D60A69">
        <w:rPr>
          <w:lang w:val="en-US"/>
        </w:rPr>
        <w:t>-Lactam Infusion in Severe Sepsis. A Meta-analysis of Individual Patient Data from Randomized Trials. Am J Respir Crit Care Med 2016; 194:681–691</w:t>
      </w:r>
    </w:p>
  </w:endnote>
  <w:endnote w:id="167">
    <w:p w14:paraId="6DC9EBDA" w14:textId="77777777" w:rsidR="00587AE4" w:rsidRPr="00D60A69" w:rsidRDefault="00587AE4" w:rsidP="00801F84">
      <w:pPr>
        <w:pStyle w:val="Endnotentext"/>
        <w:rPr>
          <w:lang w:val="en-US"/>
        </w:rPr>
      </w:pPr>
      <w:r w:rsidRPr="00D60A69">
        <w:endnoteRef/>
      </w:r>
      <w:r w:rsidRPr="00D60A69">
        <w:rPr>
          <w:lang w:val="en-US"/>
        </w:rPr>
        <w:t xml:space="preserve"> Barza M, Ioannidis JP, Cappelleri JC, et al: Single or multiple daily doses of aminoglycosides: a meta-analysis. BMJ 1996; 312:338–345</w:t>
      </w:r>
    </w:p>
  </w:endnote>
  <w:endnote w:id="168">
    <w:p w14:paraId="7669F7F6" w14:textId="77777777" w:rsidR="00587AE4" w:rsidRPr="00D60A69" w:rsidRDefault="00587AE4" w:rsidP="00801F84">
      <w:pPr>
        <w:pStyle w:val="Endnotentext"/>
        <w:rPr>
          <w:lang w:val="en-US"/>
        </w:rPr>
      </w:pPr>
      <w:r w:rsidRPr="00D60A69">
        <w:endnoteRef/>
      </w:r>
      <w:r w:rsidRPr="00D60A69">
        <w:rPr>
          <w:lang w:val="en-US"/>
        </w:rPr>
        <w:t xml:space="preserve"> Hatala R, Dinh T, Cook DJ: Once-daily aminoglycoside dosing in immunocompetent adults: a meta-analysis. Ann Intern Med 1996; 124:717–725</w:t>
      </w:r>
    </w:p>
  </w:endnote>
  <w:endnote w:id="169">
    <w:p w14:paraId="5A5A9C9D" w14:textId="77777777" w:rsidR="00587AE4" w:rsidRPr="00D60A69" w:rsidRDefault="00587AE4" w:rsidP="00801F84">
      <w:pPr>
        <w:pStyle w:val="Endnotentext"/>
        <w:rPr>
          <w:lang w:val="en-US"/>
        </w:rPr>
      </w:pPr>
      <w:r w:rsidRPr="00D60A69">
        <w:endnoteRef/>
      </w:r>
      <w:r w:rsidRPr="00D60A69">
        <w:rPr>
          <w:lang w:val="en-US"/>
        </w:rPr>
        <w:t xml:space="preserve"> van Zanten AR, Polderman KH, van Geijlswijk IM, et al: Ciprofloxacin pharmacokinetics in critically ill patients: a prospective cohort study. J Crit Care 2008; 23:422–430</w:t>
      </w:r>
      <w:r w:rsidRPr="00D60A69" w:rsidDel="007D05FE">
        <w:rPr>
          <w:lang w:val="en-US"/>
        </w:rPr>
        <w:t xml:space="preserve"> </w:t>
      </w:r>
    </w:p>
  </w:endnote>
  <w:endnote w:id="170">
    <w:p w14:paraId="613723CD" w14:textId="77777777" w:rsidR="00587AE4" w:rsidRPr="00D60A69" w:rsidRDefault="00587AE4" w:rsidP="00801F84">
      <w:pPr>
        <w:pStyle w:val="Endnotentext"/>
        <w:rPr>
          <w:lang w:val="en-US"/>
        </w:rPr>
      </w:pPr>
      <w:r w:rsidRPr="00D60A69">
        <w:endnoteRef/>
      </w:r>
      <w:r w:rsidRPr="00D60A69">
        <w:rPr>
          <w:lang w:val="en-US"/>
        </w:rPr>
        <w:t xml:space="preserve"> Zelenitsky SA, Ariano RE: Support for higher ciprofloxacin AUC 24/MIC targets in treating Enterobacteriaceae bloodstream infection. J Antimicrob Chemother 2010; 65:1725–1732</w:t>
      </w:r>
    </w:p>
  </w:endnote>
  <w:endnote w:id="171">
    <w:p w14:paraId="1B65577A" w14:textId="77777777" w:rsidR="00587AE4" w:rsidRPr="00D60A69" w:rsidRDefault="00587AE4" w:rsidP="00801F84">
      <w:pPr>
        <w:pStyle w:val="Endnotentext"/>
        <w:rPr>
          <w:lang w:val="en-US"/>
        </w:rPr>
      </w:pPr>
      <w:r w:rsidRPr="00D60A69">
        <w:endnoteRef/>
      </w:r>
      <w:r w:rsidRPr="00D60A69">
        <w:rPr>
          <w:lang w:val="en-US"/>
        </w:rPr>
        <w:t xml:space="preserve"> Dunbar LM, Wunderink RG, Habib MP, et al: High-dose, short course levofloxacin for community-acquired pneumonia: a new treat ment paradigm. Clin Infect Dis 2003; 37:752–760</w:t>
      </w:r>
    </w:p>
  </w:endnote>
  <w:endnote w:id="172">
    <w:p w14:paraId="19D99B4B" w14:textId="77777777" w:rsidR="00587AE4" w:rsidRPr="00D60A69" w:rsidRDefault="00587AE4" w:rsidP="00801F84">
      <w:pPr>
        <w:pStyle w:val="Endnotentext"/>
        <w:rPr>
          <w:lang w:val="en-US"/>
        </w:rPr>
      </w:pPr>
      <w:r w:rsidRPr="00D60A69">
        <w:endnoteRef/>
      </w:r>
      <w:r w:rsidRPr="00D60A69">
        <w:rPr>
          <w:lang w:val="en-US"/>
        </w:rPr>
        <w:t xml:space="preserve"> Rybak MJ, Lomaestro BM, Rotschafer JC, et al: Vancomycin thera peutic guidelines: a summary of consensus recommendations from the infectious diseases Society of America, the American Society of Health-System Pharmacists, and the Society of Infectious Diseases Pharmacists. Clin Infect Dis 2009; 49:325–327</w:t>
      </w:r>
    </w:p>
  </w:endnote>
  <w:endnote w:id="173">
    <w:p w14:paraId="4C275A05" w14:textId="77777777" w:rsidR="00587AE4" w:rsidRPr="00D60A69" w:rsidRDefault="00587AE4" w:rsidP="00801F84">
      <w:pPr>
        <w:pStyle w:val="Endnotentext"/>
        <w:rPr>
          <w:lang w:val="en-US"/>
        </w:rPr>
      </w:pPr>
      <w:r w:rsidRPr="00D60A69">
        <w:endnoteRef/>
      </w:r>
      <w:r w:rsidRPr="00D60A69">
        <w:rPr>
          <w:lang w:val="en-US"/>
        </w:rPr>
        <w:t xml:space="preserve"> Matsumoto K, Takesue Y, Ohmagari N, et al: Practice guide lines for therapeutic drug monitoring of vancomycin: a consensus review of the Japanese Society of Chemotherapy and the Japanese Society of Therapeutic Drug Monitoring. J Infect Chemother 2013; 19:365–380</w:t>
      </w:r>
    </w:p>
  </w:endnote>
  <w:endnote w:id="174">
    <w:p w14:paraId="1CB5607D" w14:textId="77777777" w:rsidR="00587AE4" w:rsidRPr="00D60A69" w:rsidRDefault="00587AE4" w:rsidP="00801F84">
      <w:pPr>
        <w:pStyle w:val="Endnotentext"/>
        <w:rPr>
          <w:lang w:val="en-US"/>
        </w:rPr>
      </w:pPr>
      <w:r w:rsidRPr="00D60A69">
        <w:endnoteRef/>
      </w:r>
      <w:r w:rsidRPr="00D60A69">
        <w:rPr>
          <w:lang w:val="en-US"/>
        </w:rPr>
        <w:t xml:space="preserve"> Steinmetz T, Eliakim-Raz N, Goldberg E, et al: Association of van comycin serum concentrations with efficacy in patients with MRSA infections: a systematic review and meta-analysis. Clin Microbiol Infect 2015; 21:665–673</w:t>
      </w:r>
    </w:p>
  </w:endnote>
  <w:endnote w:id="175">
    <w:p w14:paraId="754359BF" w14:textId="77777777" w:rsidR="00587AE4" w:rsidRPr="00D60A69" w:rsidRDefault="00587AE4" w:rsidP="00801F84">
      <w:pPr>
        <w:pStyle w:val="Endnotentext"/>
        <w:rPr>
          <w:lang w:val="en-US"/>
        </w:rPr>
      </w:pPr>
      <w:r w:rsidRPr="00D60A69">
        <w:endnoteRef/>
      </w:r>
      <w:r w:rsidRPr="00D60A69">
        <w:rPr>
          <w:lang w:val="en-US"/>
        </w:rPr>
        <w:t xml:space="preserve"> Mohamed AF, Karaiskos I, Plachouras D, et al: Application of a load ing dose of colistin methanesulfonate in critically ill patients: popula tion pharmacokinetics, protein binding, and prediction of bacterial kill. Antimicrob Agents Chemother 2012; 56:4241–4249</w:t>
      </w:r>
    </w:p>
  </w:endnote>
  <w:endnote w:id="176">
    <w:p w14:paraId="33D6F963" w14:textId="77777777" w:rsidR="00587AE4" w:rsidRPr="00D60A69" w:rsidRDefault="00587AE4" w:rsidP="00801F84">
      <w:pPr>
        <w:pStyle w:val="Endnotentext"/>
        <w:rPr>
          <w:lang w:val="en-US"/>
        </w:rPr>
      </w:pPr>
      <w:r w:rsidRPr="00D60A69">
        <w:endnoteRef/>
      </w:r>
      <w:r w:rsidRPr="00D60A69">
        <w:rPr>
          <w:lang w:val="en-US"/>
        </w:rPr>
        <w:t xml:space="preserve"> Pea F, Brollo L, Viale P, et al: Teicoplanin therapeutic drug moni toring in critically ill patients: a retrospective study emphasizing the importance of a loading dose. J Antimicrob Chemother 2003; 51:971–975</w:t>
      </w:r>
    </w:p>
  </w:endnote>
  <w:endnote w:id="177">
    <w:p w14:paraId="592A0E53" w14:textId="77777777" w:rsidR="00587AE4" w:rsidRPr="00D60A69" w:rsidRDefault="00587AE4" w:rsidP="00801F84">
      <w:pPr>
        <w:pStyle w:val="Endnotentext"/>
        <w:rPr>
          <w:lang w:val="en-US"/>
        </w:rPr>
      </w:pPr>
      <w:r w:rsidRPr="00D60A69">
        <w:endnoteRef/>
      </w:r>
      <w:r w:rsidRPr="00D60A69">
        <w:rPr>
          <w:lang w:val="en-US"/>
        </w:rPr>
        <w:t xml:space="preserve"> Pea F, Viale P: Bench-to-bedside review: Appropriate antibiotic ther apy in severe sepsis and septic shock–does the dose matter? Crit Care 2009; 13:214</w:t>
      </w:r>
    </w:p>
  </w:endnote>
  <w:endnote w:id="178">
    <w:p w14:paraId="3D746B4E" w14:textId="77777777" w:rsidR="00587AE4" w:rsidRPr="00D60A69" w:rsidRDefault="00587AE4" w:rsidP="00801F84">
      <w:pPr>
        <w:pStyle w:val="Endnotentext"/>
        <w:rPr>
          <w:lang w:val="en-US"/>
        </w:rPr>
      </w:pPr>
      <w:r w:rsidRPr="00D60A69">
        <w:endnoteRef/>
      </w:r>
      <w:r w:rsidRPr="00D60A69">
        <w:rPr>
          <w:lang w:val="en-US"/>
        </w:rPr>
        <w:t xml:space="preserve"> Wang JT, Fang CT, Chen YC, et al: Necessity of a loading dose when using vancomycin in critically ill patients. J Antimicrob Chemother 2001; 47:246</w:t>
      </w:r>
    </w:p>
  </w:endnote>
  <w:endnote w:id="179">
    <w:p w14:paraId="3645716B" w14:textId="77777777" w:rsidR="00587AE4" w:rsidRPr="00D60A69" w:rsidRDefault="00587AE4" w:rsidP="00801F84">
      <w:pPr>
        <w:pStyle w:val="Endnotentext"/>
        <w:rPr>
          <w:lang w:val="en-US"/>
        </w:rPr>
      </w:pPr>
      <w:r w:rsidRPr="00D60A69">
        <w:endnoteRef/>
      </w:r>
      <w:r w:rsidRPr="00D60A69">
        <w:rPr>
          <w:lang w:val="en-US"/>
        </w:rPr>
        <w:t xml:space="preserve"> Kumar A: An alternate pathophysiologic paradigm of sepsis and sep tic shock: implications for optimizing antimicrobial therapy. Virulence 2014; 5:80–97</w:t>
      </w:r>
    </w:p>
  </w:endnote>
  <w:endnote w:id="180">
    <w:p w14:paraId="211CE6CC" w14:textId="77777777" w:rsidR="00587AE4" w:rsidRPr="00D60A69" w:rsidRDefault="00587AE4" w:rsidP="00801F84">
      <w:pPr>
        <w:pStyle w:val="Endnotentext"/>
        <w:rPr>
          <w:lang w:val="en-US"/>
        </w:rPr>
      </w:pPr>
      <w:r w:rsidRPr="00D60A69">
        <w:endnoteRef/>
      </w:r>
      <w:r w:rsidRPr="00D60A69">
        <w:rPr>
          <w:lang w:val="en-US"/>
        </w:rPr>
        <w:t xml:space="preserve"> Rhodes NJ, MacVane SH, Kuti JL, et al: Impact of loading doses on the time to adequate predicted beta-lactam concentrations in prolonged and continuous infusion dosing schemes. Clin Infect Dis 2014; 59:905–907</w:t>
      </w:r>
    </w:p>
  </w:endnote>
  <w:endnote w:id="181">
    <w:p w14:paraId="6CCEDA2D" w14:textId="77777777" w:rsidR="00587AE4" w:rsidRPr="00D60A69" w:rsidRDefault="00587AE4" w:rsidP="00801F84">
      <w:pPr>
        <w:pStyle w:val="Endnotentext"/>
        <w:rPr>
          <w:lang w:val="en-US"/>
        </w:rPr>
      </w:pPr>
      <w:r w:rsidRPr="00D60A69">
        <w:endnoteRef/>
      </w:r>
      <w:r w:rsidRPr="00D60A69">
        <w:rPr>
          <w:lang w:val="en-US"/>
        </w:rPr>
        <w:t xml:space="preserve"> McKinnon PS, Paladino JA, Schentag JJ: Evaluation of area under the inhibitory curve (AUIC) and time above the minimum inhibitory concentration (T&gt;MIC) as predictors of outcome for cefepime and ceftazidime in serious bacterial infections. Int J Antimicrob Agents 2008; 31:345–351</w:t>
      </w:r>
    </w:p>
  </w:endnote>
  <w:endnote w:id="182">
    <w:p w14:paraId="5694E7C8" w14:textId="77777777" w:rsidR="00587AE4" w:rsidRPr="00D60A69" w:rsidRDefault="00587AE4" w:rsidP="00801F84">
      <w:pPr>
        <w:pStyle w:val="Endnotentext"/>
        <w:rPr>
          <w:lang w:val="en-US"/>
        </w:rPr>
      </w:pPr>
      <w:r w:rsidRPr="00D60A69">
        <w:endnoteRef/>
      </w:r>
      <w:r w:rsidRPr="00D60A69">
        <w:rPr>
          <w:lang w:val="en-US"/>
        </w:rPr>
        <w:t xml:space="preserve"> Lodise TP Jr, Lomaestro B, Drusano GL: Piperacillin-tazobactam for Pseudomonas aeruginosa infection: clinical implications of an extended-infusion dosing strategy. Clin Infect Dis 2007; 44:357–363</w:t>
      </w:r>
    </w:p>
  </w:endnote>
  <w:endnote w:id="183">
    <w:p w14:paraId="298CD22D" w14:textId="77777777" w:rsidR="00587AE4" w:rsidRPr="00D60A69" w:rsidRDefault="00587AE4" w:rsidP="00801F84">
      <w:pPr>
        <w:pStyle w:val="Endnotentext"/>
        <w:rPr>
          <w:lang w:val="en-US"/>
        </w:rPr>
      </w:pPr>
      <w:r w:rsidRPr="00D60A69">
        <w:endnoteRef/>
      </w:r>
      <w:r w:rsidRPr="00D60A69">
        <w:rPr>
          <w:lang w:val="en-US"/>
        </w:rPr>
        <w:t xml:space="preserve"> Yost RJ, Cappelletty DM; RECEIPT Study group: The Retrospective Cohort of Extended-Infusion Piperacillin-Tazobactam (RECEIPT) study: a multicenter study. Pharmacotherapy 2011; 31:767–775</w:t>
      </w:r>
    </w:p>
  </w:endnote>
  <w:endnote w:id="184">
    <w:p w14:paraId="1DE7426A" w14:textId="77777777" w:rsidR="00587AE4" w:rsidRPr="00D60A69" w:rsidRDefault="00587AE4" w:rsidP="00801F84">
      <w:pPr>
        <w:pStyle w:val="Endnotentext"/>
        <w:rPr>
          <w:lang w:val="en-US"/>
        </w:rPr>
      </w:pPr>
      <w:r w:rsidRPr="00D60A69">
        <w:endnoteRef/>
      </w:r>
      <w:r w:rsidRPr="00D60A69">
        <w:rPr>
          <w:lang w:val="en-US"/>
        </w:rPr>
        <w:t xml:space="preserve"> Falagas ME, Tansarli GS, Ikawa K, et al: Clinical outcomes with extended or continuous versus short-term intravenous infusion of carbapenems and piperacillin/tazobactam: a systematic review and meta-analysis. Clin Infect Dis 2013; 56:272–282</w:t>
      </w:r>
    </w:p>
  </w:endnote>
  <w:endnote w:id="185">
    <w:p w14:paraId="4BEB9F0B" w14:textId="77777777" w:rsidR="00587AE4" w:rsidRPr="00D60A69" w:rsidRDefault="00587AE4" w:rsidP="00801F84">
      <w:pPr>
        <w:pStyle w:val="Endnotentext"/>
        <w:rPr>
          <w:lang w:val="en-US"/>
        </w:rPr>
      </w:pPr>
      <w:r w:rsidRPr="00D60A69">
        <w:endnoteRef/>
      </w:r>
      <w:r w:rsidRPr="00D60A69">
        <w:rPr>
          <w:lang w:val="en-US"/>
        </w:rPr>
        <w:t xml:space="preserve"> Yusuf E, Spapen H, Piörard D: Prolonged vs intermittent infusion of piperacillin/tazobactam in critically ill patients: a narrative and sys tematic review. J Crit Care 2014; 29:1089–1095</w:t>
      </w:r>
    </w:p>
  </w:endnote>
  <w:endnote w:id="186">
    <w:p w14:paraId="29414E3A" w14:textId="77777777" w:rsidR="00587AE4" w:rsidRPr="00D60A69" w:rsidRDefault="00587AE4" w:rsidP="00801F84">
      <w:pPr>
        <w:pStyle w:val="Endnotentext"/>
        <w:rPr>
          <w:lang w:val="en-US"/>
        </w:rPr>
      </w:pPr>
      <w:r w:rsidRPr="00D60A69">
        <w:endnoteRef/>
      </w:r>
      <w:r w:rsidRPr="00D60A69">
        <w:rPr>
          <w:lang w:val="en-US"/>
        </w:rPr>
        <w:t xml:space="preserve"> Mah GT, Mabasa VH, Chow I, et al: Evaluating outcomes associated with alternative dosing strategies for piperacillin/tazobactam: a quali tative systematic review. Ann Pharmacother 2012; 46:265–275</w:t>
      </w:r>
    </w:p>
  </w:endnote>
  <w:endnote w:id="187">
    <w:p w14:paraId="0F0086A0" w14:textId="77777777" w:rsidR="00587AE4" w:rsidRPr="00D60A69" w:rsidRDefault="00587AE4" w:rsidP="00801F84">
      <w:pPr>
        <w:pStyle w:val="Endnotentext"/>
        <w:rPr>
          <w:lang w:val="en-US"/>
        </w:rPr>
      </w:pPr>
      <w:r w:rsidRPr="00D60A69">
        <w:endnoteRef/>
      </w:r>
      <w:r w:rsidRPr="00D60A69">
        <w:rPr>
          <w:lang w:val="en-US"/>
        </w:rPr>
        <w:t xml:space="preserve"> Blot S, Koulenti D, Akova M, et al: Does contemporary vancomy cin dosing achieve therapeutic targets in a heterogeneous clinical cohort of critically ill patients? Data from the multinational DALI study. Crit Care 2014; 18:R99</w:t>
      </w:r>
    </w:p>
  </w:endnote>
  <w:endnote w:id="188">
    <w:p w14:paraId="22395F46" w14:textId="77777777" w:rsidR="00587AE4" w:rsidRPr="00D60A69" w:rsidRDefault="00587AE4" w:rsidP="00801F84">
      <w:pPr>
        <w:pStyle w:val="Endnotentext"/>
        <w:rPr>
          <w:lang w:val="en-US"/>
        </w:rPr>
      </w:pPr>
      <w:r w:rsidRPr="00D60A69">
        <w:endnoteRef/>
      </w:r>
      <w:r w:rsidRPr="00D60A69">
        <w:rPr>
          <w:lang w:val="en-US"/>
        </w:rPr>
        <w:t xml:space="preserve"> Roberts JA, Paul SK, Akova M, et al; DALI Study: DALI: defining antibiotic levels in intensive care unit patients: are current </w:t>
      </w:r>
      <w:r w:rsidRPr="00D60A69">
        <w:t>β</w:t>
      </w:r>
      <w:r w:rsidRPr="00D60A69">
        <w:rPr>
          <w:lang w:val="en-US"/>
        </w:rPr>
        <w:t>-lactam antibiotic doses sufficient for critically ill patients? Clin Infect Dis 2014; 58:1072–1083</w:t>
      </w:r>
    </w:p>
  </w:endnote>
  <w:endnote w:id="189">
    <w:p w14:paraId="0E08CE49" w14:textId="77777777" w:rsidR="00587AE4" w:rsidRPr="00D60A69" w:rsidRDefault="00587AE4" w:rsidP="00801F84">
      <w:pPr>
        <w:pStyle w:val="Endnotentext"/>
        <w:rPr>
          <w:lang w:val="en-US"/>
        </w:rPr>
      </w:pPr>
      <w:r w:rsidRPr="00D60A69">
        <w:endnoteRef/>
      </w:r>
      <w:r w:rsidRPr="00D60A69">
        <w:rPr>
          <w:lang w:val="en-US"/>
        </w:rPr>
        <w:t xml:space="preserve"> Taccone FS, Laterre PF, Spapen H, et al: Revisiting the loading dose of amikacin for patients with severe sepsis and septic shock. Crit Care 2010; 14:R53 </w:t>
      </w:r>
    </w:p>
  </w:endnote>
  <w:endnote w:id="190">
    <w:p w14:paraId="02DE6F6F" w14:textId="77777777" w:rsidR="00587AE4" w:rsidRPr="00D60A69" w:rsidRDefault="00587AE4" w:rsidP="00801F84">
      <w:pPr>
        <w:pStyle w:val="Endnotentext"/>
        <w:rPr>
          <w:lang w:val="en-US"/>
        </w:rPr>
      </w:pPr>
      <w:r w:rsidRPr="00D60A69">
        <w:endnoteRef/>
      </w:r>
      <w:r w:rsidRPr="00D60A69">
        <w:rPr>
          <w:lang w:val="en-US"/>
        </w:rPr>
        <w:t xml:space="preserve"> Rea RS, Capitano B, Bies R, et al: Suboptimal aminoglycoside dos ing in critically ill patients. Ther Drug Monit 2008; 30:674–681</w:t>
      </w:r>
    </w:p>
  </w:endnote>
  <w:endnote w:id="191">
    <w:p w14:paraId="2A65AF8C" w14:textId="77777777" w:rsidR="00587AE4" w:rsidRPr="00D60A69" w:rsidRDefault="00587AE4" w:rsidP="00801F84">
      <w:pPr>
        <w:pStyle w:val="Endnotentext"/>
        <w:rPr>
          <w:lang w:val="en-US"/>
        </w:rPr>
      </w:pPr>
      <w:r w:rsidRPr="00D60A69">
        <w:endnoteRef/>
      </w:r>
      <w:r w:rsidRPr="00D60A69">
        <w:rPr>
          <w:lang w:val="en-US"/>
        </w:rPr>
        <w:t xml:space="preserve"> Kumar A, Safdar N, Kethireddy S, et al: A survival benefit of combina tion antibiotic therapy for serious infections associated with sepsis and septic shock is contingent only on the risk of death: a meta-ana lytic/meta-regression study. Crit Care Med 2010; 38:1651–1664</w:t>
      </w:r>
    </w:p>
  </w:endnote>
  <w:endnote w:id="192">
    <w:p w14:paraId="1A0C4683" w14:textId="77777777" w:rsidR="00587AE4" w:rsidRPr="00D60A69" w:rsidRDefault="00587AE4" w:rsidP="00801F84">
      <w:pPr>
        <w:pStyle w:val="Endnotentext"/>
        <w:rPr>
          <w:lang w:val="en-US"/>
        </w:rPr>
      </w:pPr>
      <w:r w:rsidRPr="00D60A69">
        <w:endnoteRef/>
      </w:r>
      <w:r w:rsidRPr="00D60A69">
        <w:rPr>
          <w:lang w:val="en-US"/>
        </w:rPr>
        <w:t xml:space="preserve"> Kumar A, Zarychanski R, Light B, et al; Cooperative Antimicrobial Therapy of Septic Shock (CATSS) Database Research Group: Early combination antibiotic therapy yields improved survival compared with monotherapy in septic shock: a propensity-matched analysis. Crit Care Med 2010; 38:1773–1785</w:t>
      </w:r>
    </w:p>
  </w:endnote>
  <w:endnote w:id="193">
    <w:p w14:paraId="7F475A25" w14:textId="77777777" w:rsidR="00587AE4" w:rsidRPr="00D60A69" w:rsidRDefault="00587AE4" w:rsidP="00801F84">
      <w:pPr>
        <w:pStyle w:val="Endnotentext"/>
        <w:rPr>
          <w:lang w:val="en-US"/>
        </w:rPr>
      </w:pPr>
      <w:r w:rsidRPr="00D60A69">
        <w:endnoteRef/>
      </w:r>
      <w:r w:rsidRPr="00D60A69">
        <w:rPr>
          <w:lang w:val="en-US"/>
        </w:rPr>
        <w:t xml:space="preserve"> Al-Hasan MN, Wilson JW, Lahr BD, et al: Beta-lactam and fluoro quinolone combination antibiotic therapy for bacteremia caused by gram-negative bacilli. Antimicrob Agents Chemother 2009; 53:1386–1394</w:t>
      </w:r>
    </w:p>
  </w:endnote>
  <w:endnote w:id="194">
    <w:p w14:paraId="6F5A4CB4" w14:textId="77777777" w:rsidR="00587AE4" w:rsidRPr="00D60A69" w:rsidRDefault="00587AE4" w:rsidP="00801F84">
      <w:pPr>
        <w:pStyle w:val="Endnotentext"/>
        <w:rPr>
          <w:lang w:val="en-US"/>
        </w:rPr>
      </w:pPr>
      <w:r w:rsidRPr="00D60A69">
        <w:endnoteRef/>
      </w:r>
      <w:r w:rsidRPr="00D60A69">
        <w:rPr>
          <w:lang w:val="en-US"/>
        </w:rPr>
        <w:t xml:space="preserve"> Delannoy PY, Boussekey N, Devos P, et al: Impact of combination therapy with aminoglycosides on the outcome of ICU-acquired bac teraemias. Eur J Clin Microbiol Infect Dis 2012; 31:2293–2299</w:t>
      </w:r>
    </w:p>
  </w:endnote>
  <w:endnote w:id="195">
    <w:p w14:paraId="763D7A9E" w14:textId="77777777" w:rsidR="00587AE4" w:rsidRPr="00D60A69" w:rsidRDefault="00587AE4" w:rsidP="00801F84">
      <w:pPr>
        <w:pStyle w:val="Endnotentext"/>
        <w:rPr>
          <w:lang w:val="en-US"/>
        </w:rPr>
      </w:pPr>
      <w:r w:rsidRPr="00D60A69">
        <w:endnoteRef/>
      </w:r>
      <w:r w:rsidRPr="00D60A69">
        <w:rPr>
          <w:lang w:val="en-US"/>
        </w:rPr>
        <w:t xml:space="preserve"> Díaz-Martín A, Martínez-González ML, Ferrer R, et al; Edusepsis Study Group: Antibiotic prescription patterns in the empiric therapy of severe sepsis: combination of antimicrobials with different mecha nisms of action reduces mortality. Crit Care 2012; 16:R223</w:t>
      </w:r>
    </w:p>
  </w:endnote>
  <w:endnote w:id="196">
    <w:p w14:paraId="2F95E886" w14:textId="77777777" w:rsidR="00587AE4" w:rsidRPr="00D60A69" w:rsidRDefault="00587AE4" w:rsidP="00801F84">
      <w:pPr>
        <w:pStyle w:val="Endnotentext"/>
        <w:rPr>
          <w:lang w:val="en-US"/>
        </w:rPr>
      </w:pPr>
      <w:r w:rsidRPr="00D60A69">
        <w:endnoteRef/>
      </w:r>
      <w:r w:rsidRPr="00D60A69">
        <w:rPr>
          <w:lang w:val="en-US"/>
        </w:rPr>
        <w:t xml:space="preserve"> Martin-Loeches I, Lisboa T, Rodriguez A, et al: Combination antibi otic therapy with macrolides improves survival in intubated patients with community-acquired pneumonia. Intensive Care Med 2010; 36:612–620</w:t>
      </w:r>
    </w:p>
  </w:endnote>
  <w:endnote w:id="197">
    <w:p w14:paraId="79806855" w14:textId="77777777" w:rsidR="00587AE4" w:rsidRPr="00D60A69" w:rsidRDefault="00587AE4" w:rsidP="00801F84">
      <w:pPr>
        <w:pStyle w:val="Endnotentext"/>
        <w:rPr>
          <w:lang w:val="en-US"/>
        </w:rPr>
      </w:pPr>
      <w:r w:rsidRPr="00D60A69">
        <w:endnoteRef/>
      </w:r>
      <w:r w:rsidRPr="00D60A69">
        <w:rPr>
          <w:lang w:val="en-US"/>
        </w:rPr>
        <w:t xml:space="preserve"> Brunkhorst FM, Oppert M, Marx G, et al; German Study Group Competence Network Sepsis (SepNet): Effect of empirical treatment with moxifloxacin and meropenem vs meropenem on sepsis-related organ dysfunction in patients with severe sepsis: a randomized trial. JAMA 2012; 307:2390–2399</w:t>
      </w:r>
    </w:p>
  </w:endnote>
  <w:endnote w:id="198">
    <w:p w14:paraId="2F8EB926" w14:textId="77777777" w:rsidR="00587AE4" w:rsidRPr="00D60A69" w:rsidRDefault="00587AE4" w:rsidP="00801F84">
      <w:pPr>
        <w:pStyle w:val="Endnotentext"/>
        <w:rPr>
          <w:lang w:val="en-US"/>
        </w:rPr>
      </w:pPr>
      <w:r w:rsidRPr="00D60A69">
        <w:endnoteRef/>
      </w:r>
      <w:r w:rsidRPr="00D60A69">
        <w:rPr>
          <w:lang w:val="en-US"/>
        </w:rPr>
        <w:t xml:space="preserve"> Rodríguez A, Mendia A, Sirvent JM, et al; CAPUCI Study Group: Combination antibiotic therapy improves survival in patients with community-acquired pneumonia and shock. Crit Care Med 2007; 35:1493–1498</w:t>
      </w:r>
    </w:p>
  </w:endnote>
  <w:endnote w:id="199">
    <w:p w14:paraId="1161C5BE" w14:textId="77777777" w:rsidR="00587AE4" w:rsidRPr="00D60A69" w:rsidRDefault="00587AE4" w:rsidP="00801F84">
      <w:pPr>
        <w:pStyle w:val="Endnotentext"/>
        <w:rPr>
          <w:lang w:val="en-US"/>
        </w:rPr>
      </w:pPr>
      <w:r w:rsidRPr="00D60A69">
        <w:endnoteRef/>
      </w:r>
      <w:r w:rsidRPr="00D60A69">
        <w:rPr>
          <w:lang w:val="en-US"/>
        </w:rPr>
        <w:t xml:space="preserve"> Baddour LM, Yu VL, Klugman KP, et al; International Pneumococcal Study Group: Combination antibiotic therapy lowers mortality among severely ill patients with pneumococcal bacteremia. Am J Respir Crit Care Med 2004; 170:440–444</w:t>
      </w:r>
    </w:p>
  </w:endnote>
  <w:endnote w:id="200">
    <w:p w14:paraId="6EEBC2D1" w14:textId="77777777" w:rsidR="00587AE4" w:rsidRPr="00D60A69" w:rsidRDefault="00587AE4" w:rsidP="00801F84">
      <w:pPr>
        <w:pStyle w:val="Endnotentext"/>
        <w:rPr>
          <w:lang w:val="en-US"/>
        </w:rPr>
      </w:pPr>
      <w:r w:rsidRPr="00D60A69">
        <w:endnoteRef/>
      </w:r>
      <w:r w:rsidRPr="00D60A69">
        <w:rPr>
          <w:lang w:val="en-US"/>
        </w:rPr>
        <w:t xml:space="preserve"> Hilf M, Yu VL, Sharp J, et al: Antibiotic therapy for Pseudomonas aeruginosa bacteremia: outcome correlations in a prospective study of 200 patients. Am J Med 1989; 87:540–546</w:t>
      </w:r>
    </w:p>
  </w:endnote>
  <w:endnote w:id="201">
    <w:p w14:paraId="659DBFFD" w14:textId="77777777" w:rsidR="00587AE4" w:rsidRPr="00D60A69" w:rsidRDefault="00587AE4" w:rsidP="00801F84">
      <w:pPr>
        <w:pStyle w:val="Endnotentext"/>
        <w:rPr>
          <w:lang w:val="en-US"/>
        </w:rPr>
      </w:pPr>
      <w:r w:rsidRPr="00D60A69">
        <w:endnoteRef/>
      </w:r>
      <w:r w:rsidRPr="00D60A69">
        <w:rPr>
          <w:lang w:val="en-US"/>
        </w:rPr>
        <w:t xml:space="preserve"> Tumbarello M, Viale P, Viscoli C, et al: Predictors of mortality in bloodstream infections caused by Klebsiella pneumoniae carbapen emase-producing K. pneumoniae: importance of combination ther apy. Clin Infect Dis 2012; 55:943–950</w:t>
      </w:r>
    </w:p>
  </w:endnote>
  <w:endnote w:id="202">
    <w:p w14:paraId="6FDB34AF" w14:textId="77777777" w:rsidR="00587AE4" w:rsidRPr="00D60A69" w:rsidRDefault="00587AE4" w:rsidP="00801F84">
      <w:pPr>
        <w:pStyle w:val="Endnotentext"/>
        <w:rPr>
          <w:lang w:val="en-US"/>
        </w:rPr>
      </w:pPr>
      <w:r w:rsidRPr="00D60A69">
        <w:endnoteRef/>
      </w:r>
      <w:r w:rsidRPr="00D60A69">
        <w:rPr>
          <w:lang w:val="en-US"/>
        </w:rPr>
        <w:t xml:space="preserve"> Bass SN, Bauer SR, Neuner EA, et al: Impact of combination antimi crobial therapy on mortality risk for critically ill patients with carbape nem-resistant bacteremia. Antimicrob Agents Chemother 2015; 59:3748–3753</w:t>
      </w:r>
    </w:p>
  </w:endnote>
  <w:endnote w:id="203">
    <w:p w14:paraId="47810D5E" w14:textId="77777777" w:rsidR="00587AE4" w:rsidRPr="00D60A69" w:rsidRDefault="00587AE4" w:rsidP="00801F84">
      <w:pPr>
        <w:pStyle w:val="Endnotentext"/>
        <w:rPr>
          <w:lang w:val="en-US"/>
        </w:rPr>
      </w:pPr>
      <w:r w:rsidRPr="00D60A69">
        <w:endnoteRef/>
      </w:r>
      <w:r w:rsidRPr="00D60A69">
        <w:rPr>
          <w:lang w:val="en-US"/>
        </w:rPr>
        <w:t xml:space="preserve"> Poulikakos P, Tansarli GS, Falagas ME: Combination antibiotic treatment versus monotherapy for multidrug-resistant, exten sively drug-resistant, and pandrug-resistant Acinetobacter infec tions: a systematic review. Eur J Clin Microbiol Infect Dis 2014; 33:1675–1685</w:t>
      </w:r>
    </w:p>
  </w:endnote>
  <w:endnote w:id="204">
    <w:p w14:paraId="3CEAA94A" w14:textId="77777777" w:rsidR="00587AE4" w:rsidRPr="00D60A69" w:rsidRDefault="00587AE4" w:rsidP="00801F84">
      <w:pPr>
        <w:pStyle w:val="Endnotentext"/>
        <w:rPr>
          <w:lang w:val="en-US"/>
        </w:rPr>
      </w:pPr>
      <w:r w:rsidRPr="00D60A69">
        <w:endnoteRef/>
      </w:r>
      <w:r w:rsidRPr="00D60A69">
        <w:rPr>
          <w:lang w:val="en-US"/>
        </w:rPr>
        <w:t xml:space="preserve"> Falagas ME, Lourida P, Poulikakos P, et al: Antibiotic treatment of infections due to carbapenem-resistant Enterobacteriaceae: sys tematic evaluation of the available evidence. Antimicrob Agents Chemother 2014; 58:654–663</w:t>
      </w:r>
    </w:p>
  </w:endnote>
  <w:endnote w:id="205">
    <w:p w14:paraId="51433EDA" w14:textId="77777777" w:rsidR="00587AE4" w:rsidRPr="00D60A69" w:rsidRDefault="00587AE4" w:rsidP="00801F84">
      <w:pPr>
        <w:pStyle w:val="Endnotentext"/>
        <w:rPr>
          <w:lang w:val="en-US"/>
        </w:rPr>
      </w:pPr>
      <w:r w:rsidRPr="00D60A69">
        <w:endnoteRef/>
      </w:r>
      <w:r w:rsidRPr="00D60A69">
        <w:rPr>
          <w:lang w:val="en-US"/>
        </w:rPr>
        <w:t xml:space="preserve"> Hu Y, Li L, Li W, et al: Combination antibiotic therapy versus mono therapy for Pseudomonas aeruginosa bacteraemia: a meta-analysis of retrospective and prospective studies. Int J Antimicrob Agents 2013; 42:492–496</w:t>
      </w:r>
    </w:p>
  </w:endnote>
  <w:endnote w:id="206">
    <w:p w14:paraId="1BCF1993" w14:textId="77777777" w:rsidR="00587AE4" w:rsidRPr="00D60A69" w:rsidRDefault="00587AE4" w:rsidP="00801F84">
      <w:pPr>
        <w:pStyle w:val="Endnotentext"/>
        <w:rPr>
          <w:lang w:val="en-US"/>
        </w:rPr>
      </w:pPr>
      <w:r w:rsidRPr="00D60A69">
        <w:endnoteRef/>
      </w:r>
      <w:r w:rsidRPr="00D60A69">
        <w:rPr>
          <w:lang w:val="en-US"/>
        </w:rPr>
        <w:t xml:space="preserve"> Vardakas KZ, Tansarli GS, Bliziotis IA, et al: </w:t>
      </w:r>
      <w:r w:rsidRPr="00D60A69">
        <w:t>β</w:t>
      </w:r>
      <w:r w:rsidRPr="00D60A69">
        <w:rPr>
          <w:lang w:val="en-US"/>
        </w:rPr>
        <w:t xml:space="preserve">-Lactam plus amino glycoside or fluoroquinolone combination versus </w:t>
      </w:r>
      <w:r w:rsidRPr="00D60A69">
        <w:t>β</w:t>
      </w:r>
      <w:r w:rsidRPr="00D60A69">
        <w:rPr>
          <w:lang w:val="en-US"/>
        </w:rPr>
        <w:t>-lactam mono therapy for Pseudomonas aeruginosa infections: a meta-analysis. Int J Antimicrob Agents 2013; 41:301–310</w:t>
      </w:r>
    </w:p>
  </w:endnote>
  <w:endnote w:id="207">
    <w:p w14:paraId="7314D0D9" w14:textId="77777777" w:rsidR="00587AE4" w:rsidRPr="00D60A69" w:rsidRDefault="00587AE4" w:rsidP="00801F84">
      <w:pPr>
        <w:pStyle w:val="Endnotentext"/>
        <w:rPr>
          <w:lang w:val="en-US"/>
        </w:rPr>
      </w:pPr>
      <w:r w:rsidRPr="00D60A69">
        <w:endnoteRef/>
      </w:r>
      <w:r w:rsidRPr="00D60A69">
        <w:rPr>
          <w:lang w:val="en-US"/>
        </w:rPr>
        <w:t xml:space="preserve"> Stevens DL, Bisno AL, Chambers HF, et al: Practice guidelines for the diagnosis and management of skin and soft tissue infections: 2014 update by the infectious diseases society of America. Clin Infect Dis 2014; 59:147–159</w:t>
      </w:r>
      <w:r w:rsidRPr="00D60A69" w:rsidDel="003124F9">
        <w:rPr>
          <w:lang w:val="en-US"/>
        </w:rPr>
        <w:t xml:space="preserve"> </w:t>
      </w:r>
    </w:p>
  </w:endnote>
  <w:endnote w:id="208">
    <w:p w14:paraId="009D1ABC" w14:textId="77777777" w:rsidR="00587AE4" w:rsidRPr="00D60A69" w:rsidRDefault="00587AE4" w:rsidP="00801F84">
      <w:pPr>
        <w:pStyle w:val="Endnotentext"/>
        <w:rPr>
          <w:lang w:val="en-US"/>
        </w:rPr>
      </w:pPr>
      <w:r w:rsidRPr="00D60A69">
        <w:endnoteRef/>
      </w:r>
      <w:r w:rsidRPr="00D60A69">
        <w:rPr>
          <w:lang w:val="en-US"/>
        </w:rPr>
        <w:t xml:space="preserve"> Stevens DL, Tanner MH, Winship J, et al: Severe group A strepto coccal infections associated with a toxic shock-like syndrome and scarlet fever toxin A. N Engl J Med 1989; 321:1–7</w:t>
      </w:r>
    </w:p>
  </w:endnote>
  <w:endnote w:id="209">
    <w:p w14:paraId="26174230" w14:textId="77777777" w:rsidR="00587AE4" w:rsidRPr="00D60A69" w:rsidRDefault="00587AE4" w:rsidP="00801F84">
      <w:pPr>
        <w:pStyle w:val="Endnotentext"/>
        <w:rPr>
          <w:lang w:val="en-US"/>
        </w:rPr>
      </w:pPr>
      <w:r w:rsidRPr="00D60A69">
        <w:endnoteRef/>
      </w:r>
      <w:r w:rsidRPr="00D60A69">
        <w:rPr>
          <w:lang w:val="en-US"/>
        </w:rPr>
        <w:t xml:space="preserve"> Zimbelman J, Palmer A, Todd J: Improved outcome of clindamy cin compared with beta-lactam antibiotic treatment for invasive Streptococcus pyogenes infection. Pediatr Infect Dis J 1999; 18:1096–1100</w:t>
      </w:r>
    </w:p>
  </w:endnote>
  <w:endnote w:id="210">
    <w:p w14:paraId="3D06F194" w14:textId="2E632562" w:rsidR="00587AE4" w:rsidRPr="00D60A69" w:rsidRDefault="00587AE4" w:rsidP="00801F84">
      <w:pPr>
        <w:pStyle w:val="Endnotentext"/>
        <w:rPr>
          <w:lang w:val="en-US"/>
        </w:rPr>
      </w:pPr>
      <w:r w:rsidRPr="00D60A69">
        <w:endnoteRef/>
      </w:r>
      <w:r w:rsidRPr="00D60A69">
        <w:rPr>
          <w:lang w:val="en-US"/>
        </w:rPr>
        <w:t xml:space="preserve"> Safdar N, Handelsman J, Maki DG: Does combination antimicrobial therapy reduce mortality in Gram-negative bacteraemia? A meta</w:t>
      </w:r>
      <w:r w:rsidRPr="00D60A69">
        <w:rPr>
          <w:lang w:val="en-US"/>
        </w:rPr>
        <w:softHyphen/>
        <w:t>analysis. Lancet Infect Dis 2004; 4:519–527</w:t>
      </w:r>
    </w:p>
  </w:endnote>
  <w:endnote w:id="211">
    <w:p w14:paraId="038FACC0" w14:textId="77777777" w:rsidR="00587AE4" w:rsidRPr="00D60A69" w:rsidRDefault="00587AE4" w:rsidP="00801F84">
      <w:pPr>
        <w:pStyle w:val="Endnotentext"/>
        <w:rPr>
          <w:lang w:val="en-US"/>
        </w:rPr>
      </w:pPr>
      <w:r w:rsidRPr="00D60A69">
        <w:endnoteRef/>
      </w:r>
      <w:r w:rsidRPr="00D60A69">
        <w:rPr>
          <w:lang w:val="en-US"/>
        </w:rPr>
        <w:t xml:space="preserve"> Paul M, Soares-Weiser K, Leibovici L: Beta lactam monotherapy versus beta lactam-aminoglycoside combination therapy for fever with neutropenia: systematic review and meta-analysis. BMJ 2003; 326:1111</w:t>
      </w:r>
    </w:p>
  </w:endnote>
  <w:endnote w:id="212">
    <w:p w14:paraId="39E300D7" w14:textId="77777777" w:rsidR="00587AE4" w:rsidRPr="00D60A69" w:rsidRDefault="00587AE4" w:rsidP="00801F84">
      <w:pPr>
        <w:pStyle w:val="Endnotentext"/>
        <w:rPr>
          <w:lang w:val="en-US"/>
        </w:rPr>
      </w:pPr>
      <w:r w:rsidRPr="00D60A69">
        <w:endnoteRef/>
      </w:r>
      <w:r w:rsidRPr="00D60A69">
        <w:rPr>
          <w:lang w:val="en-US"/>
        </w:rPr>
        <w:t xml:space="preserve"> Penack O, Becker C, Buchheidt D, et al: Management of sepsis in neutropenic patients: 2014 updated guidelines from the Infectious Diseases Working Party of the German Society of Hematology and Medical Oncology (AGIHO). Ann Hematol 2014; 93:1083–1095</w:t>
      </w:r>
    </w:p>
  </w:endnote>
  <w:endnote w:id="213">
    <w:p w14:paraId="34FB0677" w14:textId="77777777" w:rsidR="00587AE4" w:rsidRPr="00D60A69" w:rsidRDefault="00587AE4" w:rsidP="00801F84">
      <w:pPr>
        <w:pStyle w:val="Endnotentext"/>
        <w:rPr>
          <w:lang w:val="en-US"/>
        </w:rPr>
      </w:pPr>
      <w:r w:rsidRPr="00D60A69">
        <w:endnoteRef/>
      </w:r>
      <w:r w:rsidRPr="00D60A69">
        <w:rPr>
          <w:lang w:val="en-US"/>
        </w:rPr>
        <w:t xml:space="preserve"> Gomes Silva BN, Andriolo RB, Atallah AN, Salomäo R: De-escalation of antimicrobial treatment for adults with sepsis, severe sepsis or septic shock. Cochrane Database Syst Rev. 2010;(12):CD007934</w:t>
      </w:r>
    </w:p>
  </w:endnote>
  <w:endnote w:id="214">
    <w:p w14:paraId="6AEB3F3E" w14:textId="5D5097E5" w:rsidR="00587AE4" w:rsidRPr="00D60A69" w:rsidRDefault="00587AE4" w:rsidP="00801F84">
      <w:pPr>
        <w:pStyle w:val="Endnotentext"/>
        <w:rPr>
          <w:lang w:val="en-US"/>
        </w:rPr>
      </w:pPr>
      <w:r w:rsidRPr="00D60A69">
        <w:endnoteRef/>
      </w:r>
      <w:r w:rsidRPr="00D60A69">
        <w:rPr>
          <w:lang w:val="en-US"/>
        </w:rPr>
        <w:t xml:space="preserve"> Morel J, Casoetto J, Jospö R, et al: De-escalation as part of a global strategy of empiric antibiotherapy management. A retrospective study in a medico-surgical intensive care unit Crit Care 2010; 14:R225</w:t>
      </w:r>
    </w:p>
  </w:endnote>
  <w:endnote w:id="215">
    <w:p w14:paraId="5DE61632" w14:textId="6AA872F6" w:rsidR="00587AE4" w:rsidRPr="00D60A69" w:rsidRDefault="00587AE4" w:rsidP="00801F84">
      <w:pPr>
        <w:pStyle w:val="Endnotentext"/>
        <w:rPr>
          <w:lang w:val="en-US"/>
        </w:rPr>
      </w:pPr>
      <w:r w:rsidRPr="00D60A69">
        <w:endnoteRef/>
      </w:r>
      <w:r w:rsidRPr="00D60A69">
        <w:rPr>
          <w:lang w:val="en-US"/>
        </w:rPr>
        <w:t xml:space="preserve"> Joung MK, Lee JA, Moon SY, et al: Impact of de-escalation therapy on clinical outcomes for intensive care unit-acquired pneumonia. Crit Care 2011; 15:R79</w:t>
      </w:r>
    </w:p>
  </w:endnote>
  <w:endnote w:id="216">
    <w:p w14:paraId="7CBBC41D" w14:textId="77777777" w:rsidR="00587AE4" w:rsidRPr="00D60A69" w:rsidRDefault="00587AE4" w:rsidP="00801F84">
      <w:pPr>
        <w:pStyle w:val="Endnotentext"/>
        <w:rPr>
          <w:lang w:val="en-US"/>
        </w:rPr>
      </w:pPr>
      <w:r w:rsidRPr="00D60A69">
        <w:endnoteRef/>
      </w:r>
      <w:r w:rsidRPr="00D60A69">
        <w:rPr>
          <w:lang w:val="en-US"/>
        </w:rPr>
        <w:t xml:space="preserve"> Leone M, Bechis C, Baumstarck K, et al; AZUREA Network Investigators: De-escalation versus continuation of empirical antimicrobial treatment in severe sepsis: a multicenter non-blinded randomized noninferiority trial. Intensive Care Med 2014; 40:1399–1408</w:t>
      </w:r>
      <w:r w:rsidRPr="00D60A69" w:rsidDel="003124F9">
        <w:rPr>
          <w:lang w:val="en-US"/>
        </w:rPr>
        <w:t xml:space="preserve"> </w:t>
      </w:r>
    </w:p>
  </w:endnote>
  <w:endnote w:id="217">
    <w:p w14:paraId="4A5F7A74" w14:textId="77777777" w:rsidR="00587AE4" w:rsidRPr="00D60A69" w:rsidRDefault="00587AE4" w:rsidP="00801F84">
      <w:pPr>
        <w:pStyle w:val="Endnotentext"/>
        <w:rPr>
          <w:lang w:val="en-US"/>
        </w:rPr>
      </w:pPr>
      <w:r w:rsidRPr="00D60A69">
        <w:endnoteRef/>
      </w:r>
      <w:r w:rsidRPr="00D60A69">
        <w:rPr>
          <w:lang w:val="en-US"/>
        </w:rPr>
        <w:t xml:space="preserve"> Riccio LM, Popovsky KA, Hranjec T, et al: Association of excessive duration of antibiotic therapy for intra-abdominal infection with sub sequent extra-abdominal infection and death: a study of 2,552 con secutive infections. Surg Infect (Larchmt) 2014; 15:417–424</w:t>
      </w:r>
    </w:p>
  </w:endnote>
  <w:endnote w:id="218">
    <w:p w14:paraId="4BE99FF6" w14:textId="77777777" w:rsidR="00587AE4" w:rsidRPr="00D60A69" w:rsidRDefault="00587AE4" w:rsidP="00801F84">
      <w:pPr>
        <w:pStyle w:val="Endnotentext"/>
        <w:rPr>
          <w:lang w:val="en-US"/>
        </w:rPr>
      </w:pPr>
      <w:r w:rsidRPr="00D60A69">
        <w:endnoteRef/>
      </w:r>
      <w:r w:rsidRPr="00D60A69">
        <w:rPr>
          <w:lang w:val="en-US"/>
        </w:rPr>
        <w:t xml:space="preserve"> Aarts MA, Brun-Buisson C, Cook DJ, et al: Antibiotic management of suspected nosocomial ICU-acquired infection: does prolonged empiric therapy improve outcome? Intensive Care Med 2007; 33:1369–1378</w:t>
      </w:r>
    </w:p>
  </w:endnote>
  <w:endnote w:id="219">
    <w:p w14:paraId="5CAA88D1" w14:textId="77777777" w:rsidR="00587AE4" w:rsidRPr="00D60A69" w:rsidRDefault="00587AE4" w:rsidP="00801F84">
      <w:pPr>
        <w:pStyle w:val="Endnotentext"/>
        <w:rPr>
          <w:lang w:val="en-US"/>
        </w:rPr>
      </w:pPr>
      <w:r w:rsidRPr="00D60A69">
        <w:endnoteRef/>
      </w:r>
      <w:r w:rsidRPr="00D60A69">
        <w:rPr>
          <w:lang w:val="en-US"/>
        </w:rPr>
        <w:t xml:space="preserve"> Stevens V, Dumyati G, Fine LS, et al: Cumulative antibiotic expo sures over time and the risk of Clostridium difficile infection. Clin Infect Dis 2011; 53:42–48</w:t>
      </w:r>
    </w:p>
  </w:endnote>
  <w:endnote w:id="220">
    <w:p w14:paraId="154F9BB6" w14:textId="77777777" w:rsidR="00587AE4" w:rsidRPr="00D60A69" w:rsidRDefault="00587AE4" w:rsidP="00801F84">
      <w:pPr>
        <w:pStyle w:val="Endnotentext"/>
        <w:rPr>
          <w:lang w:val="en-US"/>
        </w:rPr>
      </w:pPr>
      <w:r w:rsidRPr="00D60A69">
        <w:endnoteRef/>
      </w:r>
      <w:r w:rsidRPr="00D60A69">
        <w:rPr>
          <w:lang w:val="en-US"/>
        </w:rPr>
        <w:t xml:space="preserve"> Goossens H: Antibiotic consumption and link to resistance. Clin Microbiol Infect 2009; 15 Suppl 3:12–15</w:t>
      </w:r>
    </w:p>
  </w:endnote>
  <w:endnote w:id="221">
    <w:p w14:paraId="445173EC" w14:textId="641A3E4A" w:rsidR="00587AE4" w:rsidRDefault="00587AE4" w:rsidP="00801F84">
      <w:pPr>
        <w:pStyle w:val="Endnotentext"/>
        <w:rPr>
          <w:lang w:val="en-US"/>
        </w:rPr>
      </w:pPr>
      <w:r w:rsidRPr="00D60A69">
        <w:endnoteRef/>
      </w:r>
      <w:r w:rsidRPr="00D60A69">
        <w:rPr>
          <w:lang w:val="en-US"/>
        </w:rPr>
        <w:t xml:space="preserve"> Kalil AC, Metersky ML, Klompas M, et al: Management of Adults With Hospital-acquired and Ventilator-associated Pneumonia: 2016 Clinical Practice Guidelines by the Infectious Diseases Society of America and the American Thoracic Society. Clin Infect Dis 2016; 63:e61–e111</w:t>
      </w:r>
    </w:p>
    <w:p w14:paraId="5DD4978A" w14:textId="77777777" w:rsidR="00E15D93" w:rsidRPr="00D60A69" w:rsidRDefault="00E15D93" w:rsidP="00801F84">
      <w:pPr>
        <w:pStyle w:val="Endnotentext"/>
        <w:rPr>
          <w:lang w:val="en-US"/>
        </w:rPr>
      </w:pPr>
    </w:p>
  </w:endnote>
  <w:endnote w:id="222">
    <w:p w14:paraId="03D8FAD5" w14:textId="77777777" w:rsidR="00587AE4" w:rsidRPr="00D60A69" w:rsidRDefault="00587AE4" w:rsidP="00801F84">
      <w:pPr>
        <w:pStyle w:val="Endnotentext"/>
        <w:rPr>
          <w:lang w:val="en-US"/>
        </w:rPr>
      </w:pPr>
      <w:r w:rsidRPr="00D60A69">
        <w:endnoteRef/>
      </w:r>
      <w:r w:rsidRPr="00D60A69">
        <w:rPr>
          <w:lang w:val="en-US"/>
        </w:rPr>
        <w:t xml:space="preserve"> Chastre J, Wolff M, Fagon JY, et al; PneumA Trial Group: Comparison of 8 vs 15 days of antibiotic therapy for ventilator-associated pneu monia in adults: a randomized trial. JAMA 2003; 290:2588–2598</w:t>
      </w:r>
    </w:p>
  </w:endnote>
  <w:endnote w:id="223">
    <w:p w14:paraId="361B658B" w14:textId="77777777" w:rsidR="00587AE4" w:rsidRPr="00D60A69" w:rsidRDefault="00587AE4" w:rsidP="00801F84">
      <w:pPr>
        <w:pStyle w:val="Endnotentext"/>
        <w:rPr>
          <w:lang w:val="en-US"/>
        </w:rPr>
      </w:pPr>
      <w:r w:rsidRPr="00D60A69">
        <w:endnoteRef/>
      </w:r>
      <w:r w:rsidRPr="00D60A69">
        <w:rPr>
          <w:lang w:val="en-US"/>
        </w:rPr>
        <w:t xml:space="preserve"> Choudhury G, Mandal P, Singanayagam A, et al: Seven-day antibi otic courses have similar efficacy to prolonged courses in severe community-acquired pneumonia–a propensity-adjusted analysis. Clin Microbiol Infect 2011; 17:1852–1858</w:t>
      </w:r>
    </w:p>
  </w:endnote>
  <w:endnote w:id="224">
    <w:p w14:paraId="541346C2" w14:textId="77777777" w:rsidR="00587AE4" w:rsidRPr="00D60A69" w:rsidRDefault="00587AE4" w:rsidP="00801F84">
      <w:pPr>
        <w:pStyle w:val="Endnotentext"/>
        <w:rPr>
          <w:lang w:val="en-US"/>
        </w:rPr>
      </w:pPr>
      <w:r w:rsidRPr="00D60A69">
        <w:endnoteRef/>
      </w:r>
      <w:r w:rsidRPr="00D60A69">
        <w:rPr>
          <w:lang w:val="en-US"/>
        </w:rPr>
        <w:t xml:space="preserve"> Pugh R, Grant C, Cooke RP, Dempsey G: Short-course ver sus prolonged-course antibiotic therapy for hospital-acquired pneumonia in critically ill adults. Cochrane Database Syst Rev. 2015;(8):CD007577</w:t>
      </w:r>
    </w:p>
  </w:endnote>
  <w:endnote w:id="225">
    <w:p w14:paraId="028E6256" w14:textId="77777777" w:rsidR="00587AE4" w:rsidRPr="00D60A69" w:rsidRDefault="00587AE4" w:rsidP="00801F84">
      <w:pPr>
        <w:pStyle w:val="Endnotentext"/>
        <w:rPr>
          <w:lang w:val="en-US"/>
        </w:rPr>
      </w:pPr>
      <w:r w:rsidRPr="00D60A69">
        <w:endnoteRef/>
      </w:r>
      <w:r w:rsidRPr="00D60A69">
        <w:rPr>
          <w:lang w:val="en-US"/>
        </w:rPr>
        <w:t xml:space="preserve"> Kalil AC, Metersky ML, Klompas M, et al: Management of Adults With Hospital-acquired and Ventilator-associated Pneumonia: 2016 Clinical Practice Guidelines by the Infectious Diseases Society of America and the American Thoracic Society. Clin Infect Dis 2016; 63:e61–e111</w:t>
      </w:r>
      <w:r w:rsidRPr="00D60A69" w:rsidDel="003124F9">
        <w:rPr>
          <w:lang w:val="en-US"/>
        </w:rPr>
        <w:t xml:space="preserve"> </w:t>
      </w:r>
    </w:p>
  </w:endnote>
  <w:endnote w:id="226">
    <w:p w14:paraId="2B5F3943" w14:textId="77777777" w:rsidR="00587AE4" w:rsidRPr="00D60A69" w:rsidRDefault="00587AE4" w:rsidP="00801F84">
      <w:pPr>
        <w:pStyle w:val="Endnotentext"/>
        <w:rPr>
          <w:lang w:val="en-US"/>
        </w:rPr>
      </w:pPr>
      <w:r w:rsidRPr="00D60A69">
        <w:endnoteRef/>
      </w:r>
      <w:r w:rsidRPr="00D60A69">
        <w:rPr>
          <w:lang w:val="en-US"/>
        </w:rPr>
        <w:t xml:space="preserve"> Sawyer RG, Claridge JA, Nathens AB, et al: Trial of short-course antimicrobial therapy for intraabdominal infection. N Engl J Med 2015; 372:1996–2005</w:t>
      </w:r>
    </w:p>
  </w:endnote>
  <w:endnote w:id="227">
    <w:p w14:paraId="7F2485C5" w14:textId="77777777" w:rsidR="00587AE4" w:rsidRPr="00D60A69" w:rsidRDefault="00587AE4" w:rsidP="00801F84">
      <w:pPr>
        <w:pStyle w:val="Endnotentext"/>
        <w:rPr>
          <w:lang w:val="en-US"/>
        </w:rPr>
      </w:pPr>
      <w:r w:rsidRPr="00D60A69">
        <w:endnoteRef/>
      </w:r>
      <w:r w:rsidRPr="00D60A69">
        <w:rPr>
          <w:lang w:val="en-US"/>
        </w:rPr>
        <w:t xml:space="preserve"> Eliakim-Raz N, Yahav D, Paul M, et al: Duration of antibiotic treatment for acute pyelonephritis and septic urinary tract infection– 7 days or less versus longer treatment: systematic review and meta-analysis of randomized controlled trials. J Antimicrob Chemother 2013; 68:2183–2191</w:t>
      </w:r>
    </w:p>
  </w:endnote>
  <w:endnote w:id="228">
    <w:p w14:paraId="502F1EC1" w14:textId="77777777" w:rsidR="00587AE4" w:rsidRPr="00D60A69" w:rsidRDefault="00587AE4" w:rsidP="00801F84">
      <w:pPr>
        <w:pStyle w:val="Endnotentext"/>
        <w:rPr>
          <w:lang w:val="en-US"/>
        </w:rPr>
      </w:pPr>
      <w:r w:rsidRPr="00D60A69">
        <w:endnoteRef/>
      </w:r>
      <w:r w:rsidRPr="00D60A69">
        <w:rPr>
          <w:lang w:val="en-US"/>
        </w:rPr>
        <w:t xml:space="preserve"> Rattan R, Allen CJ, Sawyer RG, et al: Patients with Complicated Intra-Abdominal Infection Presenting with Sepsis Do Not Require Longer Duration of Antimicrobial Therapy. J Am Coll Surg 2016; 222:440–446</w:t>
      </w:r>
    </w:p>
  </w:endnote>
  <w:endnote w:id="229">
    <w:p w14:paraId="4FEDFCB6" w14:textId="77777777" w:rsidR="00587AE4" w:rsidRPr="00D60A69" w:rsidRDefault="00587AE4" w:rsidP="00801F84">
      <w:pPr>
        <w:pStyle w:val="Endnotentext"/>
        <w:rPr>
          <w:lang w:val="en-US"/>
        </w:rPr>
      </w:pPr>
      <w:r w:rsidRPr="00D60A69">
        <w:endnoteRef/>
      </w:r>
      <w:r w:rsidRPr="00D60A69">
        <w:rPr>
          <w:lang w:val="en-US"/>
        </w:rPr>
        <w:t xml:space="preserve"> Hepburn MJ, Dooley DP, Skidmore PJ, et al: Comparison of short course (5 days) and standard (10 days) treatment for uncomplicated cellulitis. Arch Intern Med 2004; 164:1669–1674</w:t>
      </w:r>
    </w:p>
  </w:endnote>
  <w:endnote w:id="230">
    <w:p w14:paraId="7804C282" w14:textId="77777777" w:rsidR="00587AE4" w:rsidRPr="00D60A69" w:rsidRDefault="00587AE4" w:rsidP="00801F84">
      <w:pPr>
        <w:pStyle w:val="Endnotentext"/>
        <w:rPr>
          <w:lang w:val="en-US"/>
        </w:rPr>
      </w:pPr>
      <w:r w:rsidRPr="00D60A69">
        <w:endnoteRef/>
      </w:r>
      <w:r w:rsidRPr="00D60A69">
        <w:rPr>
          <w:lang w:val="en-US"/>
        </w:rPr>
        <w:t xml:space="preserve"> Chaudhry ZI, Nisar S, Ahmed U, Ali M: Short course of antibiotic treatment in spontaneous bacterial peritonitis: a randomized con trolled study. J Coll Physicians Surg Pak. 2000;10(8):284–288</w:t>
      </w:r>
    </w:p>
  </w:endnote>
  <w:endnote w:id="231">
    <w:p w14:paraId="69A6E0BF" w14:textId="77777777" w:rsidR="00587AE4" w:rsidRPr="00D60A69" w:rsidRDefault="00587AE4" w:rsidP="00801F84">
      <w:pPr>
        <w:pStyle w:val="Endnotentext"/>
        <w:rPr>
          <w:lang w:val="en-US"/>
        </w:rPr>
      </w:pPr>
      <w:r w:rsidRPr="00D60A69">
        <w:endnoteRef/>
      </w:r>
      <w:r w:rsidRPr="00D60A69">
        <w:rPr>
          <w:lang w:val="en-US"/>
        </w:rPr>
        <w:t xml:space="preserve"> Mermel LA, Allon M, Bouza E, et al: Clinical practice guidelines for the diagnosis and management of intravascular catheter-related infection: 2009 Update by the Infectious Diseases Society of America. Clin Infect Dis 2009; 49:1–45</w:t>
      </w:r>
      <w:r w:rsidRPr="00D60A69" w:rsidDel="00021D61">
        <w:rPr>
          <w:lang w:val="en-US"/>
        </w:rPr>
        <w:t xml:space="preserve"> </w:t>
      </w:r>
    </w:p>
  </w:endnote>
  <w:endnote w:id="232">
    <w:p w14:paraId="27D7E8AD" w14:textId="77777777" w:rsidR="00587AE4" w:rsidRPr="00D60A69" w:rsidRDefault="00587AE4" w:rsidP="00801F84">
      <w:pPr>
        <w:pStyle w:val="Endnotentext"/>
        <w:rPr>
          <w:lang w:val="en-US"/>
        </w:rPr>
      </w:pPr>
      <w:r w:rsidRPr="00D60A69">
        <w:endnoteRef/>
      </w:r>
      <w:r w:rsidRPr="00D60A69">
        <w:rPr>
          <w:lang w:val="en-US"/>
        </w:rPr>
        <w:t xml:space="preserve"> Freifeld AG, Bow EJ, Sepkowitz KA, et al; Infectious Diseases Society of America: Clinical practice guideline for the use of anti</w:t>
      </w:r>
      <w:r w:rsidRPr="00D60A69">
        <w:rPr>
          <w:lang w:val="en-US"/>
        </w:rPr>
        <w:softHyphen/>
        <w:t>microbial agents in neutropenic patients with cancer: 2010 update by the infectious diseases society of america. Clin Infect Dis 2011; 52:e56–e93</w:t>
      </w:r>
      <w:r w:rsidRPr="00D60A69" w:rsidDel="009C0D28">
        <w:rPr>
          <w:lang w:val="en-US"/>
        </w:rPr>
        <w:t xml:space="preserve"> </w:t>
      </w:r>
    </w:p>
  </w:endnote>
  <w:endnote w:id="233">
    <w:p w14:paraId="52FDE227" w14:textId="77777777" w:rsidR="00587AE4" w:rsidRPr="00D60A69" w:rsidRDefault="00587AE4" w:rsidP="00801F84">
      <w:pPr>
        <w:pStyle w:val="Endnotentext"/>
        <w:rPr>
          <w:lang w:val="en-US"/>
        </w:rPr>
      </w:pPr>
      <w:r w:rsidRPr="00D60A69">
        <w:endnoteRef/>
      </w:r>
      <w:r w:rsidRPr="00D60A69">
        <w:rPr>
          <w:lang w:val="en-US"/>
        </w:rPr>
        <w:t xml:space="preserve"> Jack L, Bal AM, Harte S, et al: International guidelines: the need to standardize the management of candidaemia. Infect Dis (Lond) 2016; 48:779–781</w:t>
      </w:r>
    </w:p>
  </w:endnote>
  <w:endnote w:id="234">
    <w:p w14:paraId="70D9E302" w14:textId="77777777" w:rsidR="00587AE4" w:rsidRPr="00D60A69" w:rsidRDefault="00587AE4" w:rsidP="00801F84">
      <w:pPr>
        <w:pStyle w:val="Endnotentext"/>
        <w:rPr>
          <w:lang w:val="en-US"/>
        </w:rPr>
      </w:pPr>
      <w:r w:rsidRPr="00D60A69">
        <w:endnoteRef/>
      </w:r>
      <w:r w:rsidRPr="00D60A69">
        <w:rPr>
          <w:lang w:val="en-US"/>
        </w:rPr>
        <w:t xml:space="preserve"> Baddour LM, Wilson WR, Bayer AS, et al; American Heart Association Committee on Rheumatic Fever, Endocarditis, and Kawasaki Disease of the Council on Cardiovascular Disease in the Young, Council on Clinical Cardiology, Council on Cardiovascular Surgery and Anesthesia, and Stroke Council: Infective Endocarditis in Adults: Diagnosis, Antimicrobial Therapy, and Management of Complications: A Scientific Statement for Healthcare Professionals From the American Heart Association. Circulation 2015; 132:1435–1486</w:t>
      </w:r>
    </w:p>
  </w:endnote>
  <w:endnote w:id="235">
    <w:p w14:paraId="18CC40D8" w14:textId="77777777" w:rsidR="00587AE4" w:rsidRPr="00D60A69" w:rsidRDefault="00587AE4" w:rsidP="00801F84">
      <w:pPr>
        <w:pStyle w:val="Endnotentext"/>
        <w:rPr>
          <w:lang w:val="en-US"/>
        </w:rPr>
      </w:pPr>
      <w:r w:rsidRPr="00D60A69">
        <w:endnoteRef/>
      </w:r>
      <w:r w:rsidRPr="00D60A69">
        <w:rPr>
          <w:lang w:val="en-US"/>
        </w:rPr>
        <w:t xml:space="preserve"> Weiss CH, Moazed F, McEvoy CA, et al: Prompting physicians to address a daily checklist and process of care and clinical outcomes: a single-site study. Am J Respir Crit Care Med 2011; 184:680–686</w:t>
      </w:r>
    </w:p>
  </w:endnote>
  <w:endnote w:id="236">
    <w:p w14:paraId="6EE0614D" w14:textId="77777777" w:rsidR="00587AE4" w:rsidRPr="00D60A69" w:rsidRDefault="00587AE4" w:rsidP="00801F84">
      <w:pPr>
        <w:pStyle w:val="Endnotentext"/>
        <w:rPr>
          <w:lang w:val="en-US"/>
        </w:rPr>
      </w:pPr>
      <w:r w:rsidRPr="00D60A69">
        <w:endnoteRef/>
      </w:r>
      <w:r w:rsidRPr="00D60A69">
        <w:rPr>
          <w:lang w:val="en-US"/>
        </w:rPr>
        <w:t xml:space="preserve"> Aguado JM, Vázquez L, Fernández-Ruiz M, et al; PCRAGA Study Group; Spanish Stem Cell Transplantation Group; Study Group of Medical Mycology of the Spanish Society of Clinical Microbiology and Infectious Diseases; Spanish Network for Research in InfectiousDiseases: Serum galactomannan versus a combination of galacto mannan and polymerase chain reaction-based Aspergillus DNA detection for early therapy of invasive aspergillosis in high-risk hematological patients: a randomized controlled trial. Clin Infect Dis 2015; 60:405–414</w:t>
      </w:r>
    </w:p>
  </w:endnote>
  <w:endnote w:id="237">
    <w:p w14:paraId="3101C813" w14:textId="77777777" w:rsidR="00587AE4" w:rsidRPr="00D60A69" w:rsidRDefault="00587AE4" w:rsidP="00801F84">
      <w:pPr>
        <w:pStyle w:val="Endnotentext"/>
        <w:rPr>
          <w:lang w:val="en-US"/>
        </w:rPr>
      </w:pPr>
      <w:r w:rsidRPr="00D60A69">
        <w:endnoteRef/>
      </w:r>
      <w:r w:rsidRPr="00D60A69">
        <w:rPr>
          <w:lang w:val="en-US"/>
        </w:rPr>
        <w:t xml:space="preserve"> Hou TY, Wang SH, Liang SX, et al: The Screening Performance of Serum 1,3-Beta-D-Glucan in Patients with Invasive Fungal Diseases: A Meta-Analysis of Prospective Cohort Studies. PLoS One 2015; 10:e0131602</w:t>
      </w:r>
    </w:p>
  </w:endnote>
  <w:endnote w:id="238">
    <w:p w14:paraId="2C65598B" w14:textId="77777777" w:rsidR="00587AE4" w:rsidRPr="00D60A69" w:rsidRDefault="00587AE4" w:rsidP="00801F84">
      <w:pPr>
        <w:pStyle w:val="Endnotentext"/>
        <w:rPr>
          <w:lang w:val="en-US"/>
        </w:rPr>
      </w:pPr>
      <w:r w:rsidRPr="00D60A69">
        <w:endnoteRef/>
      </w:r>
      <w:r w:rsidRPr="00D60A69">
        <w:rPr>
          <w:lang w:val="en-US"/>
        </w:rPr>
        <w:t xml:space="preserve"> Schuetz P, Briel M, Christ-Crain M, et al: Procalcitonin to guide ini tiation and duration of antibiotic treatment in acute respiratory infec tions: an individual patient data meta-analysis. Clin Infect Dis 2012; 55:651–662</w:t>
      </w:r>
    </w:p>
  </w:endnote>
  <w:endnote w:id="239">
    <w:p w14:paraId="4728FEC4" w14:textId="77777777" w:rsidR="00587AE4" w:rsidRPr="00D60A69" w:rsidRDefault="00587AE4" w:rsidP="00801F84">
      <w:pPr>
        <w:pStyle w:val="Endnotentext"/>
        <w:rPr>
          <w:lang w:val="en-US"/>
        </w:rPr>
      </w:pPr>
      <w:r w:rsidRPr="00D60A69">
        <w:endnoteRef/>
      </w:r>
      <w:r w:rsidRPr="00D60A69">
        <w:rPr>
          <w:lang w:val="en-US"/>
        </w:rPr>
        <w:t xml:space="preserve"> Matthaiou DK, Ntani G, Kontogiorgi M, et al: An ESICM systematic review and meta-analysis of procalcitonin-guided antibiotic therapy algorithms in adult critically ill patients. Intensive Care Med 2012; 38:940–949</w:t>
      </w:r>
    </w:p>
  </w:endnote>
  <w:endnote w:id="240">
    <w:p w14:paraId="0AC273CE" w14:textId="77777777" w:rsidR="00587AE4" w:rsidRPr="00D60A69" w:rsidRDefault="00587AE4" w:rsidP="00801F84">
      <w:pPr>
        <w:pStyle w:val="Endnotentext"/>
        <w:rPr>
          <w:lang w:val="en-US"/>
        </w:rPr>
      </w:pPr>
      <w:r w:rsidRPr="00D60A69">
        <w:endnoteRef/>
      </w:r>
      <w:r w:rsidRPr="00D60A69">
        <w:rPr>
          <w:lang w:val="en-US"/>
        </w:rPr>
        <w:t xml:space="preserve"> Prkno A, Wacker C, Brunkhorst FM, et al: Procalcitonin-guided therapy in intensive care unit patients with severe sepsis and sep tic shock–a systematic review and meta-analysis. Crit Care 2013; 17:R291</w:t>
      </w:r>
    </w:p>
  </w:endnote>
  <w:endnote w:id="241">
    <w:p w14:paraId="60E16E11" w14:textId="77777777" w:rsidR="00587AE4" w:rsidRPr="00D60A69" w:rsidRDefault="00587AE4" w:rsidP="00801F84">
      <w:pPr>
        <w:pStyle w:val="Endnotentext"/>
        <w:rPr>
          <w:lang w:val="en-US"/>
        </w:rPr>
      </w:pPr>
      <w:r w:rsidRPr="00D60A69">
        <w:endnoteRef/>
      </w:r>
      <w:r w:rsidRPr="00D60A69">
        <w:rPr>
          <w:lang w:val="en-US"/>
        </w:rPr>
        <w:t xml:space="preserve"> Westwood M, Ramaekers B, Whiting P, et al: Procalcitonin testing to guide antibiotic therapy for the treatment of sepsis in intensive care settings and for suspected bacterial infection in emergency depart ment settings: a systematic review and cost-effectiveness analysis. Health Technol Assess. 2015;19(96):v–xxv, 1–236</w:t>
      </w:r>
    </w:p>
  </w:endnote>
  <w:endnote w:id="242">
    <w:p w14:paraId="43485FE9" w14:textId="77777777" w:rsidR="00587AE4" w:rsidRPr="00D60A69" w:rsidRDefault="00587AE4" w:rsidP="00801F84">
      <w:pPr>
        <w:pStyle w:val="Endnotentext"/>
        <w:rPr>
          <w:lang w:val="en-US"/>
        </w:rPr>
      </w:pPr>
      <w:r w:rsidRPr="00D60A69">
        <w:endnoteRef/>
      </w:r>
      <w:r w:rsidRPr="00D60A69">
        <w:rPr>
          <w:lang w:val="en-US"/>
        </w:rPr>
        <w:t xml:space="preserve"> Wacker C, Prkno A, Brunkhorst FM, et al: Procalcitonin as a diag nostic marker for sepsis: a systematic review and meta-analysis. Lancet Infect Dis 2013; 13:426–435</w:t>
      </w:r>
    </w:p>
  </w:endnote>
  <w:endnote w:id="243">
    <w:p w14:paraId="4A945066" w14:textId="77777777" w:rsidR="00587AE4" w:rsidRPr="00D60A69" w:rsidRDefault="00587AE4" w:rsidP="00801F84">
      <w:pPr>
        <w:pStyle w:val="Endnotentext"/>
        <w:rPr>
          <w:lang w:val="en-US"/>
        </w:rPr>
      </w:pPr>
      <w:r w:rsidRPr="00D60A69">
        <w:endnoteRef/>
      </w:r>
      <w:r w:rsidRPr="00D60A69">
        <w:rPr>
          <w:lang w:val="en-US"/>
        </w:rPr>
        <w:t xml:space="preserve"> Soni NJ, Samson DJ, Galaydick JL, et al: Procalcitonin-guided anti biotic therapy: a systematic review and meta-analysis. J Hosp Med 2013; 8:530–540</w:t>
      </w:r>
    </w:p>
  </w:endnote>
  <w:endnote w:id="244">
    <w:p w14:paraId="36DD4254" w14:textId="77777777" w:rsidR="00587AE4" w:rsidRPr="00D60A69" w:rsidRDefault="00587AE4" w:rsidP="00801F84">
      <w:pPr>
        <w:pStyle w:val="Endnotentext"/>
        <w:rPr>
          <w:lang w:val="en-US"/>
        </w:rPr>
      </w:pPr>
      <w:r w:rsidRPr="00D60A69">
        <w:endnoteRef/>
      </w:r>
      <w:r w:rsidRPr="00D60A69">
        <w:rPr>
          <w:lang w:val="en-US"/>
        </w:rPr>
        <w:t xml:space="preserve"> de Jong E, van Oers JA, Beishuizen A, et al: Efficacy and safety of procalcitonin guidance in reducing the duration of antibiotic treat ment in critically ill patients: a randomised, controlled, open-label trial. Lancet Infect Dis 2016; 16:819–827</w:t>
      </w:r>
    </w:p>
  </w:endnote>
  <w:endnote w:id="245">
    <w:p w14:paraId="6698C926" w14:textId="77777777" w:rsidR="00587AE4" w:rsidRPr="00D60A69" w:rsidRDefault="00587AE4" w:rsidP="00801F84">
      <w:pPr>
        <w:pStyle w:val="Endnotentext"/>
        <w:rPr>
          <w:lang w:val="en-US"/>
        </w:rPr>
      </w:pPr>
      <w:r w:rsidRPr="00D60A69">
        <w:endnoteRef/>
      </w:r>
      <w:r w:rsidRPr="00D60A69">
        <w:rPr>
          <w:lang w:val="en-US"/>
        </w:rPr>
        <w:t xml:space="preserve"> Lesprit P, Landelle C, Girou E, et al: Reassessment of intrave nous antibiotic therapy using a reminder or direct counselling. J Antimicrob Chemother 2010; 65:789–795</w:t>
      </w:r>
    </w:p>
  </w:endnote>
  <w:endnote w:id="246">
    <w:p w14:paraId="187415BD" w14:textId="77777777" w:rsidR="00587AE4" w:rsidRPr="00D60A69" w:rsidRDefault="00587AE4" w:rsidP="00801F84">
      <w:pPr>
        <w:pStyle w:val="Endnotentext"/>
        <w:rPr>
          <w:lang w:val="en-US"/>
        </w:rPr>
      </w:pPr>
      <w:r w:rsidRPr="00D60A69">
        <w:endnoteRef/>
      </w:r>
      <w:r w:rsidRPr="00D60A69">
        <w:rPr>
          <w:lang w:val="en-US"/>
        </w:rPr>
        <w:t xml:space="preserve"> Paul  M,  Dickstein  Y,  Raz-Pasteur  A:  Antibiotic  de-escalation  for  bloodstream infections and pneumonia: systematic review and meta-analysis. Clin Microbiol Infect 2016; 22:960–967</w:t>
      </w:r>
    </w:p>
  </w:endnote>
  <w:endnote w:id="247">
    <w:p w14:paraId="22E72B5A" w14:textId="77777777" w:rsidR="00587AE4" w:rsidRPr="00D60A69" w:rsidRDefault="00587AE4" w:rsidP="00801F84">
      <w:pPr>
        <w:pStyle w:val="Endnotentext"/>
        <w:rPr>
          <w:lang w:val="en-US"/>
        </w:rPr>
      </w:pPr>
      <w:r w:rsidRPr="00D60A69">
        <w:endnoteRef/>
      </w:r>
      <w:r w:rsidRPr="00D60A69">
        <w:rPr>
          <w:lang w:val="en-US"/>
        </w:rPr>
        <w:t xml:space="preserve"> Goossens H: Antibiotic consumption and link to resistance. Clin Microbiol Infect 2009; 15 Suppl 3:12–15</w:t>
      </w:r>
      <w:r w:rsidRPr="00D60A69" w:rsidDel="009C0D28">
        <w:rPr>
          <w:lang w:val="en-US"/>
        </w:rPr>
        <w:t xml:space="preserve"> </w:t>
      </w:r>
    </w:p>
  </w:endnote>
  <w:endnote w:id="248">
    <w:p w14:paraId="1976E8CD" w14:textId="77777777" w:rsidR="00587AE4" w:rsidRPr="00D60A69" w:rsidRDefault="00587AE4" w:rsidP="00801F84">
      <w:pPr>
        <w:pStyle w:val="Endnotentext"/>
        <w:rPr>
          <w:lang w:val="en-US"/>
        </w:rPr>
      </w:pPr>
      <w:r w:rsidRPr="00D60A69">
        <w:endnoteRef/>
      </w:r>
      <w:r w:rsidRPr="00D60A69">
        <w:rPr>
          <w:lang w:val="en-US"/>
        </w:rPr>
        <w:t xml:space="preserve"> Jimenez MF, Marshall JC; International Sepsis Forum: Source control in the management of sepsis. Intensive Care Med 2001; 27 Suppl 1:S49–S62</w:t>
      </w:r>
    </w:p>
  </w:endnote>
  <w:endnote w:id="249">
    <w:p w14:paraId="01CDB06E" w14:textId="77777777" w:rsidR="00587AE4" w:rsidRPr="00D60A69" w:rsidRDefault="00587AE4" w:rsidP="00801F84">
      <w:pPr>
        <w:pStyle w:val="Endnotentext"/>
        <w:rPr>
          <w:lang w:val="en-US"/>
        </w:rPr>
      </w:pPr>
      <w:r w:rsidRPr="00D60A69">
        <w:endnoteRef/>
      </w:r>
      <w:r w:rsidRPr="00D60A69">
        <w:rPr>
          <w:lang w:val="en-US"/>
        </w:rPr>
        <w:t xml:space="preserve"> Azuhata T, Kinoshita K, Kawano D, et al: Time from admission to initi ation of surgery for source control is a critical determinant of survival in patients with gastrointestinal perforation with associated septic shock. Crit Care 2014; 18:R87</w:t>
      </w:r>
    </w:p>
  </w:endnote>
  <w:endnote w:id="250">
    <w:p w14:paraId="4AF62907" w14:textId="77777777" w:rsidR="00587AE4" w:rsidRPr="00D60A69" w:rsidRDefault="00587AE4" w:rsidP="00801F84">
      <w:pPr>
        <w:pStyle w:val="Endnotentext"/>
        <w:rPr>
          <w:lang w:val="en-US"/>
        </w:rPr>
      </w:pPr>
      <w:r w:rsidRPr="00D60A69">
        <w:endnoteRef/>
      </w:r>
      <w:r w:rsidRPr="00D60A69">
        <w:rPr>
          <w:lang w:val="en-US"/>
        </w:rPr>
        <w:t xml:space="preserve"> Bloos F, Thomas-Rüddel D, Rüddel H, et al; MEDUSA Study Group: Impact of compliance with infection management guidelines on out come in patients with severe sepsis: a prospective observational multi-center study. Crit Care 2014; 18:R42</w:t>
      </w:r>
    </w:p>
  </w:endnote>
  <w:endnote w:id="251">
    <w:p w14:paraId="03A05F68" w14:textId="7E6A521A" w:rsidR="00587AE4" w:rsidRDefault="00587AE4" w:rsidP="00801F84">
      <w:pPr>
        <w:pStyle w:val="Endnotentext"/>
        <w:rPr>
          <w:lang w:val="en-US"/>
        </w:rPr>
      </w:pPr>
      <w:r w:rsidRPr="00D60A69">
        <w:endnoteRef/>
      </w:r>
      <w:r w:rsidRPr="00D60A69">
        <w:rPr>
          <w:lang w:val="en-US"/>
        </w:rPr>
        <w:t xml:space="preserve"> Solomkin JS, Mazuski JE, Bradley JS, et al: Diagnosis and management of complicated intra-abdominal infection in adults and children: guide lines by the Surgical Infection Society and the Infectious Diseases Society of America. Surg Infect (Larchmt) 2010; 11:79–109</w:t>
      </w:r>
    </w:p>
    <w:p w14:paraId="4FDCAEBF" w14:textId="4CD85B48" w:rsidR="00EF1A9E" w:rsidRDefault="00EF1A9E" w:rsidP="00801F84">
      <w:pPr>
        <w:pStyle w:val="Endnotentext"/>
        <w:rPr>
          <w:lang w:val="en-US"/>
        </w:rPr>
      </w:pPr>
    </w:p>
    <w:p w14:paraId="2332A6EF" w14:textId="6D7C7FB2" w:rsidR="00EF1A9E" w:rsidRDefault="00EF1A9E" w:rsidP="00801F84">
      <w:pPr>
        <w:pStyle w:val="Endnotentext"/>
        <w:rPr>
          <w:lang w:val="en-US"/>
        </w:rPr>
      </w:pPr>
    </w:p>
    <w:p w14:paraId="5C3BB1D2" w14:textId="77777777" w:rsidR="00EF1A9E" w:rsidRPr="00D60A69" w:rsidRDefault="00EF1A9E" w:rsidP="00801F84">
      <w:pPr>
        <w:pStyle w:val="Endnotentext"/>
        <w:rPr>
          <w:lang w:val="en-US"/>
        </w:rPr>
      </w:pPr>
    </w:p>
  </w:endnote>
  <w:endnote w:id="252">
    <w:p w14:paraId="4707543C" w14:textId="77777777" w:rsidR="00587AE4" w:rsidRPr="00D60A69" w:rsidRDefault="00587AE4" w:rsidP="00801F84">
      <w:pPr>
        <w:pStyle w:val="Endnotentext"/>
        <w:rPr>
          <w:lang w:val="en-US"/>
        </w:rPr>
      </w:pPr>
      <w:r w:rsidRPr="00D60A69">
        <w:endnoteRef/>
      </w:r>
      <w:r w:rsidRPr="00D60A69">
        <w:rPr>
          <w:lang w:val="en-US"/>
        </w:rPr>
        <w:t xml:space="preserve"> Maitland K, Kiguli S, Opoka RO, et al; FEAST Trial Group: Mortality after fluid bolus in African children with severe infection. N Engl J Med 2011; 364:2483–2495</w:t>
      </w:r>
    </w:p>
  </w:endnote>
  <w:endnote w:id="253">
    <w:p w14:paraId="7F3760E1" w14:textId="77777777" w:rsidR="00587AE4" w:rsidRPr="00D60A69" w:rsidRDefault="00587AE4" w:rsidP="00801F84">
      <w:pPr>
        <w:pStyle w:val="Endnotentext"/>
        <w:rPr>
          <w:lang w:val="en-US"/>
        </w:rPr>
      </w:pPr>
      <w:r w:rsidRPr="00D60A69">
        <w:endnoteRef/>
      </w:r>
      <w:r w:rsidRPr="00D60A69">
        <w:rPr>
          <w:lang w:val="en-US"/>
        </w:rPr>
        <w:t xml:space="preserve"> Acheampong A, Vincent JL: A positive fluid balance is an independent prognostic factor in patients with sepsis. Crit Care 2015; 19:251</w:t>
      </w:r>
    </w:p>
  </w:endnote>
  <w:endnote w:id="254">
    <w:p w14:paraId="0A8C84D6" w14:textId="77777777" w:rsidR="00587AE4" w:rsidRPr="00D60A69" w:rsidRDefault="00587AE4" w:rsidP="00801F84">
      <w:pPr>
        <w:pStyle w:val="Endnotentext"/>
        <w:rPr>
          <w:lang w:val="en-US"/>
        </w:rPr>
      </w:pPr>
      <w:r w:rsidRPr="00D60A69">
        <w:endnoteRef/>
      </w:r>
      <w:r w:rsidRPr="00D60A69">
        <w:rPr>
          <w:lang w:val="en-US"/>
        </w:rPr>
        <w:t xml:space="preserve"> Brotfain E, Koyfman L, Toledano R, et al: Positive fluid balance as a major predictor of clinical outcome of patients with sepsis/septic shock after ICU discharge. Am J Emerg Med 2016; 34:2122–2126</w:t>
      </w:r>
    </w:p>
  </w:endnote>
  <w:endnote w:id="255">
    <w:p w14:paraId="4BD0CB33" w14:textId="77777777" w:rsidR="00587AE4" w:rsidRPr="00D60A69" w:rsidRDefault="00587AE4" w:rsidP="00801F84">
      <w:pPr>
        <w:pStyle w:val="Endnotentext"/>
        <w:rPr>
          <w:lang w:val="en-US"/>
        </w:rPr>
      </w:pPr>
      <w:r w:rsidRPr="00D60A69">
        <w:endnoteRef/>
      </w:r>
      <w:r w:rsidRPr="00D60A69">
        <w:rPr>
          <w:lang w:val="en-US"/>
        </w:rPr>
        <w:t xml:space="preserve"> Mitchell KH, Carlbom D, Caldwell E, et al: Volume Overload: Prevalence, Risk Factors, and Functional Outcome in Survivors of Septic Shock. Ann Am Thorac Soc 2015; 12:1837–1844</w:t>
      </w:r>
    </w:p>
  </w:endnote>
  <w:endnote w:id="256">
    <w:p w14:paraId="24104BFB" w14:textId="77777777" w:rsidR="00587AE4" w:rsidRPr="00D60A69" w:rsidRDefault="00587AE4" w:rsidP="00801F84">
      <w:pPr>
        <w:pStyle w:val="Endnotentext"/>
        <w:rPr>
          <w:lang w:val="en-US"/>
        </w:rPr>
      </w:pPr>
      <w:r w:rsidRPr="00D60A69">
        <w:endnoteRef/>
      </w:r>
      <w:r w:rsidRPr="00D60A69">
        <w:rPr>
          <w:lang w:val="en-US"/>
        </w:rPr>
        <w:t xml:space="preserve"> de Oliveira FS, Freitas FG, Ferreira EM, et al: Positive fluid balance as a prognostic factor for mortality and acute kidney injury in severe sepsis and septic shock. J Crit Care 2015; 30:97–101</w:t>
      </w:r>
    </w:p>
  </w:endnote>
  <w:endnote w:id="257">
    <w:p w14:paraId="203F979B" w14:textId="77777777" w:rsidR="00587AE4" w:rsidRPr="00D60A69" w:rsidRDefault="00587AE4" w:rsidP="00801F84">
      <w:pPr>
        <w:pStyle w:val="Endnotentext"/>
        <w:rPr>
          <w:lang w:val="en-US"/>
        </w:rPr>
      </w:pPr>
      <w:r w:rsidRPr="00D60A69">
        <w:endnoteRef/>
      </w:r>
      <w:r w:rsidRPr="00D60A69">
        <w:rPr>
          <w:lang w:val="en-US"/>
        </w:rPr>
        <w:t xml:space="preserve"> Malbrain ML, Marik PE, Witters I, et al: Fluid overload, de-resusci tation, and outcomes in critically ill or injured patients: a systematic review with suggestions for clinical practice. Anaesthesiol Intensive Ther 2014; 46:361–380</w:t>
      </w:r>
    </w:p>
  </w:endnote>
  <w:endnote w:id="258">
    <w:p w14:paraId="42A7CA5C" w14:textId="77777777" w:rsidR="00587AE4" w:rsidRPr="00D60A69" w:rsidRDefault="00587AE4" w:rsidP="00801F84">
      <w:pPr>
        <w:pStyle w:val="Endnotentext"/>
        <w:rPr>
          <w:lang w:val="en-US"/>
        </w:rPr>
      </w:pPr>
      <w:r w:rsidRPr="00D60A69">
        <w:endnoteRef/>
      </w:r>
      <w:r w:rsidRPr="00D60A69">
        <w:rPr>
          <w:lang w:val="en-US"/>
        </w:rPr>
        <w:t xml:space="preserve"> Yunos NM, Bellomo R, Hegarty C, et al: Association between a chloride-liberal vs chloride-restrictive intravenous fluid administra tion strategy and kidney injury in critically ill adults. JAMA 2012; 308:1566–1572</w:t>
      </w:r>
    </w:p>
  </w:endnote>
  <w:endnote w:id="259">
    <w:p w14:paraId="3A0AF5FA" w14:textId="77777777" w:rsidR="00587AE4" w:rsidRPr="00D60A69" w:rsidRDefault="00587AE4" w:rsidP="00801F84">
      <w:pPr>
        <w:pStyle w:val="Endnotentext"/>
        <w:rPr>
          <w:lang w:val="en-US"/>
        </w:rPr>
      </w:pPr>
      <w:r w:rsidRPr="00D60A69">
        <w:endnoteRef/>
      </w:r>
      <w:r w:rsidRPr="00D60A69">
        <w:rPr>
          <w:lang w:val="en-US"/>
        </w:rPr>
        <w:t xml:space="preserve"> Yunos NM, Bellomo R, Glassford N, Sutcliffe H, Lam Q, Bailey M. Chloride-liberal vs. chloride-restrictive intravenous fluid administration and acute kidney injury: an extended analysis. Intensive Care Med. 2015 Feb;41(2):257-64. doi: 10.1007/s00134-014-3593-0. Epub 2014 Dec 18</w:t>
      </w:r>
    </w:p>
  </w:endnote>
  <w:endnote w:id="260">
    <w:p w14:paraId="518B4765" w14:textId="77777777" w:rsidR="00587AE4" w:rsidRPr="00D60A69" w:rsidRDefault="00587AE4" w:rsidP="00801F84">
      <w:pPr>
        <w:pStyle w:val="Endnotentext"/>
        <w:rPr>
          <w:lang w:val="en-US"/>
        </w:rPr>
      </w:pPr>
      <w:r w:rsidRPr="00D60A69">
        <w:endnoteRef/>
      </w:r>
      <w:r w:rsidRPr="00D60A69">
        <w:rPr>
          <w:lang w:val="en-US"/>
        </w:rPr>
        <w:t xml:space="preserve"> Semler M. et al. Balanced Crystalloids versus Saline in Critically Ill Adults. N Engl J Med  2018,378: 829-39,</w:t>
      </w:r>
    </w:p>
  </w:endnote>
  <w:endnote w:id="261">
    <w:p w14:paraId="673EC3C8" w14:textId="77777777" w:rsidR="00587AE4" w:rsidRPr="00D60A69" w:rsidRDefault="00587AE4" w:rsidP="00801F84">
      <w:pPr>
        <w:pStyle w:val="Endnotentext"/>
        <w:rPr>
          <w:lang w:val="en-US"/>
        </w:rPr>
      </w:pPr>
      <w:r w:rsidRPr="00D60A69">
        <w:endnoteRef/>
      </w:r>
      <w:r w:rsidRPr="00D60A69">
        <w:rPr>
          <w:lang w:val="en-US"/>
        </w:rPr>
        <w:t xml:space="preserve"> Rochwerg B, Alhazzani W, Sindi A, et al; Fluids in Sepsis and Septic Shock Group: Fluid resuscitation in sepsis: a systematic review and network meta-analysis. Ann Intern Med 2014; 161:347–355</w:t>
      </w:r>
    </w:p>
  </w:endnote>
  <w:endnote w:id="262">
    <w:p w14:paraId="6DE9C48B" w14:textId="77777777" w:rsidR="00587AE4" w:rsidRPr="00D60A69" w:rsidRDefault="00587AE4" w:rsidP="00801F84">
      <w:pPr>
        <w:pStyle w:val="Endnotentext"/>
        <w:rPr>
          <w:lang w:val="en-US"/>
        </w:rPr>
      </w:pPr>
      <w:r w:rsidRPr="00D60A69">
        <w:endnoteRef/>
      </w:r>
      <w:r w:rsidRPr="00D60A69">
        <w:rPr>
          <w:lang w:val="en-US"/>
        </w:rPr>
        <w:t xml:space="preserve"> Young P, Bailey M, Beasley R, et al; SPLIT Investigators; ANZICS CTG: Effect of a Buffered Crystalloid Solution vs Saline on Acute Kidney Injury Among Patients in the Intensive Care Unit: The SPLIT Randomized Clinical Trial. JAMA 2015; 314:1701–1710</w:t>
      </w:r>
    </w:p>
  </w:endnote>
  <w:endnote w:id="263">
    <w:p w14:paraId="3C25F01F"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Semler MW, Self WH, Wanderer JP, Ehrenfeld JM, Wang L, Byrne DW, Stollings JL, Kumar AB, Hughes CG, Hernandez A, Guillamondegui OD, May AK, Weavind L, Casey JD, Siew ED, Shaw AD, Bernard GR, Rice TW; SMART Investigators and the Pragmatic Critical Care Research Group. Balanced Crystalloids versus Saline in Critically Ill Adults. N Engl J Med. 2018;378(9):829-839.</w:t>
      </w:r>
    </w:p>
  </w:endnote>
  <w:endnote w:id="264">
    <w:p w14:paraId="1679B732" w14:textId="77777777" w:rsidR="00587AE4" w:rsidRPr="00D60A69" w:rsidRDefault="00587AE4" w:rsidP="00801F84">
      <w:pPr>
        <w:pStyle w:val="Endnotentext"/>
        <w:rPr>
          <w:lang w:val="en-US"/>
        </w:rPr>
      </w:pPr>
      <w:r w:rsidRPr="00D60A69">
        <w:endnoteRef/>
      </w:r>
      <w:r w:rsidRPr="00D60A69">
        <w:rPr>
          <w:lang w:val="en-US"/>
        </w:rPr>
        <w:t xml:space="preserve"> Annane D, Siami S, Jaber S, et al. Effects of fluid resuscitation with colloids vs crystalloids on mortality in critically ill patients presenting with hypovolemic shock: the CRISTAL randomized trial. JAMA 2013; 310: 1809-17</w:t>
      </w:r>
    </w:p>
  </w:endnote>
  <w:endnote w:id="265">
    <w:p w14:paraId="7775EFCB" w14:textId="77777777" w:rsidR="00587AE4" w:rsidRPr="00D60A69" w:rsidRDefault="00587AE4" w:rsidP="00801F84">
      <w:pPr>
        <w:pStyle w:val="Endnotentext"/>
        <w:rPr>
          <w:lang w:val="en-US"/>
        </w:rPr>
      </w:pPr>
      <w:r w:rsidRPr="00D60A69">
        <w:endnoteRef/>
      </w:r>
      <w:r w:rsidRPr="00D60A69">
        <w:rPr>
          <w:lang w:val="en-US"/>
        </w:rPr>
        <w:t xml:space="preserve"> Haase N, Perner A, Hennings LI, et al: Hydroxyethyl starch 130/0.38  0.45 versus crystalloid or albumin in patients with sepsis: systematic review with meta-analysis and trial sequential analysis. BMJ 2013; 346:f839)</w:t>
      </w:r>
    </w:p>
  </w:endnote>
  <w:endnote w:id="266">
    <w:p w14:paraId="27C9AE00" w14:textId="77777777" w:rsidR="00587AE4" w:rsidRPr="00D60A69" w:rsidRDefault="00587AE4" w:rsidP="00801F84">
      <w:pPr>
        <w:pStyle w:val="Endnotentext"/>
        <w:rPr>
          <w:lang w:val="en-US"/>
        </w:rPr>
      </w:pPr>
      <w:r w:rsidRPr="00D60A69">
        <w:endnoteRef/>
      </w:r>
      <w:r w:rsidRPr="00D60A69">
        <w:rPr>
          <w:lang w:val="en-US"/>
        </w:rPr>
        <w:t xml:space="preserve"> Day NP, Phu NH, Bethell DP, et al: The effects of dopamine and adrenaline infusions on acid-base balance and systemic haemody namics in severe infection. Lancet 1996; 348:219–223</w:t>
      </w:r>
    </w:p>
  </w:endnote>
  <w:endnote w:id="267">
    <w:p w14:paraId="7F24F131" w14:textId="77777777" w:rsidR="00587AE4" w:rsidRPr="00D60A69" w:rsidRDefault="00587AE4" w:rsidP="00801F84">
      <w:pPr>
        <w:pStyle w:val="Endnotentext"/>
        <w:rPr>
          <w:lang w:val="en-US"/>
        </w:rPr>
      </w:pPr>
      <w:r w:rsidRPr="00D60A69">
        <w:endnoteRef/>
      </w:r>
      <w:r w:rsidRPr="00D60A69">
        <w:rPr>
          <w:lang w:val="en-US"/>
        </w:rPr>
        <w:t xml:space="preserve"> De Backer D, Creteur J, Silva E, et al: Effects of dopamine, nor epinephrine, and epinephrine on the splanchnic circulation in septic shock: which is best? Crit Care Med 2003; 31:1659–1667</w:t>
      </w:r>
    </w:p>
  </w:endnote>
  <w:endnote w:id="268">
    <w:p w14:paraId="4745D1AC" w14:textId="77777777" w:rsidR="00587AE4" w:rsidRPr="00D60A69" w:rsidRDefault="00587AE4" w:rsidP="00801F84">
      <w:pPr>
        <w:pStyle w:val="Endnotentext"/>
        <w:rPr>
          <w:lang w:val="en-US"/>
        </w:rPr>
      </w:pPr>
      <w:r w:rsidRPr="00D60A69">
        <w:endnoteRef/>
      </w:r>
      <w:r w:rsidRPr="00D60A69">
        <w:rPr>
          <w:lang w:val="en-US"/>
        </w:rPr>
        <w:t xml:space="preserve"> Martin C, Papazian L, Perrin G, et al: Norepinephrine or dopamine for the treatment of hyperdynamic septic shock? Chest 1993; 103:1826–1831</w:t>
      </w:r>
    </w:p>
  </w:endnote>
  <w:endnote w:id="269">
    <w:p w14:paraId="5C898A7A" w14:textId="77777777" w:rsidR="00587AE4" w:rsidRPr="00D60A69" w:rsidRDefault="00587AE4" w:rsidP="00801F84">
      <w:pPr>
        <w:pStyle w:val="Endnotentext"/>
        <w:rPr>
          <w:lang w:val="en-US"/>
        </w:rPr>
      </w:pPr>
      <w:r w:rsidRPr="00D60A69">
        <w:endnoteRef/>
      </w:r>
      <w:r w:rsidRPr="00D60A69">
        <w:rPr>
          <w:lang w:val="en-US"/>
        </w:rPr>
        <w:t xml:space="preserve"> Martin C, Viviand X, Leone M, et al: Effect of norepinephrine on the outcome of septic shock. Crit Care Med 2000; 28:2758–2765</w:t>
      </w:r>
    </w:p>
  </w:endnote>
  <w:endnote w:id="270">
    <w:p w14:paraId="23923FBE" w14:textId="77777777" w:rsidR="00587AE4" w:rsidRPr="00D60A69" w:rsidRDefault="00587AE4" w:rsidP="00801F84">
      <w:pPr>
        <w:pStyle w:val="Endnotentext"/>
        <w:rPr>
          <w:lang w:val="en-US"/>
        </w:rPr>
      </w:pPr>
      <w:r w:rsidRPr="00D60A69">
        <w:endnoteRef/>
      </w:r>
      <w:r w:rsidRPr="00D60A69">
        <w:rPr>
          <w:lang w:val="en-US"/>
        </w:rPr>
        <w:t xml:space="preserve"> Bollaert PE CHest 1990; 257 Levy B Intensive Care Med 1997; 258 Zhoe SX Acta Pharmacol Soin 2002; 259 Mackenzie SJ Intensive Care Med 1991; 260 Moran JL Crit Care Med 1993; 261 Yamazaki T Crit Care Med 1982)</w:t>
      </w:r>
    </w:p>
  </w:endnote>
  <w:endnote w:id="271">
    <w:p w14:paraId="3CA41232" w14:textId="77777777" w:rsidR="00587AE4" w:rsidRPr="00D60A69" w:rsidRDefault="00587AE4" w:rsidP="00801F84">
      <w:pPr>
        <w:pStyle w:val="Endnotentext"/>
        <w:rPr>
          <w:lang w:val="en-US"/>
        </w:rPr>
      </w:pPr>
      <w:r w:rsidRPr="00D60A69">
        <w:endnoteRef/>
      </w:r>
      <w:r w:rsidRPr="00D60A69">
        <w:rPr>
          <w:lang w:val="en-US"/>
        </w:rPr>
        <w:t xml:space="preserve"> Levy B, Bollaert PE, Charpentier C, et al: Comparison of norepi nephrine and dobutamine to epinephrine for hemodynamics, lactate metabolism, and gastric tonometric variables in septic shock: a pro spective, randomized study. Intensive Care Med 1997; 23:282–287</w:t>
      </w:r>
    </w:p>
  </w:endnote>
  <w:endnote w:id="272">
    <w:p w14:paraId="7D5AEE83" w14:textId="77777777" w:rsidR="00587AE4" w:rsidRPr="00D60A69" w:rsidRDefault="00587AE4" w:rsidP="00801F84">
      <w:pPr>
        <w:pStyle w:val="Endnotentext"/>
        <w:rPr>
          <w:lang w:val="en-US"/>
        </w:rPr>
      </w:pPr>
      <w:r w:rsidRPr="00D60A69">
        <w:endnoteRef/>
      </w:r>
      <w:r w:rsidRPr="00D60A69">
        <w:rPr>
          <w:lang w:val="en-US"/>
        </w:rPr>
        <w:t xml:space="preserve"> Zhou SX, Qiu HB, Huang YZ, et al: Effects of norepinephrine, epi nephrine, and norepinephrine-dobutamine on systemic and gastric mucosal oxygenation in septic shock. Acta Pharmacol Sin 2002; 23:654–658</w:t>
      </w:r>
    </w:p>
  </w:endnote>
  <w:endnote w:id="273">
    <w:p w14:paraId="247D1C71" w14:textId="77777777" w:rsidR="00587AE4" w:rsidRPr="00D60A69" w:rsidRDefault="00587AE4" w:rsidP="00801F84">
      <w:pPr>
        <w:pStyle w:val="Endnotentext"/>
        <w:rPr>
          <w:lang w:val="en-US"/>
        </w:rPr>
      </w:pPr>
      <w:r w:rsidRPr="00D60A69">
        <w:endnoteRef/>
      </w:r>
      <w:r w:rsidRPr="00D60A69">
        <w:rPr>
          <w:lang w:val="en-US"/>
        </w:rPr>
        <w:t xml:space="preserve"> Mackenzie SJ, Kapadia F, Nimmo GR, et al: Adrenaline in treatment of septic shock: effects on haemodynamics and oxygen transport. Intensive Care Med 1991; 17:36–39</w:t>
      </w:r>
    </w:p>
  </w:endnote>
  <w:endnote w:id="274">
    <w:p w14:paraId="6EB8D079" w14:textId="77777777" w:rsidR="00587AE4" w:rsidRPr="00D60A69" w:rsidRDefault="00587AE4" w:rsidP="00801F84">
      <w:pPr>
        <w:pStyle w:val="Endnotentext"/>
        <w:rPr>
          <w:lang w:val="en-US"/>
        </w:rPr>
      </w:pPr>
      <w:r w:rsidRPr="00D60A69">
        <w:endnoteRef/>
      </w:r>
      <w:r w:rsidRPr="00D60A69">
        <w:rPr>
          <w:lang w:val="en-US"/>
        </w:rPr>
        <w:t xml:space="preserve"> Moran JL, O’Fathartaigh MS, Peisach AR, et al: Epinephrine as an inotropic agent in septic shock: a dose-profile analysis. Crit Care Med 1993; 21:70–77</w:t>
      </w:r>
    </w:p>
  </w:endnote>
  <w:endnote w:id="275">
    <w:p w14:paraId="43229F5A" w14:textId="77777777" w:rsidR="00587AE4" w:rsidRPr="00D60A69" w:rsidRDefault="00587AE4" w:rsidP="00801F84">
      <w:pPr>
        <w:pStyle w:val="Endnotentext"/>
        <w:rPr>
          <w:lang w:val="en-US"/>
        </w:rPr>
      </w:pPr>
      <w:r w:rsidRPr="00D60A69">
        <w:endnoteRef/>
      </w:r>
      <w:r w:rsidRPr="00D60A69">
        <w:rPr>
          <w:lang w:val="en-US"/>
        </w:rPr>
        <w:t xml:space="preserve"> Yamazaki T, Shimada Y, Taenaka N, et al: Circulatory responses to afterloading with phenylephrine in hyperdynamic sepsis. Crit Care Med 1982; 10:432–435</w:t>
      </w:r>
    </w:p>
  </w:endnote>
  <w:endnote w:id="276">
    <w:p w14:paraId="22482108" w14:textId="77777777" w:rsidR="00587AE4" w:rsidRPr="00D60A69" w:rsidRDefault="00587AE4" w:rsidP="00801F84">
      <w:pPr>
        <w:pStyle w:val="Endnotentext"/>
        <w:rPr>
          <w:lang w:val="en-US"/>
        </w:rPr>
      </w:pPr>
      <w:r w:rsidRPr="00D60A69">
        <w:endnoteRef/>
      </w:r>
      <w:r w:rsidRPr="00D60A69">
        <w:rPr>
          <w:lang w:val="en-US"/>
        </w:rPr>
        <w:t xml:space="preserve"> Regnier B, Rapin M, Gory G, et al: Haemodynamic effects of dopa mine in septic shock. Intensive Care Med 1977; 3:47–53</w:t>
      </w:r>
    </w:p>
  </w:endnote>
  <w:endnote w:id="277">
    <w:p w14:paraId="4427E182" w14:textId="77777777" w:rsidR="00587AE4" w:rsidRPr="00D60A69" w:rsidRDefault="00587AE4" w:rsidP="00801F84">
      <w:pPr>
        <w:pStyle w:val="Endnotentext"/>
        <w:rPr>
          <w:lang w:val="en-US"/>
        </w:rPr>
      </w:pPr>
      <w:r w:rsidRPr="00D60A69">
        <w:endnoteRef/>
      </w:r>
      <w:r w:rsidRPr="00D60A69">
        <w:rPr>
          <w:lang w:val="en-US"/>
        </w:rPr>
        <w:t xml:space="preserve"> Beck GCh, Brinkkoetter P, Hanusch C, et al: Clinical review: immu-nomodulatory effects of dopamine in general inflammation. Crit Care. 2004;8(6):485–491</w:t>
      </w:r>
    </w:p>
  </w:endnote>
  <w:endnote w:id="278">
    <w:p w14:paraId="49031B82" w14:textId="77777777" w:rsidR="00587AE4" w:rsidRPr="00D60A69" w:rsidRDefault="00587AE4" w:rsidP="00801F84">
      <w:pPr>
        <w:pStyle w:val="Endnotentext"/>
        <w:rPr>
          <w:lang w:val="en-US"/>
        </w:rPr>
      </w:pPr>
      <w:r w:rsidRPr="00D60A69">
        <w:endnoteRef/>
      </w:r>
      <w:r w:rsidRPr="00D60A69">
        <w:rPr>
          <w:lang w:val="en-US"/>
        </w:rPr>
        <w:t xml:space="preserve"> Avni T, Lador A, Lev S, et al: Vasopressors for the Treatment of Septic Shock: Systematic Review and Meta-Analysis. PLoS One 2015; 10:e0129305</w:t>
      </w:r>
    </w:p>
  </w:endnote>
  <w:endnote w:id="279">
    <w:p w14:paraId="1743178E" w14:textId="77777777" w:rsidR="00587AE4" w:rsidRPr="00D60A69" w:rsidRDefault="00587AE4" w:rsidP="00801F84">
      <w:pPr>
        <w:pStyle w:val="Endnotentext"/>
        <w:rPr>
          <w:lang w:val="en-US"/>
        </w:rPr>
      </w:pPr>
      <w:r w:rsidRPr="00D60A69">
        <w:endnoteRef/>
      </w:r>
      <w:r w:rsidRPr="00D60A69">
        <w:rPr>
          <w:lang w:val="en-US"/>
        </w:rPr>
        <w:t xml:space="preserve"> Myburgh JA, Higgins A, Jovanovska A, et al; CAT Study investiga tors: A comparison of epinephrine and norepinephrine in critically ill patients. Intensive Care Med 2008; 34:2226–2234</w:t>
      </w:r>
    </w:p>
  </w:endnote>
  <w:endnote w:id="280">
    <w:p w14:paraId="715B1907" w14:textId="77777777" w:rsidR="00587AE4" w:rsidRPr="00D60A69" w:rsidRDefault="00587AE4" w:rsidP="00801F84">
      <w:pPr>
        <w:pStyle w:val="Endnotentext"/>
        <w:rPr>
          <w:lang w:val="en-US"/>
        </w:rPr>
      </w:pPr>
      <w:r w:rsidRPr="00D60A69">
        <w:endnoteRef/>
      </w:r>
      <w:r w:rsidRPr="00D60A69">
        <w:rPr>
          <w:lang w:val="en-US"/>
        </w:rPr>
        <w:t xml:space="preserve"> Patel BM, Chittock DR, Russell JA, et al: Beneficial effects of short-term vasopressin infusion during severe septic shock. Anesthesiology 2002; 96:576–582</w:t>
      </w:r>
    </w:p>
  </w:endnote>
  <w:endnote w:id="281">
    <w:p w14:paraId="4EDC0F3D" w14:textId="77777777" w:rsidR="00587AE4" w:rsidRPr="00D60A69" w:rsidRDefault="00587AE4" w:rsidP="00801F84">
      <w:pPr>
        <w:pStyle w:val="Endnotentext"/>
        <w:rPr>
          <w:lang w:val="en-US"/>
        </w:rPr>
      </w:pPr>
      <w:r w:rsidRPr="00D60A69">
        <w:endnoteRef/>
      </w:r>
      <w:r w:rsidRPr="00D60A69">
        <w:rPr>
          <w:lang w:val="en-US"/>
        </w:rPr>
        <w:t xml:space="preserve"> Dünser MW, Mayr AJ, Ulmer H, et al: Arginine vasopressin in advanced vasodilatory shock: a prospective, randomized, controlled study. Circulation 2003; 107:2313–2319</w:t>
      </w:r>
    </w:p>
  </w:endnote>
  <w:endnote w:id="282">
    <w:p w14:paraId="6B416E00" w14:textId="77777777" w:rsidR="00587AE4" w:rsidRPr="00D60A69" w:rsidRDefault="00587AE4" w:rsidP="00801F84">
      <w:pPr>
        <w:pStyle w:val="Endnotentext"/>
        <w:rPr>
          <w:lang w:val="en-US"/>
        </w:rPr>
      </w:pPr>
      <w:r w:rsidRPr="00D60A69">
        <w:endnoteRef/>
      </w:r>
      <w:r w:rsidRPr="00D60A69">
        <w:rPr>
          <w:lang w:val="en-US"/>
        </w:rPr>
        <w:t xml:space="preserve"> Lauzier F, Lévy B, Lamarre P, et al: Vasopressin or norepinephrine in early hyperdynamic septic shock: a randomized clinical trial. Intensive Care Med 2006; 32:1782–1789</w:t>
      </w:r>
    </w:p>
  </w:endnote>
  <w:endnote w:id="283">
    <w:p w14:paraId="4825E3D8" w14:textId="77777777" w:rsidR="00587AE4" w:rsidRPr="00D60A69" w:rsidRDefault="00587AE4" w:rsidP="00801F84">
      <w:pPr>
        <w:pStyle w:val="Endnotentext"/>
        <w:rPr>
          <w:lang w:val="en-US"/>
        </w:rPr>
      </w:pPr>
      <w:r w:rsidRPr="00D60A69">
        <w:endnoteRef/>
      </w:r>
      <w:r w:rsidRPr="00D60A69">
        <w:rPr>
          <w:lang w:val="en-US"/>
        </w:rPr>
        <w:t xml:space="preserve"> Holmes CL, Walley KR, Chittock DR, et al: The effects of vasopres sin on hemodynamics and renal function in severe septic shock: a case series. Intensive Care Med 2001; 27:1416–1421</w:t>
      </w:r>
    </w:p>
  </w:endnote>
  <w:endnote w:id="284">
    <w:p w14:paraId="70A2BA65" w14:textId="77777777" w:rsidR="00587AE4" w:rsidRPr="00D60A69" w:rsidRDefault="00587AE4" w:rsidP="00801F84">
      <w:pPr>
        <w:pStyle w:val="Endnotentext"/>
        <w:rPr>
          <w:lang w:val="en-US"/>
        </w:rPr>
      </w:pPr>
      <w:r w:rsidRPr="00D60A69">
        <w:endnoteRef/>
      </w:r>
      <w:r w:rsidRPr="00D60A69">
        <w:rPr>
          <w:lang w:val="en-US"/>
        </w:rPr>
        <w:t xml:space="preserve"> Malay MB, Ashton RC Jr, Landry DW, et al: Low-dose vasopres sin in the treatment of vasodilatory septic shock. J Trauma 1999; 47:699–703; discussion 703</w:t>
      </w:r>
    </w:p>
  </w:endnote>
  <w:endnote w:id="285">
    <w:p w14:paraId="2DD5A83B" w14:textId="77777777" w:rsidR="00587AE4" w:rsidRPr="00D60A69" w:rsidRDefault="00587AE4" w:rsidP="00801F84">
      <w:pPr>
        <w:pStyle w:val="Endnotentext"/>
        <w:rPr>
          <w:lang w:val="en-US"/>
        </w:rPr>
      </w:pPr>
      <w:r w:rsidRPr="00D60A69">
        <w:endnoteRef/>
      </w:r>
      <w:r w:rsidRPr="00D60A69">
        <w:rPr>
          <w:lang w:val="en-US"/>
        </w:rPr>
        <w:t xml:space="preserve"> O’Brien A, Clapp L, Singer M: Terlipressin for norepinephrine-resis tant septic shock. Lancet 2002; 359:1209–1210</w:t>
      </w:r>
    </w:p>
  </w:endnote>
  <w:endnote w:id="286">
    <w:p w14:paraId="78A3BCDE" w14:textId="0EC5CE83" w:rsidR="00587AE4" w:rsidRDefault="00587AE4" w:rsidP="00801F84">
      <w:pPr>
        <w:pStyle w:val="Endnotentext"/>
        <w:rPr>
          <w:lang w:val="en-US"/>
        </w:rPr>
      </w:pPr>
      <w:r w:rsidRPr="00D60A69">
        <w:endnoteRef/>
      </w:r>
      <w:r w:rsidRPr="00D60A69">
        <w:rPr>
          <w:lang w:val="en-US"/>
        </w:rPr>
        <w:t xml:space="preserve"> Sharshar T, Blanchard A, Paillard M, et al: Circulating vasopressin levels in septic shock. Crit Care Med 2003; 31:1752–1758</w:t>
      </w:r>
    </w:p>
    <w:p w14:paraId="5590284B" w14:textId="7115E115" w:rsidR="00E15D93" w:rsidRDefault="00E15D93" w:rsidP="00801F84">
      <w:pPr>
        <w:pStyle w:val="Endnotentext"/>
        <w:rPr>
          <w:lang w:val="en-US"/>
        </w:rPr>
      </w:pPr>
    </w:p>
    <w:p w14:paraId="6F68C71B" w14:textId="77777777" w:rsidR="00E15D93" w:rsidRPr="00D60A69" w:rsidRDefault="00E15D93" w:rsidP="00801F84">
      <w:pPr>
        <w:pStyle w:val="Endnotentext"/>
        <w:rPr>
          <w:lang w:val="en-US"/>
        </w:rPr>
      </w:pPr>
    </w:p>
  </w:endnote>
  <w:endnote w:id="287">
    <w:p w14:paraId="3C917DE5" w14:textId="77777777" w:rsidR="00587AE4" w:rsidRPr="00D60A69" w:rsidRDefault="00587AE4" w:rsidP="00801F84">
      <w:pPr>
        <w:pStyle w:val="Endnotentext"/>
        <w:rPr>
          <w:lang w:val="en-US"/>
        </w:rPr>
      </w:pPr>
      <w:r w:rsidRPr="00D60A69">
        <w:endnoteRef/>
      </w:r>
      <w:r w:rsidRPr="00D60A69">
        <w:rPr>
          <w:lang w:val="en-US"/>
        </w:rPr>
        <w:t xml:space="preserve"> Russell JA, Walley KR, Singer J, et al; VASST Investigators: Vasopressin versus norepinephrine infusion in patients with septic shock. N Engl J Med 2008; 358:877–887</w:t>
      </w:r>
    </w:p>
  </w:endnote>
  <w:endnote w:id="288">
    <w:p w14:paraId="35255371" w14:textId="77777777" w:rsidR="00587AE4" w:rsidRPr="00D60A69" w:rsidRDefault="00587AE4" w:rsidP="00801F84">
      <w:pPr>
        <w:pStyle w:val="Endnotentext"/>
        <w:rPr>
          <w:lang w:val="en-US"/>
        </w:rPr>
      </w:pPr>
      <w:r w:rsidRPr="00D60A69">
        <w:endnoteRef/>
      </w:r>
      <w:r w:rsidRPr="00D60A69">
        <w:rPr>
          <w:lang w:val="en-US"/>
        </w:rPr>
        <w:t xml:space="preserve"> Gordon AC, Mason AJ, Thirunavukkarasu N, et al; VANISH Investigators: Effect of Early Vasopressin vs Norepinephrine on Kidney Failure in Patients With Septic Shock: The VANISH Randomized Clinical Trial. JAMA 2016; 316:509–518</w:t>
      </w:r>
    </w:p>
  </w:endnote>
  <w:endnote w:id="289">
    <w:p w14:paraId="16570EBA" w14:textId="77777777" w:rsidR="00587AE4" w:rsidRPr="00D60A69" w:rsidRDefault="00587AE4" w:rsidP="00801F84">
      <w:pPr>
        <w:pStyle w:val="Endnotentext"/>
        <w:rPr>
          <w:lang w:val="en-US"/>
        </w:rPr>
      </w:pPr>
      <w:r w:rsidRPr="00D60A69">
        <w:endnoteRef/>
      </w:r>
      <w:r w:rsidRPr="00D60A69">
        <w:rPr>
          <w:lang w:val="en-US"/>
        </w:rPr>
        <w:t xml:space="preserve"> Malay MB, Ashton RC Jr, Landry DW, et al: Low-dose vasopres sin in the treatment of vasodilatory septic shock. J Trauma 1999; 47:699–703; discussion 703</w:t>
      </w:r>
    </w:p>
  </w:endnote>
  <w:endnote w:id="290">
    <w:p w14:paraId="24DCB63C" w14:textId="77777777" w:rsidR="00587AE4" w:rsidRPr="00D60A69" w:rsidRDefault="00587AE4" w:rsidP="00801F84">
      <w:pPr>
        <w:pStyle w:val="Endnotentext"/>
        <w:rPr>
          <w:lang w:val="en-US"/>
        </w:rPr>
      </w:pPr>
      <w:r w:rsidRPr="00D60A69">
        <w:endnoteRef/>
      </w:r>
      <w:r w:rsidRPr="00D60A69">
        <w:rPr>
          <w:lang w:val="en-US"/>
        </w:rPr>
        <w:t xml:space="preserve"> O’Brien A, Clapp L, Singer M: Terlipressin for norepinephrine-resis tant septic shock. Lancet 2002; 359:1209–1210</w:t>
      </w:r>
    </w:p>
  </w:endnote>
  <w:endnote w:id="291">
    <w:p w14:paraId="4247EC45" w14:textId="77777777" w:rsidR="00587AE4" w:rsidRPr="00D60A69" w:rsidRDefault="00587AE4" w:rsidP="00801F84">
      <w:pPr>
        <w:pStyle w:val="Endnotentext"/>
        <w:rPr>
          <w:lang w:val="en-US"/>
        </w:rPr>
      </w:pPr>
      <w:r w:rsidRPr="00D60A69">
        <w:endnoteRef/>
      </w:r>
      <w:r w:rsidRPr="00D60A69">
        <w:rPr>
          <w:lang w:val="en-US"/>
        </w:rPr>
        <w:t xml:space="preserve"> Albanèse J, Leone M, Delmas A, et al: Terlipressin or norepinephrine in hyperdynamic septic shock: a prospective, randomized study. Crit Care Med 2005; 33:1897–1902</w:t>
      </w:r>
    </w:p>
  </w:endnote>
  <w:endnote w:id="292">
    <w:p w14:paraId="5C3FF00D" w14:textId="77777777" w:rsidR="00587AE4" w:rsidRPr="00D60A69" w:rsidRDefault="00587AE4" w:rsidP="00801F84">
      <w:pPr>
        <w:pStyle w:val="Endnotentext"/>
        <w:rPr>
          <w:lang w:val="en-US"/>
        </w:rPr>
      </w:pPr>
      <w:r w:rsidRPr="00D60A69">
        <w:endnoteRef/>
      </w:r>
      <w:r w:rsidRPr="00D60A69">
        <w:rPr>
          <w:lang w:val="en-US"/>
        </w:rPr>
        <w:t xml:space="preserve"> Morelli A, Ertmer C, Lange M, et al: Effects of short-term simultane ous infusion of dobutamine and terlipressin in patients with septic shock: the DOBUPRESS study. Br J Anaesth 2008; 100:494–503</w:t>
      </w:r>
    </w:p>
  </w:endnote>
  <w:endnote w:id="293">
    <w:p w14:paraId="1BE90C86" w14:textId="77777777" w:rsidR="00587AE4" w:rsidRPr="00D60A69" w:rsidRDefault="00587AE4" w:rsidP="00801F84">
      <w:pPr>
        <w:pStyle w:val="Endnotentext"/>
        <w:rPr>
          <w:lang w:val="en-US"/>
        </w:rPr>
      </w:pPr>
      <w:r w:rsidRPr="00D60A69">
        <w:endnoteRef/>
      </w:r>
      <w:r w:rsidRPr="00D60A69">
        <w:rPr>
          <w:lang w:val="en-US"/>
        </w:rPr>
        <w:t xml:space="preserve"> Morelli A, Ertmer C, Rehberg S, et al: Continuous terlipressin ver sus vasopressin infusion in septic shock (TERLIVAP): a randomized, controlled pilot study. Crit Care 2009; 13:R130</w:t>
      </w:r>
    </w:p>
  </w:endnote>
  <w:endnote w:id="294">
    <w:p w14:paraId="56923670" w14:textId="77777777" w:rsidR="00587AE4" w:rsidRPr="00D60A69" w:rsidRDefault="00587AE4" w:rsidP="00801F84">
      <w:pPr>
        <w:pStyle w:val="Endnotentext"/>
        <w:rPr>
          <w:lang w:val="en-US"/>
        </w:rPr>
      </w:pPr>
      <w:r w:rsidRPr="00D60A69">
        <w:endnoteRef/>
      </w:r>
      <w:r w:rsidRPr="00D60A69">
        <w:rPr>
          <w:lang w:val="en-US"/>
        </w:rPr>
        <w:t xml:space="preserve"> Zhou F, Mao Z, Zeng X, et al: Vasopressors in septic shock: a sys tematic review and network meta-analysis. Ther Clin Risk Manag 2015; 11:1047–1059</w:t>
      </w:r>
    </w:p>
  </w:endnote>
  <w:endnote w:id="295">
    <w:p w14:paraId="423F44A6" w14:textId="77777777" w:rsidR="00587AE4" w:rsidRPr="00D60A69" w:rsidRDefault="00587AE4" w:rsidP="00801F84">
      <w:pPr>
        <w:pStyle w:val="Endnotentext"/>
        <w:rPr>
          <w:lang w:val="en-US"/>
        </w:rPr>
      </w:pPr>
      <w:r w:rsidRPr="00D60A69">
        <w:endnoteRef/>
      </w:r>
      <w:r w:rsidRPr="00D60A69">
        <w:rPr>
          <w:lang w:val="en-US"/>
        </w:rPr>
        <w:t xml:space="preserve"> De Backer D, Aldecoa C, Njimi H, et al: Dopamine versus norepi nephrine in the treatment of septic shock: a meta-analysis*. Crit Care Med 2012; 40:725–730</w:t>
      </w:r>
    </w:p>
  </w:endnote>
  <w:endnote w:id="296">
    <w:p w14:paraId="1CB87D4C" w14:textId="2F03016A" w:rsidR="00EF1A9E" w:rsidRPr="00D60A69" w:rsidRDefault="00587AE4" w:rsidP="00801F84">
      <w:pPr>
        <w:pStyle w:val="Endnotentext"/>
        <w:rPr>
          <w:lang w:val="en-US"/>
        </w:rPr>
      </w:pPr>
      <w:r w:rsidRPr="00D60A69">
        <w:endnoteRef/>
      </w:r>
      <w:r w:rsidRPr="00D60A69">
        <w:rPr>
          <w:lang w:val="en-US"/>
        </w:rPr>
        <w:t xml:space="preserve"> De Backer D N Engl J Med 2010, 28</w:t>
      </w:r>
      <w:r w:rsidR="00EF1A9E">
        <w:rPr>
          <w:lang w:val="en-US"/>
        </w:rPr>
        <w:t>3 Parker MM Ann Intern Med 1984</w:t>
      </w:r>
    </w:p>
  </w:endnote>
  <w:endnote w:id="297">
    <w:p w14:paraId="04FBA1DC" w14:textId="77777777" w:rsidR="00587AE4" w:rsidRPr="00D60A69" w:rsidRDefault="00587AE4" w:rsidP="00801F84">
      <w:pPr>
        <w:pStyle w:val="Endnotentext"/>
        <w:rPr>
          <w:lang w:val="en-US"/>
        </w:rPr>
      </w:pPr>
      <w:r w:rsidRPr="00D60A69">
        <w:endnoteRef/>
      </w:r>
      <w:r w:rsidRPr="00D60A69">
        <w:rPr>
          <w:lang w:val="en-US"/>
        </w:rPr>
        <w:t xml:space="preserve"> Gattinoni L, Brazzi L, Pelosi P, et al: A trial of goal-oriented hemody</w:t>
      </w:r>
      <w:r w:rsidRPr="00D60A69">
        <w:rPr>
          <w:lang w:val="en-US"/>
        </w:rPr>
        <w:softHyphen/>
        <w:t>namic therapy in critically ill patients. SvO2 Collaborative Group. N Engl J Med 1995; 333:1025–1032</w:t>
      </w:r>
      <w:r w:rsidRPr="00D60A69" w:rsidDel="00380546">
        <w:rPr>
          <w:lang w:val="en-US"/>
        </w:rPr>
        <w:t xml:space="preserve"> </w:t>
      </w:r>
    </w:p>
  </w:endnote>
  <w:endnote w:id="298">
    <w:p w14:paraId="447D3164" w14:textId="77777777" w:rsidR="00587AE4" w:rsidRPr="00D60A69" w:rsidRDefault="00587AE4" w:rsidP="00801F84">
      <w:pPr>
        <w:pStyle w:val="Endnotentext"/>
        <w:rPr>
          <w:lang w:val="en-US"/>
        </w:rPr>
      </w:pPr>
      <w:r w:rsidRPr="00D60A69">
        <w:endnoteRef/>
      </w:r>
      <w:r w:rsidRPr="00D60A69">
        <w:rPr>
          <w:lang w:val="en-US"/>
        </w:rPr>
        <w:t xml:space="preserve"> Hayes MA, Timmins AC, Yau EH, et al: Elevation of systemic oxygen delivery in the treatment of critically ill patients. N Engl J Med 1994; 330:1717–1722</w:t>
      </w:r>
    </w:p>
  </w:endnote>
  <w:endnote w:id="299">
    <w:p w14:paraId="11DC9336" w14:textId="77777777" w:rsidR="00587AE4" w:rsidRPr="00D60A69" w:rsidRDefault="00587AE4" w:rsidP="00801F84">
      <w:pPr>
        <w:pStyle w:val="Endnotentext"/>
        <w:rPr>
          <w:lang w:val="en-US"/>
        </w:rPr>
      </w:pPr>
      <w:r w:rsidRPr="00D60A69">
        <w:endnoteRef/>
      </w:r>
      <w:r w:rsidRPr="00D60A69">
        <w:rPr>
          <w:lang w:val="en-US"/>
        </w:rPr>
        <w:t xml:space="preserve"> Hollenberg SM, Ahrens TS, Annane D, et al: Practice parameters for hemodynamic support of sepsis in adult patients: 2004 update. Crit Care Med 2004; 32:1928–1948</w:t>
      </w:r>
    </w:p>
  </w:endnote>
  <w:endnote w:id="300">
    <w:p w14:paraId="560835D7" w14:textId="77777777" w:rsidR="00587AE4" w:rsidRPr="00D60A69" w:rsidRDefault="00587AE4" w:rsidP="00801F84">
      <w:pPr>
        <w:pStyle w:val="Endnotentext"/>
        <w:rPr>
          <w:lang w:val="en-US"/>
        </w:rPr>
      </w:pPr>
      <w:r w:rsidRPr="00D60A69">
        <w:endnoteRef/>
      </w:r>
      <w:r w:rsidRPr="00D60A69">
        <w:rPr>
          <w:lang w:val="en-US"/>
        </w:rPr>
        <w:t xml:space="preserve"> Annane D, Vignon P, Renault A, et al; CATS Study Group: Norepinephrine plus dobutamine versus epinephrine alone for manage ment of septic shock: a randomised trial. Lancet 2007; 370:676–684</w:t>
      </w:r>
    </w:p>
  </w:endnote>
  <w:endnote w:id="301">
    <w:p w14:paraId="7A28A034" w14:textId="77777777" w:rsidR="00587AE4" w:rsidRPr="00D60A69" w:rsidRDefault="00587AE4" w:rsidP="00801F84">
      <w:pPr>
        <w:pStyle w:val="Endnotentext"/>
        <w:rPr>
          <w:lang w:val="en-US"/>
        </w:rPr>
      </w:pPr>
      <w:r w:rsidRPr="00D60A69">
        <w:endnoteRef/>
      </w:r>
      <w:r w:rsidRPr="00D60A69">
        <w:rPr>
          <w:lang w:val="en-US"/>
        </w:rPr>
        <w:t xml:space="preserve"> Rivers E, Nguyen B, Havstad S, et al; Early Goal-Directed Therapy Collaborative Group: Early goal-directed therapy in the treatment of severe sepsis and septic shock. N Engl J Med 2001; 345:1368– 1377</w:t>
      </w:r>
      <w:r w:rsidRPr="00D60A69" w:rsidDel="00D159AF">
        <w:rPr>
          <w:lang w:val="en-US"/>
        </w:rPr>
        <w:t xml:space="preserve"> </w:t>
      </w:r>
    </w:p>
  </w:endnote>
  <w:endnote w:id="302">
    <w:p w14:paraId="5005069F" w14:textId="77777777" w:rsidR="00587AE4" w:rsidRPr="00D60A69" w:rsidRDefault="00587AE4" w:rsidP="00801F84">
      <w:pPr>
        <w:pStyle w:val="Endnotentext"/>
        <w:rPr>
          <w:lang w:val="en-US"/>
        </w:rPr>
      </w:pPr>
      <w:r w:rsidRPr="00D60A69">
        <w:endnoteRef/>
      </w:r>
      <w:r w:rsidRPr="00D60A69">
        <w:rPr>
          <w:lang w:val="en-US"/>
        </w:rPr>
        <w:t xml:space="preserve"> ProCess Investigators, Yealy DM, Kellum JA, et al: A randomized trial of protocol-based care for early septic shock. N Engl J Med. 2014;370(18):1683–1693</w:t>
      </w:r>
    </w:p>
  </w:endnote>
  <w:endnote w:id="303">
    <w:p w14:paraId="6BDBD42E" w14:textId="77777777" w:rsidR="00587AE4" w:rsidRPr="00D60A69" w:rsidRDefault="00587AE4" w:rsidP="00801F84">
      <w:pPr>
        <w:pStyle w:val="Endnotentext"/>
        <w:rPr>
          <w:lang w:val="en-US"/>
        </w:rPr>
      </w:pPr>
      <w:r w:rsidRPr="00D60A69">
        <w:endnoteRef/>
      </w:r>
      <w:r w:rsidRPr="00D60A69">
        <w:rPr>
          <w:lang w:val="en-US"/>
        </w:rPr>
        <w:t xml:space="preserve"> ARISE Investigators, Anzics Clinical Trials Group, Peake SL, et al: Goal-directed resuscitation for patients with early septic shock. N Engl J Med. 2014;371(16):1496–1506</w:t>
      </w:r>
    </w:p>
  </w:endnote>
  <w:endnote w:id="304">
    <w:p w14:paraId="0B3FB7B1" w14:textId="77777777" w:rsidR="00587AE4" w:rsidRPr="00D60A69" w:rsidRDefault="00587AE4" w:rsidP="00801F84">
      <w:pPr>
        <w:pStyle w:val="Endnotentext"/>
      </w:pPr>
      <w:r w:rsidRPr="00D60A69">
        <w:endnoteRef/>
      </w:r>
      <w:r w:rsidRPr="00D60A69">
        <w:rPr>
          <w:lang w:val="en-US"/>
        </w:rPr>
        <w:t xml:space="preserve"> Cohn JN: Blood pressure measurement in shock. Mechanism of inaccuracy in ausculatory and palpatory methods. </w:t>
      </w:r>
      <w:r w:rsidRPr="00D60A69">
        <w:t>JAMA 1967; 199:118–122</w:t>
      </w:r>
    </w:p>
  </w:endnote>
  <w:endnote w:id="305">
    <w:p w14:paraId="2676B17B" w14:textId="77777777" w:rsidR="00587AE4" w:rsidRPr="00D60A69" w:rsidRDefault="00587AE4" w:rsidP="00801F84">
      <w:pPr>
        <w:pStyle w:val="Endnotentext"/>
        <w:rPr>
          <w:lang w:val="en-US"/>
        </w:rPr>
      </w:pPr>
      <w:r w:rsidRPr="00D60A69">
        <w:endnoteRef/>
      </w:r>
      <w:r w:rsidRPr="00D60A69">
        <w:t xml:space="preserve"> Hollenberg SM, Parrillo JE. Shock. In: Braunwald E, Isselbacher KJ, Wilson JD, et al. </w:t>
      </w:r>
      <w:r w:rsidRPr="00D60A69">
        <w:rPr>
          <w:lang w:val="en-US"/>
        </w:rPr>
        <w:t>Harrison’s Principles of Internal Medicine. 14th ed. New York: McGraw-Hill; 1997:214–222</w:t>
      </w:r>
      <w:r w:rsidRPr="00D60A69" w:rsidDel="00D159AF">
        <w:rPr>
          <w:lang w:val="en-US"/>
        </w:rPr>
        <w:t xml:space="preserve"> </w:t>
      </w:r>
    </w:p>
  </w:endnote>
  <w:endnote w:id="306">
    <w:p w14:paraId="32838DA8" w14:textId="77777777" w:rsidR="00587AE4" w:rsidRPr="00D60A69" w:rsidRDefault="00587AE4" w:rsidP="00801F84">
      <w:pPr>
        <w:pStyle w:val="Endnotentext"/>
        <w:rPr>
          <w:lang w:val="en-US"/>
        </w:rPr>
      </w:pPr>
      <w:r w:rsidRPr="00D60A69">
        <w:endnoteRef/>
      </w:r>
      <w:r w:rsidRPr="00D60A69">
        <w:rPr>
          <w:lang w:val="en-US"/>
        </w:rPr>
        <w:t xml:space="preserve"> Scheer B, Perel A, Pfeiffer UJ: Clinical review: complications and risk factors of peripheral arterial catheters used for haemodynamic monitoring in anaesthesia and intensive care medicine. Crit Care 2002; 6:199–204</w:t>
      </w:r>
      <w:r w:rsidRPr="00D60A69" w:rsidDel="00D159AF">
        <w:rPr>
          <w:lang w:val="en-US"/>
        </w:rPr>
        <w:t xml:space="preserve"> </w:t>
      </w:r>
    </w:p>
  </w:endnote>
  <w:endnote w:id="307">
    <w:p w14:paraId="7BDE34ED" w14:textId="77777777" w:rsidR="00587AE4" w:rsidRPr="00D60A69" w:rsidRDefault="00587AE4" w:rsidP="00801F84">
      <w:pPr>
        <w:pStyle w:val="Endnotentext"/>
        <w:rPr>
          <w:lang w:val="en-US"/>
        </w:rPr>
      </w:pPr>
      <w:r w:rsidRPr="00D60A69">
        <w:endnoteRef/>
      </w:r>
      <w:r w:rsidRPr="00D60A69">
        <w:rPr>
          <w:lang w:val="en-US"/>
        </w:rPr>
        <w:t xml:space="preserve"> Gu WJ, Wu XD, Wang F, et al: Ultrasound Guidance Facilitates Radial Artery Catheterization: A Meta-analysis With Trial Sequential Analysis of Randomized Controlled Trials. Chest 2016; 149:166–179</w:t>
      </w:r>
    </w:p>
  </w:endnote>
  <w:endnote w:id="308">
    <w:p w14:paraId="16A17291" w14:textId="77777777" w:rsidR="00587AE4" w:rsidRPr="00D60A69" w:rsidRDefault="00587AE4" w:rsidP="00801F84">
      <w:pPr>
        <w:pStyle w:val="Endnotentext"/>
        <w:rPr>
          <w:lang w:val="en-US"/>
        </w:rPr>
      </w:pPr>
      <w:r w:rsidRPr="00D60A69">
        <w:endnoteRef/>
      </w:r>
      <w:r w:rsidRPr="00D60A69">
        <w:rPr>
          <w:lang w:val="en-US"/>
        </w:rPr>
        <w:t xml:space="preserve"> O’Horo JC, Maki DG, Krupp AE, et al. Arterial catheters as a source of bloodstream infection: a systematic review and meta-analysis. Crit Care Med 2014; 42:1334–1339)</w:t>
      </w:r>
    </w:p>
  </w:endnote>
  <w:endnote w:id="309">
    <w:p w14:paraId="4AB4F1ED" w14:textId="77777777" w:rsidR="00587AE4" w:rsidRPr="00D60A69" w:rsidRDefault="00587AE4" w:rsidP="00801F84">
      <w:pPr>
        <w:pStyle w:val="Endnotentext"/>
        <w:rPr>
          <w:lang w:val="en-US"/>
        </w:rPr>
      </w:pPr>
      <w:r w:rsidRPr="00D60A69">
        <w:endnoteRef/>
      </w:r>
      <w:r w:rsidRPr="00D60A69">
        <w:rPr>
          <w:lang w:val="en-US"/>
        </w:rPr>
        <w:t xml:space="preserve"> Barton P, Garcia J, Kouatli A, et al: Hemodynamic effects of i.v. mil rinone lactate in pediatric patients with septic shock. A prospec tive, double-blinded, randomized, placebo-controlled, interventional study. Chest 1996; 109:1302–1312</w:t>
      </w:r>
    </w:p>
  </w:endnote>
  <w:endnote w:id="310">
    <w:p w14:paraId="1AB1F55B" w14:textId="77777777" w:rsidR="00587AE4" w:rsidRPr="00D60A69" w:rsidRDefault="00587AE4" w:rsidP="00801F84">
      <w:pPr>
        <w:pStyle w:val="Endnotentext"/>
        <w:rPr>
          <w:lang w:val="en-US"/>
        </w:rPr>
      </w:pPr>
      <w:r w:rsidRPr="00D60A69">
        <w:endnoteRef/>
      </w:r>
      <w:r w:rsidRPr="00D60A69">
        <w:rPr>
          <w:lang w:val="en-US"/>
        </w:rPr>
        <w:t xml:space="preserve"> Morelli A, Teboul JL, Maggiore SM, et al: Effects of levosimendan on right ventricular afterload in patients with acute respiratory distress syndrome: a pilot study. Crit Care Med 2006; 34:2287–2293</w:t>
      </w:r>
    </w:p>
  </w:endnote>
  <w:endnote w:id="311">
    <w:p w14:paraId="381E58E2" w14:textId="77777777" w:rsidR="00587AE4" w:rsidRPr="00D60A69" w:rsidRDefault="00587AE4" w:rsidP="00801F84">
      <w:pPr>
        <w:pStyle w:val="Endnotentext"/>
        <w:rPr>
          <w:lang w:val="en-US"/>
        </w:rPr>
      </w:pPr>
      <w:r w:rsidRPr="00D60A69">
        <w:endnoteRef/>
      </w:r>
      <w:r w:rsidRPr="00D60A69">
        <w:rPr>
          <w:lang w:val="en-US"/>
        </w:rPr>
        <w:t xml:space="preserve"> Morelli A, De Castro S, Teboul JL, et al: Effects of levosimendan on systemic and regional hemodynamics in septic myocardial depres sion. Intensive Care Med 2005; 31:638–644)</w:t>
      </w:r>
    </w:p>
  </w:endnote>
  <w:endnote w:id="312">
    <w:p w14:paraId="7F44B21C" w14:textId="0191EF0E" w:rsidR="00587AE4" w:rsidRPr="00D60A69" w:rsidRDefault="00587AE4" w:rsidP="00801F84">
      <w:pPr>
        <w:pStyle w:val="Endnotentext"/>
      </w:pPr>
      <w:r w:rsidRPr="00D60A69">
        <w:endnoteRef/>
      </w:r>
      <w:r w:rsidRPr="00D60A69">
        <w:rPr>
          <w:lang w:val="en-US"/>
        </w:rPr>
        <w:t xml:space="preserve"> Gordon AC, Perkins GD, Singer M, et al: Levosimendan for the pre vention of acute organ dysfunction in sepsis. </w:t>
      </w:r>
      <w:r w:rsidR="00EF1A9E">
        <w:t>N Engl J Med.</w:t>
      </w:r>
    </w:p>
  </w:endnote>
  <w:endnote w:id="313">
    <w:p w14:paraId="0971DE7A" w14:textId="77777777" w:rsidR="00587AE4" w:rsidRPr="00D60A69" w:rsidRDefault="00587AE4" w:rsidP="00801F84">
      <w:pPr>
        <w:pStyle w:val="Endnotentext"/>
        <w:rPr>
          <w:lang w:val="en-US"/>
        </w:rPr>
      </w:pPr>
      <w:r w:rsidRPr="00D60A69">
        <w:endnoteRef/>
      </w:r>
      <w:r w:rsidRPr="00D60A69">
        <w:rPr>
          <w:lang w:val="en-US"/>
        </w:rPr>
        <w:t xml:space="preserve"> Schmittinger CA, Torgersen C, Luckner G, et. al Adverse cardiac events during catecholamine vasopressor therapy: a prospective observational study.</w:t>
      </w:r>
    </w:p>
    <w:p w14:paraId="70709CFF" w14:textId="77777777" w:rsidR="00587AE4" w:rsidRPr="00D60A69" w:rsidRDefault="00587AE4" w:rsidP="00801F84">
      <w:pPr>
        <w:pStyle w:val="Endnotentext"/>
        <w:rPr>
          <w:lang w:val="en-US"/>
        </w:rPr>
      </w:pPr>
      <w:r w:rsidRPr="00D60A69">
        <w:rPr>
          <w:lang w:val="en-US"/>
        </w:rPr>
        <w:t xml:space="preserve">Intensive Care Med. 2012 Jun;38(6):950-8.; </w:t>
      </w:r>
    </w:p>
  </w:endnote>
  <w:endnote w:id="314">
    <w:p w14:paraId="2B43E90F" w14:textId="77777777" w:rsidR="00587AE4" w:rsidRPr="00D60A69" w:rsidRDefault="00587AE4" w:rsidP="00801F84">
      <w:pPr>
        <w:pStyle w:val="Endnotentext"/>
        <w:rPr>
          <w:lang w:val="en-US"/>
        </w:rPr>
      </w:pPr>
      <w:r w:rsidRPr="00D60A69">
        <w:endnoteRef/>
      </w:r>
      <w:r w:rsidRPr="00D60A69">
        <w:rPr>
          <w:lang w:val="en-US"/>
        </w:rPr>
        <w:t xml:space="preserve"> Leibovici L. et al QJM 100: 629-34, 2007; Schmittinger C. et al. ICM 38:959-958, 2012; Macchia A et al. Crit Care Med 40. 2768-72, 2012</w:t>
      </w:r>
    </w:p>
  </w:endnote>
  <w:endnote w:id="315">
    <w:p w14:paraId="6750B931" w14:textId="77777777" w:rsidR="00587AE4" w:rsidRPr="00D60A69" w:rsidRDefault="00587AE4" w:rsidP="00801F84">
      <w:pPr>
        <w:pStyle w:val="Endnotentext"/>
        <w:rPr>
          <w:lang w:val="en-US"/>
        </w:rPr>
      </w:pPr>
      <w:r w:rsidRPr="00D60A69">
        <w:endnoteRef/>
      </w:r>
      <w:r w:rsidRPr="00D60A69">
        <w:rPr>
          <w:lang w:val="en-US"/>
        </w:rPr>
        <w:t xml:space="preserve"> Pemberton P, Veenith T, Snelson C, Whitehouse T.Is It Time to Beta Block the Septic Patient?</w:t>
      </w:r>
    </w:p>
    <w:p w14:paraId="1EDD775A" w14:textId="77777777" w:rsidR="00587AE4" w:rsidRPr="00D60A69" w:rsidRDefault="00587AE4" w:rsidP="00801F84">
      <w:pPr>
        <w:pStyle w:val="Endnotentext"/>
        <w:rPr>
          <w:lang w:val="en-US"/>
        </w:rPr>
      </w:pPr>
      <w:r w:rsidRPr="00D60A69">
        <w:rPr>
          <w:lang w:val="en-US"/>
        </w:rPr>
        <w:t>Biomed Res Int. 2015;2015:424308..)</w:t>
      </w:r>
    </w:p>
  </w:endnote>
  <w:endnote w:id="316">
    <w:p w14:paraId="31387669" w14:textId="77777777" w:rsidR="00587AE4" w:rsidRPr="00D60A69" w:rsidRDefault="00587AE4" w:rsidP="00801F84">
      <w:pPr>
        <w:pStyle w:val="Endnotentext"/>
        <w:rPr>
          <w:lang w:val="en-US"/>
        </w:rPr>
      </w:pPr>
      <w:r w:rsidRPr="00D60A69">
        <w:endnoteRef/>
      </w:r>
      <w:r w:rsidRPr="00D60A69">
        <w:rPr>
          <w:lang w:val="en-US"/>
        </w:rPr>
        <w:t xml:space="preserve"> Lechat P, Packer M, Chalon S, et al.Clinical effects of beta-adrenergic blockade in chronic heart failure: a meta-analysis of double-blind, placebo-controlled, randomized trials.</w:t>
      </w:r>
    </w:p>
    <w:p w14:paraId="5E237541" w14:textId="77777777" w:rsidR="00587AE4" w:rsidRPr="00D60A69" w:rsidRDefault="00587AE4" w:rsidP="00801F84">
      <w:pPr>
        <w:pStyle w:val="Endnotentext"/>
        <w:rPr>
          <w:lang w:val="en-US"/>
        </w:rPr>
      </w:pPr>
      <w:r w:rsidRPr="00D60A69">
        <w:rPr>
          <w:lang w:val="en-US"/>
        </w:rPr>
        <w:t xml:space="preserve">Circulation. 1998 Sep 22;98(12):1184-91  </w:t>
      </w:r>
    </w:p>
  </w:endnote>
  <w:endnote w:id="317">
    <w:p w14:paraId="11563A06" w14:textId="77777777" w:rsidR="00587AE4" w:rsidRPr="00D60A69" w:rsidRDefault="00587AE4" w:rsidP="00801F84">
      <w:pPr>
        <w:pStyle w:val="Endnotentext"/>
        <w:rPr>
          <w:lang w:val="en-US"/>
        </w:rPr>
      </w:pPr>
      <w:r w:rsidRPr="00D60A69">
        <w:endnoteRef/>
      </w:r>
      <w:r w:rsidRPr="00D60A69">
        <w:rPr>
          <w:lang w:val="en-US"/>
        </w:rPr>
        <w:t xml:space="preserve"> Martin N1, Manoharan K, Thomas J, et al. Beta-blockers and inhibitors of the renin-angiotensin aldosterone system for chronic heart failure with preserved ejection fraction. Cochrane Database Syst Rev. 2018 Jun 28;6:CD012721... </w:t>
      </w:r>
    </w:p>
  </w:endnote>
  <w:endnote w:id="318">
    <w:p w14:paraId="33FCB1E0" w14:textId="77777777" w:rsidR="00587AE4" w:rsidRPr="00D60A69" w:rsidRDefault="00587AE4" w:rsidP="00801F84">
      <w:pPr>
        <w:pStyle w:val="Endnotentext"/>
        <w:rPr>
          <w:lang w:val="en-US"/>
        </w:rPr>
      </w:pPr>
      <w:r w:rsidRPr="00D60A69">
        <w:endnoteRef/>
      </w:r>
      <w:r w:rsidRPr="00D60A69">
        <w:rPr>
          <w:lang w:val="en-US"/>
        </w:rPr>
        <w:t xml:space="preserve"> Garnock-Jones KP. Esmolol: a review of its use in the short-term treatment of tachyarrhythmias and the short-term control of tachycardia and hypertension. Drugs. 2012 Jan 1;72(1):109-32.</w:t>
      </w:r>
    </w:p>
  </w:endnote>
  <w:endnote w:id="319">
    <w:p w14:paraId="0040B2F9" w14:textId="77777777" w:rsidR="00587AE4" w:rsidRPr="00D60A69" w:rsidRDefault="00587AE4" w:rsidP="00801F84">
      <w:pPr>
        <w:pStyle w:val="Endnotentext"/>
        <w:rPr>
          <w:lang w:val="en-US"/>
        </w:rPr>
      </w:pPr>
      <w:r w:rsidRPr="00D60A69">
        <w:endnoteRef/>
      </w:r>
      <w:r w:rsidRPr="00D60A69">
        <w:rPr>
          <w:lang w:val="en-US"/>
        </w:rPr>
        <w:t xml:space="preserve"> Sanfilippo F, Santonocito C, Morelli A, Foex P. Beta-blocker use in severe sepsis and septic shock: a systematic review.</w:t>
      </w:r>
    </w:p>
    <w:p w14:paraId="4D1EB0B4" w14:textId="77777777" w:rsidR="00587AE4" w:rsidRPr="00D60A69" w:rsidRDefault="00587AE4" w:rsidP="00801F84">
      <w:pPr>
        <w:pStyle w:val="Endnotentext"/>
        <w:rPr>
          <w:lang w:val="en-US"/>
        </w:rPr>
      </w:pPr>
      <w:r w:rsidRPr="00D60A69">
        <w:rPr>
          <w:lang w:val="en-US"/>
        </w:rPr>
        <w:t>Curr Med Res Opin. 2015;31(10):1817-25..</w:t>
      </w:r>
    </w:p>
  </w:endnote>
  <w:endnote w:id="320">
    <w:p w14:paraId="2D6DD6B7" w14:textId="1AA1D005" w:rsidR="00587AE4" w:rsidRPr="00D60A69" w:rsidRDefault="00587AE4" w:rsidP="00801F84">
      <w:pPr>
        <w:pStyle w:val="Endnotentext"/>
        <w:rPr>
          <w:lang w:val="en-US"/>
        </w:rPr>
      </w:pPr>
      <w:r w:rsidRPr="00D60A69">
        <w:endnoteRef/>
      </w:r>
      <w:r w:rsidR="006B2B71" w:rsidRPr="00D60A69">
        <w:rPr>
          <w:lang w:val="en-US"/>
        </w:rPr>
        <w:t xml:space="preserve"> </w:t>
      </w:r>
      <w:r w:rsidRPr="00D60A69">
        <w:rPr>
          <w:lang w:val="en-US"/>
        </w:rPr>
        <w:t>Morelli A, Ertmer C, Westphal M, et al.Effect of heart rate control with esmolol on hemodynamic and clinical outcomes in patients with septic shock: a randomized clinical trial.</w:t>
      </w:r>
    </w:p>
    <w:p w14:paraId="69D2ECDD" w14:textId="77777777" w:rsidR="00587AE4" w:rsidRPr="00D60A69" w:rsidRDefault="00587AE4" w:rsidP="00801F84">
      <w:pPr>
        <w:pStyle w:val="Endnotentext"/>
        <w:rPr>
          <w:lang w:val="en-US"/>
        </w:rPr>
      </w:pPr>
      <w:r w:rsidRPr="00D60A69">
        <w:rPr>
          <w:lang w:val="en-US"/>
        </w:rPr>
        <w:t>JAMA. 2013 Oct 23;310(16):1683-91.</w:t>
      </w:r>
    </w:p>
  </w:endnote>
  <w:endnote w:id="321">
    <w:p w14:paraId="21F451BD" w14:textId="1DDB58B6" w:rsidR="00587AE4" w:rsidRDefault="00587AE4" w:rsidP="00801F84">
      <w:pPr>
        <w:pStyle w:val="Endnotentext"/>
        <w:rPr>
          <w:rStyle w:val="Ohne"/>
          <w:lang w:val="en-US"/>
        </w:rPr>
      </w:pPr>
      <w:r w:rsidRPr="00D60A69">
        <w:rPr>
          <w:rStyle w:val="Ohne"/>
        </w:rPr>
        <w:endnoteRef/>
      </w:r>
      <w:r w:rsidRPr="00D60A69">
        <w:rPr>
          <w:rStyle w:val="Ohne"/>
          <w:lang w:val="en-US"/>
        </w:rPr>
        <w:t xml:space="preserve"> Annane D, Bellissant E, Bollaert PE, et al: Corticosteroids in the treatment of severe sepsis and septic shock in adults: a systematic review. JAMA 2009; 301:2362–2375</w:t>
      </w:r>
    </w:p>
    <w:p w14:paraId="02E70A40" w14:textId="77777777" w:rsidR="00E15D93" w:rsidRPr="00D60A69" w:rsidRDefault="00E15D93" w:rsidP="00801F84">
      <w:pPr>
        <w:pStyle w:val="Endnotentext"/>
        <w:rPr>
          <w:lang w:val="en-US"/>
        </w:rPr>
      </w:pPr>
    </w:p>
  </w:endnote>
  <w:endnote w:id="322">
    <w:p w14:paraId="5F47827A" w14:textId="6A75EF50" w:rsidR="00EF1A9E" w:rsidRPr="00D60A69" w:rsidRDefault="00587AE4" w:rsidP="00801F84">
      <w:pPr>
        <w:pStyle w:val="Endnotentext"/>
        <w:rPr>
          <w:lang w:val="en-US"/>
        </w:rPr>
      </w:pPr>
      <w:r w:rsidRPr="00D60A69">
        <w:rPr>
          <w:rStyle w:val="Ohne"/>
        </w:rPr>
        <w:endnoteRef/>
      </w:r>
      <w:r w:rsidRPr="00D60A69">
        <w:rPr>
          <w:rStyle w:val="Ohne"/>
          <w:lang w:val="en-US"/>
        </w:rPr>
        <w:t xml:space="preserve"> Bollaert PE, Charpentier C, Levy B, et al: Reversal of late septic shock with supraphysiologic doses of hydrocortisone. Crit Care Med 1998; 26:645–650</w:t>
      </w:r>
    </w:p>
  </w:endnote>
  <w:endnote w:id="323">
    <w:p w14:paraId="09975F35"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Briegel J, Forst H, Haller M, et al: Stress doses of hydrocortisone reverse hyperdynamic septic shock: a prospective, randomized, double-blind, single-center study. Crit Care Med 1999; 27:723–732</w:t>
      </w:r>
    </w:p>
  </w:endnote>
  <w:endnote w:id="324">
    <w:p w14:paraId="0F2C23E9"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Sprung CL, Annane D, Keh D, et al; CORTICUS Study Group: Hydrocortisone therapy for patients with septic shock. N Engl J Med 2008; 358:111–124</w:t>
      </w:r>
    </w:p>
  </w:endnote>
  <w:endnote w:id="325">
    <w:p w14:paraId="2C52B547"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Sligl WI, Milner DA Jr, Sundar S, et al: Safety and efficacy of cortico steroids for the treatment of septic shock: A systematic review and meta-analysis. Clin Infect Dis 2009; 49:93–101</w:t>
      </w:r>
    </w:p>
  </w:endnote>
  <w:endnote w:id="326">
    <w:p w14:paraId="5232138C"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Volbeda M, Wetterslev J, Gluud C, et al: Glucocorticosteroids for sepsis: systematic review with meta-analysis and trial sequential analysis. Intensive Care Med 2015; 41:1220–1234</w:t>
      </w:r>
    </w:p>
  </w:endnote>
  <w:endnote w:id="327">
    <w:p w14:paraId="6624BCE5"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Annane D, Sébille V, Charpentier C, et al: Effect of treatment with low doses of hydrocortisone and fludrocortisone on mortality in patients with septic shock. JAMA 2002; 288:862–871</w:t>
      </w:r>
    </w:p>
  </w:endnote>
  <w:endnote w:id="328">
    <w:p w14:paraId="1532B1AC"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Briegel J, Sprung CL, Annane D, et al; CORTICUS Study Group: Multicenter comparison of cortisol as measured by different meth ods in samples of patients with septic shock. Intensive Care Med 2009; 35:2151–2156</w:t>
      </w:r>
    </w:p>
  </w:endnote>
  <w:endnote w:id="329">
    <w:p w14:paraId="54D6C157"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Allolio B, Dörr H, Stuttmann R, et al: Effect of a single bolus of etomi date upon eight major corticosteroid hormones and plasma ACTH. Clin Endocrinol (Oxf) 1985; 22:281–286</w:t>
      </w:r>
    </w:p>
  </w:endnote>
  <w:endnote w:id="330">
    <w:p w14:paraId="4DC406BD"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Jabre P, Combes X, Lapostolle F, et al; KETASED Collaborative Study Group: Etomidate versus ketamine for rapid sequence intuba tion in acutely ill patients: a multicentre randomised controlled trial. Lancet 2009; 374:293–300</w:t>
      </w:r>
    </w:p>
  </w:endnote>
  <w:endnote w:id="331">
    <w:p w14:paraId="7DA9108D"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Oppert M, Schindler R, Husung C, et al: Low-dose hydrocortisone improves shock reversal and reduces cytokine levels in early hyper dynamic septic shock. Crit Care Med 2005; 33:2457–2464</w:t>
      </w:r>
    </w:p>
  </w:endnote>
  <w:endnote w:id="332">
    <w:p w14:paraId="06AB3100"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Yildiz O, Doganay M, Aygen B, et al: Physiological-dose steroid therapy in sepsis [ISRCTN36253388]. Crit Care 2002; 6:251–259</w:t>
      </w:r>
    </w:p>
  </w:endnote>
  <w:endnote w:id="333">
    <w:p w14:paraId="70837815"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Keh D, Boehnke T, Weber-Cartens S, et al: Immunologic and hemo dynamic effects of “low-dose” hydrocortisone in septic shock: a double-blind, randomized, placebo-controlled, crossover study. Am J Respir Crit Care Med 2003; 167:512–520</w:t>
      </w:r>
    </w:p>
  </w:endnote>
  <w:endnote w:id="334">
    <w:p w14:paraId="7EA2A879"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Huh JW, Choi HS, Lim CM, et al: Low-dose hydrocortisone treat ment for patients with septic shock: a pilot study comparing 3days with 7days. Respirology 2011; 16:1088–1095</w:t>
      </w:r>
    </w:p>
  </w:endnote>
  <w:endnote w:id="335">
    <w:p w14:paraId="41262B0F"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Keh D, Trips E, Marx G, et al; SepNet–Critical Care Trials Group: Effect of Hydrocortisone on Development of Shock Among Patients With Severe Sepsis: The HYPRESS Randomized Clinical Trial. JAMA 2016; 316:1775–1785</w:t>
      </w:r>
    </w:p>
  </w:endnote>
  <w:endnote w:id="336">
    <w:p w14:paraId="16D2C2A0"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Weber-Carstens S, Deja M, Bercker S, et al: Impact of bolus appli cation of low-dose hydrocortisone on glycemic control in septic shock patients. Intensive Care Med 2007; 33:730–733</w:t>
      </w:r>
    </w:p>
  </w:endnote>
  <w:endnote w:id="337">
    <w:p w14:paraId="2E8142E0"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Holst LB, Haase N, Wetterslev J et al. Lower versus Higher Hemoglobin Threshold for Transfusion in Septic Shock. New England Journal of Medicine 2014; 371: 1381-1391</w:t>
      </w:r>
    </w:p>
  </w:endnote>
  <w:endnote w:id="338">
    <w:p w14:paraId="2FEF618B"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Rygard SL, Holst LB, Wetterslev J et al. Long-term outcomes in patients with septic shock transfused at a lower versus a higher haemoglobin threshold: the TRISS randomised, multicentre clinical trial. Intensive Care Med 2016; 42: 1685-1694</w:t>
      </w:r>
    </w:p>
  </w:endnote>
  <w:endnote w:id="339">
    <w:p w14:paraId="32135B6B" w14:textId="77777777" w:rsidR="00587AE4" w:rsidRPr="00D60A69" w:rsidRDefault="00587AE4" w:rsidP="00801F84">
      <w:pPr>
        <w:pStyle w:val="Endnotentext"/>
        <w:rPr>
          <w:lang w:val="en-US"/>
        </w:rPr>
      </w:pPr>
      <w:r w:rsidRPr="00D60A69">
        <w:endnoteRef/>
      </w:r>
      <w:r w:rsidRPr="00D60A69">
        <w:rPr>
          <w:lang w:val="fr-FR"/>
        </w:rPr>
        <w:t xml:space="preserve"> Dupuis C, Sonneville R, Adrie C et al. </w:t>
      </w:r>
      <w:r w:rsidRPr="00D60A69">
        <w:rPr>
          <w:lang w:val="en-US"/>
        </w:rPr>
        <w:t>Impact of transfusion on patients with sepsis admitted in intensive care unit: a</w:t>
      </w:r>
      <w:r w:rsidRPr="00D60A69">
        <w:rPr>
          <w:rStyle w:val="Ohne"/>
          <w:lang w:val="en-US"/>
        </w:rPr>
        <w:t xml:space="preserve"> systematic review and meta-analysis. Ann Intensive Care 2017; 7:5</w:t>
      </w:r>
    </w:p>
  </w:endnote>
  <w:endnote w:id="340">
    <w:p w14:paraId="2BA6D3BE" w14:textId="77777777" w:rsidR="00587AE4" w:rsidRPr="00D60A69" w:rsidRDefault="00587AE4" w:rsidP="00801F84">
      <w:pPr>
        <w:pStyle w:val="Endnotentext"/>
        <w:rPr>
          <w:lang w:val="en-US"/>
        </w:rPr>
      </w:pPr>
      <w:r w:rsidRPr="00D60A69">
        <w:endnoteRef/>
      </w:r>
      <w:r w:rsidRPr="00D60A69">
        <w:rPr>
          <w:lang w:val="en-US"/>
        </w:rPr>
        <w:t xml:space="preserve"> Dupuis C, Garrouste-Orgeas M, Bailly S et al. Effect of Transfusion on Mortality and Other Adverse Events Among Critically</w:t>
      </w:r>
      <w:r w:rsidRPr="00D60A69">
        <w:rPr>
          <w:rStyle w:val="Ohne"/>
          <w:lang w:val="en-US"/>
        </w:rPr>
        <w:t xml:space="preserve"> Ill Septic Patients: An Observational Study Using a Marginal Structural Cox Model. Crit Care Med 2017; 45: 1972-1980</w:t>
      </w:r>
    </w:p>
  </w:endnote>
  <w:endnote w:id="341">
    <w:p w14:paraId="3A15D885" w14:textId="77777777" w:rsidR="00587AE4" w:rsidRPr="00D60A69" w:rsidRDefault="00587AE4" w:rsidP="00801F84">
      <w:pPr>
        <w:pStyle w:val="Endnotentext"/>
      </w:pPr>
      <w:r w:rsidRPr="00D60A69">
        <w:endnoteRef/>
      </w:r>
      <w:r w:rsidRPr="00D60A69">
        <w:rPr>
          <w:lang w:val="en-US"/>
        </w:rPr>
        <w:t xml:space="preserve"> Investigators P, Rowan KM, Angus DC et al. Early, Goal-Directed Therapy for Septic Shock - A Patient-Level Meta-Analysis.</w:t>
      </w:r>
      <w:r w:rsidRPr="00D60A69">
        <w:rPr>
          <w:rStyle w:val="Ohne"/>
          <w:lang w:val="en-US"/>
        </w:rPr>
        <w:t xml:space="preserve"> </w:t>
      </w:r>
      <w:r w:rsidRPr="00D60A69">
        <w:rPr>
          <w:rStyle w:val="Ohne"/>
        </w:rPr>
        <w:t>N Engl J Med 2017; 376: 2223-2234</w:t>
      </w:r>
    </w:p>
  </w:endnote>
  <w:endnote w:id="342">
    <w:p w14:paraId="73203E81" w14:textId="77777777" w:rsidR="00587AE4" w:rsidRPr="00D60A69" w:rsidRDefault="00587AE4" w:rsidP="00801F84">
      <w:pPr>
        <w:pStyle w:val="Endnotentext"/>
      </w:pPr>
      <w:r w:rsidRPr="00D60A69">
        <w:endnoteRef/>
      </w:r>
      <w:r w:rsidRPr="00D60A69">
        <w:t xml:space="preserve"> Bundesärztekammer. Querschnitts-Leitlinien zur Therapie mit Blutkomponenten und Plasmaderivaten – Herausgegeben von</w:t>
      </w:r>
      <w:r w:rsidRPr="00D60A69">
        <w:rPr>
          <w:rStyle w:val="Ohne"/>
        </w:rPr>
        <w:t xml:space="preserve"> der Bundesärztekammer auf Empfehlung ihres Wissenschaftlichen Beirats; 4. überarbeitete Auflage. Köln: Deutscher Ärzte-Verlag; 2014 </w:t>
      </w:r>
    </w:p>
  </w:endnote>
  <w:endnote w:id="343">
    <w:p w14:paraId="370AD30D" w14:textId="77777777" w:rsidR="00587AE4" w:rsidRPr="00D60A69" w:rsidRDefault="00587AE4" w:rsidP="00801F84">
      <w:pPr>
        <w:pStyle w:val="Endnotentext"/>
        <w:rPr>
          <w:lang w:val="en-US"/>
        </w:rPr>
      </w:pPr>
      <w:r w:rsidRPr="00D60A69">
        <w:rPr>
          <w:rStyle w:val="Ohne"/>
        </w:rPr>
        <w:endnoteRef/>
      </w:r>
      <w:r w:rsidRPr="00D60A69">
        <w:rPr>
          <w:rStyle w:val="Ohne"/>
        </w:rPr>
        <w:t xml:space="preserve"> Corwin HL, Gettinger A, Rodriguez RM et al. </w:t>
      </w:r>
      <w:r w:rsidRPr="00D60A69">
        <w:rPr>
          <w:rStyle w:val="Ohne"/>
          <w:lang w:val="en-US"/>
        </w:rPr>
        <w:t>Efficacy of recombinant human erythropoietin in the critically ill patient: a randomized, double-blind, placebo-controlled trial. Crit Care Med 1999; 27: 2346-2350</w:t>
      </w:r>
    </w:p>
  </w:endnote>
  <w:endnote w:id="344">
    <w:p w14:paraId="354F5AB0" w14:textId="77777777" w:rsidR="00587AE4" w:rsidRPr="00D60A69" w:rsidRDefault="00587AE4" w:rsidP="00801F84">
      <w:pPr>
        <w:pStyle w:val="Endnotentext"/>
      </w:pPr>
      <w:r w:rsidRPr="00D60A69">
        <w:rPr>
          <w:rStyle w:val="Ohne"/>
        </w:rPr>
        <w:endnoteRef/>
      </w:r>
      <w:r w:rsidRPr="00D60A69">
        <w:rPr>
          <w:rStyle w:val="Ohne"/>
          <w:lang w:val="en-US"/>
        </w:rPr>
        <w:t xml:space="preserve"> Corwin HL, Gettinger A, Pearl RG et al. Efficacy of recombinant human erythropoietin in critically ill patients: a randomized controlled trial. </w:t>
      </w:r>
      <w:r w:rsidRPr="00D60A69">
        <w:rPr>
          <w:rStyle w:val="Ohne"/>
        </w:rPr>
        <w:t>JAMA 2002; 288: 2827-2835</w:t>
      </w:r>
    </w:p>
  </w:endnote>
  <w:endnote w:id="345">
    <w:p w14:paraId="2BBAFA19"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Werdan K, Pilz G, Bujdoso O, et al: Score-Based Immunoglobulin therapy of Sepsis (SBITS) Study Group: Score-based immunoglobulin G therapy of patients with sepsis: the SBITS study. Crit Care Med 200;35:2693-2701.</w:t>
      </w:r>
    </w:p>
  </w:endnote>
  <w:endnote w:id="346">
    <w:p w14:paraId="3F1948C1"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Alejandria MM, Lansang MA, Dans LF, Mantaring JB 3rd: Intravenous immunoglobulin for treating sepsis, severe sepsis and septic shock. Cochrane Database Syst Rev. 2013(9):CD001090.</w:t>
      </w:r>
    </w:p>
  </w:endnote>
  <w:endnote w:id="347">
    <w:p w14:paraId="3DC9D5C0"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Laupland KB, Kirkpatrick AW, Delaney A: Polyclonal intravenous immunoglobulin for the treatment of severe sepsis and septic shock in critically adults: a systematic review and meta-analysis. Crit Care Med 2007;35:2686-2692.</w:t>
      </w:r>
    </w:p>
  </w:endnote>
  <w:endnote w:id="348">
    <w:p w14:paraId="0319ED1D"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Pildal J, Gotzsche PC: Polyclonal immunoglobulin for treatment of bacterial sepsis: a systematic review. Clin Infect dis 2004;39:38</w:t>
      </w:r>
    </w:p>
  </w:endnote>
  <w:endnote w:id="349">
    <w:p w14:paraId="6D18D8D5"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Kreymann KG, de Heer G, Nierhaus A, et al: Use of polyclonal immunoglobulins as adjunctive therapy for sepsis or septic shock. Crit Care Med 2007;35:2677-2685.</w:t>
      </w:r>
    </w:p>
  </w:endnote>
  <w:endnote w:id="350">
    <w:p w14:paraId="6D434755"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Turgeon AF, Hutton B, Fergusson DA, et al: Meta-analysis: intravenous immunoglobulin in critically ill adult patients with sepsis. Ann Intern Med 2007;146:193-203.</w:t>
      </w:r>
    </w:p>
  </w:endnote>
  <w:endnote w:id="351">
    <w:p w14:paraId="49146DB5"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Shankar-Hari M, Culshaw N, Post B, et al: Endogenous IgG hypogammaglobulinaemia in critically ill adults with sepsis: systematic review and meta-analysis. Intensive Care Med 2015;41:1393-1401.  </w:t>
      </w:r>
    </w:p>
  </w:endnote>
  <w:endnote w:id="352">
    <w:p w14:paraId="2F472CB8" w14:textId="77777777" w:rsidR="00587AE4" w:rsidRPr="00D60A69" w:rsidRDefault="00587AE4" w:rsidP="00801F84">
      <w:pPr>
        <w:pStyle w:val="Endnotentext"/>
        <w:rPr>
          <w:lang w:val="en-US"/>
        </w:rPr>
      </w:pPr>
      <w:r w:rsidRPr="00D60A69">
        <w:endnoteRef/>
      </w:r>
      <w:r w:rsidRPr="00D60A69">
        <w:rPr>
          <w:lang w:val="en-US"/>
        </w:rPr>
        <w:t xml:space="preserve"> Welte T, Dellinger RP, Ebelt H, et al: Efficacy and safety of trimodulin, a novel polyclonal antibody preparation, in patients</w:t>
      </w:r>
      <w:r w:rsidRPr="00D60A69">
        <w:rPr>
          <w:rStyle w:val="Ohne"/>
          <w:lang w:val="en-US"/>
        </w:rPr>
        <w:t xml:space="preserve"> with severe community-acquired pneumonia: a randomized, placebo-controlled, double-blind, multicenter, phase II trial (CIGMA study). Intensive Care Med 2018;44(4):438-448</w:t>
      </w:r>
    </w:p>
  </w:endnote>
  <w:endnote w:id="353">
    <w:p w14:paraId="588B6E87"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Zhou F, Peng Z, Murugan R, et al: Blood purification and mortality in sepsis: a meta-analysis of randomized trials. Crit Care Med 2013; 41:2209–2220</w:t>
      </w:r>
    </w:p>
  </w:endnote>
  <w:endnote w:id="354">
    <w:p w14:paraId="781C0928"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Payen DM, Guilhot J, Launey Y, et al; ABDOMIX Group: Early use of polymyxin B hemoperfusion in patients with septic shock due to peri tonitis: a multicenter randomized control trial. Intensive Care Med 2015; 41:975–984</w:t>
      </w:r>
    </w:p>
  </w:endnote>
  <w:endnote w:id="355">
    <w:p w14:paraId="669834BF" w14:textId="02BB4697" w:rsidR="00587AE4" w:rsidRDefault="00587AE4" w:rsidP="00801F84">
      <w:pPr>
        <w:pStyle w:val="Endnotentext"/>
        <w:rPr>
          <w:rStyle w:val="Ohne"/>
          <w:lang w:val="en-US"/>
        </w:rPr>
      </w:pPr>
      <w:r w:rsidRPr="00D60A69">
        <w:rPr>
          <w:rStyle w:val="Ohne"/>
        </w:rPr>
        <w:endnoteRef/>
      </w:r>
      <w:r w:rsidRPr="00D60A69">
        <w:rPr>
          <w:rStyle w:val="Ohne"/>
          <w:lang w:val="en-US"/>
        </w:rPr>
        <w:t xml:space="preserve"> Klein DJ, Foster D, Schorr CA, et al: The EUPHRATES trial (Evaluating the Use of Polymyxin B Hemoperfusion in a Randomized controlled trial of Adults Treated for Endotoxemia and Septic shock): study protocol for a randomized controlled trial. Trials 2014; 15:218</w:t>
      </w:r>
    </w:p>
    <w:p w14:paraId="658FD117" w14:textId="5DDEFD91" w:rsidR="00EF1A9E" w:rsidRDefault="00EF1A9E" w:rsidP="00801F84">
      <w:pPr>
        <w:pStyle w:val="Endnotentext"/>
        <w:rPr>
          <w:rStyle w:val="Ohne"/>
          <w:lang w:val="en-US"/>
        </w:rPr>
      </w:pPr>
    </w:p>
    <w:p w14:paraId="4EB27A38" w14:textId="77777777" w:rsidR="00EF1A9E" w:rsidRPr="00D60A69" w:rsidRDefault="00EF1A9E" w:rsidP="00801F84">
      <w:pPr>
        <w:pStyle w:val="Endnotentext"/>
        <w:rPr>
          <w:lang w:val="en-US"/>
        </w:rPr>
      </w:pPr>
    </w:p>
  </w:endnote>
  <w:endnote w:id="356">
    <w:p w14:paraId="782C6EE8" w14:textId="77777777" w:rsidR="00587AE4" w:rsidRPr="00D60A69" w:rsidRDefault="00587AE4" w:rsidP="00801F84">
      <w:pPr>
        <w:pStyle w:val="Endnotentext"/>
        <w:rPr>
          <w:lang w:val="en-US"/>
        </w:rPr>
      </w:pPr>
      <w:r w:rsidRPr="00D60A69">
        <w:endnoteRef/>
      </w:r>
      <w:r w:rsidRPr="00D60A69">
        <w:rPr>
          <w:lang w:val="en-US"/>
        </w:rPr>
        <w:t xml:space="preserve">  Dellinger RP, Bagshaw SM, Antonelli M, et al; EUPHRATES Trial Investigators: Effect of Targeted Polymyxin B</w:t>
      </w:r>
      <w:r w:rsidRPr="00D60A69">
        <w:rPr>
          <w:rStyle w:val="Ohne"/>
          <w:lang w:val="en-US"/>
        </w:rPr>
        <w:t xml:space="preserve"> Hemoperfusion on 28-Day Mortality in Patients With Septic Shock and Elevated Endotoxin Level: The EUPHRATES Randomized Clinical Trial. JAMA 2018 Oct 9;320(14):1455-1463.</w:t>
      </w:r>
    </w:p>
  </w:endnote>
  <w:endnote w:id="357">
    <w:p w14:paraId="5BA7AD38" w14:textId="77777777" w:rsidR="00587AE4" w:rsidRPr="00D60A69" w:rsidRDefault="00587AE4" w:rsidP="00801F84">
      <w:pPr>
        <w:pStyle w:val="Endnotentext"/>
      </w:pPr>
      <w:r w:rsidRPr="00D60A69">
        <w:rPr>
          <w:rStyle w:val="Ohne"/>
        </w:rPr>
        <w:endnoteRef/>
      </w:r>
      <w:r w:rsidRPr="00D60A69">
        <w:rPr>
          <w:rStyle w:val="Ohne"/>
          <w:lang w:val="en-US"/>
        </w:rPr>
        <w:t xml:space="preserve"> Livigni S, Bertolini G, Rossi C, et al; GiViTI: Gruppo Italiano per la Valutazione degli Interventi in Terapia Intensiva (Italian Group for the Evaluation of Interventions in Intensive Care Medicine) is an independent collaboration network of Italian Intensive Care units: Efficacy of coupled plasma filtration adsorption (CPFA) in patients with septic shock: a multi center randomised controlled clinical trial. </w:t>
      </w:r>
      <w:r w:rsidRPr="00D60A69">
        <w:rPr>
          <w:rStyle w:val="Ohne"/>
        </w:rPr>
        <w:t>BMJ Open 2014; 4:e003536</w:t>
      </w:r>
    </w:p>
  </w:endnote>
  <w:endnote w:id="358">
    <w:p w14:paraId="4AAD2FC2" w14:textId="77777777" w:rsidR="00587AE4" w:rsidRPr="00D60A69" w:rsidRDefault="00587AE4" w:rsidP="00801F84">
      <w:pPr>
        <w:pStyle w:val="Endnotentext"/>
        <w:rPr>
          <w:lang w:val="en-US"/>
        </w:rPr>
      </w:pPr>
      <w:r w:rsidRPr="00D60A69">
        <w:endnoteRef/>
      </w:r>
      <w:r w:rsidRPr="00D60A69">
        <w:t xml:space="preserve"> Schädler D, Pausch C, Heise D, et al. </w:t>
      </w:r>
      <w:r w:rsidRPr="00D60A69">
        <w:rPr>
          <w:lang w:val="en-US"/>
        </w:rPr>
        <w:t>The effect of a novel extracorporeal cytokine hemoadsorption device on IL-6</w:t>
      </w:r>
      <w:r w:rsidRPr="00D60A69">
        <w:rPr>
          <w:rStyle w:val="Ohne"/>
          <w:lang w:val="en-US"/>
        </w:rPr>
        <w:t xml:space="preserve"> elimination in septic patients: A randomized controlled trial. PLoS One. 2017 Oct 30;12(10):e0187015</w:t>
      </w:r>
    </w:p>
  </w:endnote>
  <w:endnote w:id="359">
    <w:p w14:paraId="710E0D53" w14:textId="77777777" w:rsidR="00587AE4" w:rsidRPr="00D60A69" w:rsidRDefault="00587AE4" w:rsidP="00801F84">
      <w:pPr>
        <w:pStyle w:val="Endnotentext"/>
        <w:rPr>
          <w:lang w:val="en-US"/>
        </w:rPr>
      </w:pPr>
      <w:r w:rsidRPr="00D60A69">
        <w:endnoteRef/>
      </w:r>
      <w:r w:rsidRPr="00D60A69">
        <w:rPr>
          <w:lang w:val="en-US"/>
        </w:rPr>
        <w:t xml:space="preserve"> Hawchar F, László I, Öveges N, et al. Extracorporeal cytokine adsorption in septic shock: A proof of concept randomized,</w:t>
      </w:r>
      <w:r w:rsidRPr="00D60A69">
        <w:rPr>
          <w:rStyle w:val="Ohne"/>
          <w:lang w:val="en-US"/>
        </w:rPr>
        <w:t xml:space="preserve"> controlled pilot study. J Crit Care. 2019 Feb;49:172-178</w:t>
      </w:r>
    </w:p>
  </w:endnote>
  <w:endnote w:id="360">
    <w:p w14:paraId="43221FEA"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Allingstrup M, Wetterslev J, Ravn FB, et al: Antithrombin III for criti cally ill patients. Cochrane Database Syst Rev 2016; 2:CD005370 </w:t>
      </w:r>
    </w:p>
  </w:endnote>
  <w:endnote w:id="361">
    <w:p w14:paraId="0F2F2A1B"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Warren BL, Eid A, Singer P, et al; KyberSept Trial Study Group: Caring for the critically ill patient. High-dose antithrombin III in severe sepsis: a randomized controlled trial. JAMA 2001; 286:1869–1878</w:t>
      </w:r>
    </w:p>
  </w:endnote>
  <w:endnote w:id="362">
    <w:p w14:paraId="1F6EF5F9"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Vincent JL, Ramesh MK, Ernest D, et al: A randomized, double-blind, placebo-controlled, Phase 2b study to evaluate the safety and efficacy of recombinant human soluble thrombomodulin, ART-123, in patients with sepsis and suspected disseminated intravascular coagulation. Crit Care Med 2013; 41:2069–2079</w:t>
      </w:r>
    </w:p>
  </w:endnote>
  <w:endnote w:id="363">
    <w:p w14:paraId="7EDF12B7"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Yamakawa K, Ogura H, Fujimi S, et al: Recombinant human soluble thrombomodulin in sepsis-induced disseminated intravascular coag ulation: a multicenter propensity score analysis. Intensive Care Med 2013; 39:644–652</w:t>
      </w:r>
    </w:p>
  </w:endnote>
  <w:endnote w:id="364">
    <w:p w14:paraId="4EDDFEB3"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Zarychanski R, Abou-Setta AM, Kanji S, et al; Canadian Critical Care Trials Group: The efficacy and safety of heparin in patients with sepsis: a systematic review and metaanalysis. Crit Care Med 2015; 43:511–518</w:t>
      </w:r>
    </w:p>
  </w:endnote>
  <w:endnote w:id="365">
    <w:p w14:paraId="303F7152"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w:t>
      </w:r>
      <w:r w:rsidRPr="00D60A69">
        <w:rPr>
          <w:lang w:val="en-US"/>
        </w:rPr>
        <w:t xml:space="preserve">Putensen C, Theuerkauf N, Zinserling J et al (2009) Meta-analysis: Ventilation Strategies and Outcomes of the Acute Respiratory Distress Syndrome and Acute Lung Injury // Meta-analysis: ventilation strategies and outcomes of the acute respiratory distress syndrome and acute lung injury 151(8): 566–576. doi: 10.7326/0003-4819-151-8-200910200-00011 </w:t>
      </w:r>
    </w:p>
  </w:endnote>
  <w:endnote w:id="366">
    <w:p w14:paraId="0CEB1E80"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w:t>
      </w:r>
      <w:r w:rsidRPr="00D60A69">
        <w:rPr>
          <w:lang w:val="en-US"/>
        </w:rPr>
        <w:t xml:space="preserve">Petrucci N, Feo C de (2013) Lung protective ventilation strategy for the acute respiratory distress syndrome. Cochrane database of systematic reviews (Online) 2: CD003844 </w:t>
      </w:r>
    </w:p>
  </w:endnote>
  <w:endnote w:id="367">
    <w:p w14:paraId="32FDC175"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w:t>
      </w:r>
      <w:r w:rsidRPr="00D60A69">
        <w:rPr>
          <w:lang w:val="en-US"/>
        </w:rPr>
        <w:t xml:space="preserve">The Acute Respiratory Distress Syndrome Network (2000) Ventilation with lower tidal volumes as compared with traditional tidal volumes for acute lung injury and the acute respiratory distress syndrome. The New England journal of medicine 342(18): 1301–1308. doi: 10.1056/NEJM200005043421801 </w:t>
      </w:r>
    </w:p>
  </w:endnote>
  <w:endnote w:id="368">
    <w:p w14:paraId="4BF37EBE"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w:t>
      </w:r>
      <w:r w:rsidRPr="00D60A69">
        <w:rPr>
          <w:lang w:val="en-US"/>
        </w:rPr>
        <w:t xml:space="preserve">Amato, M. B., Barbas, C. S., Medeiros, D. M. et al (1998) Effect of a protective-ventilation strategy on mortality in the acute respiratory distress syndrome. The New England journal of medicine 338: 347–354. doi: 10.1056/NEJM199802053380602 </w:t>
      </w:r>
    </w:p>
  </w:endnote>
  <w:endnote w:id="369">
    <w:p w14:paraId="0890F6B3" w14:textId="75DA05A2" w:rsidR="00587AE4" w:rsidRPr="00D60A69" w:rsidRDefault="00587AE4" w:rsidP="00801F84">
      <w:pPr>
        <w:pStyle w:val="Endnotentext"/>
        <w:rPr>
          <w:lang w:val="en-US"/>
        </w:rPr>
      </w:pPr>
      <w:r w:rsidRPr="00D60A69">
        <w:rPr>
          <w:rStyle w:val="Ohne"/>
        </w:rPr>
        <w:endnoteRef/>
      </w:r>
      <w:r w:rsidRPr="00D60A69">
        <w:rPr>
          <w:rStyle w:val="Ohne"/>
          <w:lang w:val="en-US"/>
        </w:rPr>
        <w:t xml:space="preserve"> </w:t>
      </w:r>
      <w:r w:rsidRPr="00D60A69">
        <w:rPr>
          <w:lang w:val="en-US"/>
        </w:rPr>
        <w:t xml:space="preserve">Brochard L, Roudot-Thoraval F, Roupie E et al (1998) Tidal volume reduction for prevention of ventilator-induced lung injury in acute respiratory distress syndrome. The Multicenter Trail Group on Tidal Volume reduction in ARDS. AM. J. RESPIR. CRIT. CARE MED. 158(6): 1831–1838. doi: 10.1164/ajrccm.158.6.9801044 </w:t>
      </w:r>
    </w:p>
  </w:endnote>
  <w:endnote w:id="370">
    <w:p w14:paraId="21EB6239"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w:t>
      </w:r>
      <w:r w:rsidRPr="00D60A69">
        <w:rPr>
          <w:lang w:val="en-US"/>
        </w:rPr>
        <w:t xml:space="preserve">Feihl F, Eckert P, Brimioulle S et al (2000) Permissive hypercapnia impairs pulmonary gas exchange in the acute respiratory distress syndrome. American journal of respiratory and critical care medicine 162(1): 209–215. doi: 10.1164/ajrccm.162.1.9907119 </w:t>
      </w:r>
    </w:p>
  </w:endnote>
  <w:endnote w:id="371">
    <w:p w14:paraId="5E23F69A"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w:t>
      </w:r>
      <w:r w:rsidRPr="00D60A69">
        <w:rPr>
          <w:lang w:val="en-US"/>
        </w:rPr>
        <w:t xml:space="preserve">Pinhu L, Whitehead T, Evans T et al (2003) Ventilator-associated lung injury. The Lancet 361(9354): 332–340. doi: 10.1016/S0140-6736(03)12329-X </w:t>
      </w:r>
    </w:p>
  </w:endnote>
  <w:endnote w:id="372">
    <w:p w14:paraId="24B8603E"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w:t>
      </w:r>
      <w:r w:rsidRPr="00D60A69">
        <w:rPr>
          <w:lang w:val="en-US"/>
        </w:rPr>
        <w:t xml:space="preserve">Serpa Neto A, Simonis FD, Barbas, Carmen S. V. et al (2014) Association between tidal volume size, duration of ventilation, and sedation needs in patients without acute respiratory distress syndrome: an individual patient data meta-analysis. Intensive care medicine 40(7): 950–957. doi: 10.1007/s00134-014-3318-4 </w:t>
      </w:r>
    </w:p>
  </w:endnote>
  <w:endnote w:id="373">
    <w:p w14:paraId="5050EC62"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w:t>
      </w:r>
      <w:r w:rsidRPr="00D60A69">
        <w:rPr>
          <w:lang w:val="en-US"/>
        </w:rPr>
        <w:t xml:space="preserve">Serpa Neto A, Cardoso SO, Manetta JA et al (2012) Association between use of lung-protective ventilation with lower tidal volumes and clinical outcomes among patients without acute respiratory distress syndrome: a meta-analysis. JAMA 308(16): 1651–1659. doi: 10.1001/jama.2012.13730 </w:t>
      </w:r>
    </w:p>
  </w:endnote>
  <w:endnote w:id="374">
    <w:p w14:paraId="4B895ED7"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w:t>
      </w:r>
      <w:r w:rsidRPr="00D60A69">
        <w:rPr>
          <w:lang w:val="en-US"/>
        </w:rPr>
        <w:t xml:space="preserve">Serpa Neto A, Hemmes SNT, Barbas, Carmen S. V. et al (2015) Protective versus Conventional Ventilation for Surgery: A Systematic Review and Individual Patient Data Meta-analysis. Anesthesiology 123(1): 66–78. doi: 10.1097/ALN.0000000000000706 </w:t>
      </w:r>
    </w:p>
  </w:endnote>
  <w:endnote w:id="375">
    <w:p w14:paraId="744D138B"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w:t>
      </w:r>
      <w:r w:rsidRPr="00D60A69">
        <w:rPr>
          <w:lang w:val="en-US"/>
        </w:rPr>
        <w:t xml:space="preserve">Feihl F, Eckert P, Brimioulle S et al (2000) Permissive hypercapnia impairs pulmonary gas exchange in the acute respiratory distress syndrome. American journal of respiratory and critical care medicine 162(1): 209–215. doi: 10.1164/ajrccm.162.1.9907119 </w:t>
      </w:r>
    </w:p>
  </w:endnote>
  <w:endnote w:id="376">
    <w:p w14:paraId="4BF3A90A"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w:t>
      </w:r>
      <w:r w:rsidRPr="00D60A69">
        <w:rPr>
          <w:lang w:val="en-US"/>
        </w:rPr>
        <w:t xml:space="preserve">Pinhu L, Whitehead T, Evans T et al (2003) Ventilator-associated lung injury. The Lancet 361(9354): 332–340. doi: 10.1016/S0140-6736(03)12329-X </w:t>
      </w:r>
    </w:p>
  </w:endnote>
  <w:endnote w:id="377">
    <w:p w14:paraId="5DA8D40D"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Petrucci N, Feo C de (2013) Lung protective ventilation strategy for the acute respiratory distress syndrome. Cochrane database of systematic reviews (Online) 2: CD003844</w:t>
      </w:r>
    </w:p>
  </w:endnote>
  <w:endnote w:id="378">
    <w:p w14:paraId="3FFA2871" w14:textId="3EF75B85" w:rsidR="00EF1A9E" w:rsidRDefault="00EF1A9E">
      <w:pPr>
        <w:pStyle w:val="Endnotentext"/>
      </w:pPr>
      <w:r>
        <w:rPr>
          <w:rStyle w:val="Endnotenzeichen"/>
        </w:rPr>
        <w:endnoteRef/>
      </w:r>
      <w:r>
        <w:t xml:space="preserve"> </w:t>
      </w:r>
      <w:r w:rsidRPr="00EF1A9E">
        <w:t>Stewart TE, Meade MO, Cook DJ, et al. Evaluation of a ventilation strategy to prevent barotrauma in patients at high risk for acute respiratory distress syndrome. Pressure- and Volume-Limited Ventilation Strategy Group. N Engl J Med. 1998;338(6):355-61.</w:t>
      </w:r>
    </w:p>
  </w:endnote>
  <w:endnote w:id="379">
    <w:p w14:paraId="10E68292" w14:textId="6DB64655" w:rsidR="00EF1A9E" w:rsidRDefault="00EF1A9E">
      <w:pPr>
        <w:pStyle w:val="Endnotentext"/>
      </w:pPr>
      <w:r>
        <w:rPr>
          <w:rStyle w:val="Endnotenzeichen"/>
        </w:rPr>
        <w:endnoteRef/>
      </w:r>
      <w:r>
        <w:t xml:space="preserve"> </w:t>
      </w:r>
      <w:r w:rsidRPr="00EF1A9E">
        <w:t>Brower RG, Shanholtz CB, Fessler HE, et al. Prospective, randomized, controlled clinical trial comparing traditional versus reduced tidal volume ventilation in acute respiratory distress syndrome patients. Crit Care Med. 1999;27(8):1492-8.</w:t>
      </w:r>
    </w:p>
  </w:endnote>
  <w:endnote w:id="380">
    <w:p w14:paraId="6DD0829B" w14:textId="60418C7F" w:rsidR="00EF1A9E" w:rsidRDefault="00EF1A9E">
      <w:pPr>
        <w:pStyle w:val="Endnotentext"/>
      </w:pPr>
      <w:r>
        <w:rPr>
          <w:rStyle w:val="Endnotenzeichen"/>
        </w:rPr>
        <w:endnoteRef/>
      </w:r>
      <w:r>
        <w:t xml:space="preserve"> </w:t>
      </w:r>
      <w:r w:rsidRPr="00EF1A9E">
        <w:t>Villar J, Kacmarek RM, Perez-Mendez L, et al. A high positive end-expiratory pressure, low tidal volume ventilatory strategy improves outcome in persistent acute respiratory distress syndrome: a randomized, controlled trial. Crit Care Med. 2006;34(5):1311-8.</w:t>
      </w:r>
    </w:p>
  </w:endnote>
  <w:endnote w:id="381">
    <w:p w14:paraId="30DBD462"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w:t>
      </w:r>
      <w:r w:rsidRPr="00D60A69">
        <w:rPr>
          <w:lang w:val="en-US"/>
        </w:rPr>
        <w:t xml:space="preserve">Amato MBP, Meade MO, Slutsky AS et al (2015) Driving pressure and survival in the acute respiratory distress syndrome. The New England journal of medicine 372(8): 747–755. doi: 10.1056/NEJMsa1410639 </w:t>
      </w:r>
    </w:p>
  </w:endnote>
  <w:endnote w:id="382">
    <w:p w14:paraId="7C6F8F63"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w:t>
      </w:r>
      <w:r w:rsidRPr="00D60A69">
        <w:rPr>
          <w:lang w:val="en-US"/>
        </w:rPr>
        <w:t xml:space="preserve">Laffey JG, Bellani G, Pham T et al (2016) Potentially modifiable factors contributing to outcome from acute respiratory distress syndrome: the LUNG SAFE study. Intensive care medicine 42(12): 1865–1876. doi: 10.1007/s00134-016-4571-5 </w:t>
      </w:r>
    </w:p>
  </w:endnote>
  <w:endnote w:id="383">
    <w:p w14:paraId="5EDCB65C"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w:t>
      </w:r>
      <w:r w:rsidRPr="00D60A69">
        <w:rPr>
          <w:lang w:val="en-US"/>
        </w:rPr>
        <w:t xml:space="preserve">Sahetya SK, Brower RG (2016) The promises and problems of transpulmonary pressure measurements in acute respiratory distress syndrome. Current opinion in critical care 22(1): 7–13. doi: 10.1097/MCC.0000000000000268 </w:t>
      </w:r>
    </w:p>
  </w:endnote>
  <w:endnote w:id="384">
    <w:p w14:paraId="544CC8C1" w14:textId="7C41F584" w:rsidR="00587AE4" w:rsidRDefault="00587AE4" w:rsidP="00801F84">
      <w:pPr>
        <w:pStyle w:val="Endnotentext"/>
        <w:rPr>
          <w:rStyle w:val="Ohne"/>
          <w:lang w:val="en-US"/>
        </w:rPr>
      </w:pPr>
      <w:r w:rsidRPr="00D60A69">
        <w:rPr>
          <w:rStyle w:val="Ohne"/>
        </w:rPr>
        <w:endnoteRef/>
      </w:r>
      <w:r w:rsidRPr="00D60A69">
        <w:rPr>
          <w:rStyle w:val="Ohne"/>
          <w:lang w:val="en-US"/>
        </w:rPr>
        <w:t xml:space="preserve"> Extracorporeal Life Support Organization General Guidelines for all ECLS Cases</w:t>
      </w:r>
      <w:r w:rsidR="00EF1A9E">
        <w:rPr>
          <w:rStyle w:val="Ohne"/>
          <w:lang w:val="en-US"/>
        </w:rPr>
        <w:t xml:space="preserve">, </w:t>
      </w:r>
      <w:r w:rsidR="00EF1A9E" w:rsidRPr="00EF1A9E">
        <w:rPr>
          <w:rStyle w:val="Ohne"/>
          <w:lang w:val="en-US"/>
        </w:rPr>
        <w:t>https://www.elso.org/Portals/0/IGD/Archive/FileManager/929122ae88cusersshyerdocumentselsoguidelinesgeneralalleclsversion1.3.pdf</w:t>
      </w:r>
    </w:p>
    <w:p w14:paraId="0974BC32" w14:textId="77777777" w:rsidR="00E15D93" w:rsidRPr="00D60A69" w:rsidRDefault="00E15D93" w:rsidP="00801F84">
      <w:pPr>
        <w:pStyle w:val="Endnotentext"/>
        <w:rPr>
          <w:lang w:val="en-US"/>
        </w:rPr>
      </w:pPr>
    </w:p>
  </w:endnote>
  <w:endnote w:id="385">
    <w:p w14:paraId="20BE6C15"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w:t>
      </w:r>
      <w:r w:rsidRPr="00D60A69">
        <w:rPr>
          <w:lang w:val="en-US"/>
        </w:rPr>
        <w:t xml:space="preserve">Serpa Neto A, Schmidt M, Azevedo LCP et al (2016) Associations between ventilator settings during extracorporeal membrane oxygenation for refractory hypoxemia and outcome in patients with acute respiratory distress syndrome: a pooled individual patient data analysis. Mechanical ventilation during ECMO. Intensive care medicine 42(11): 1672–1684. doi: 10.1007/s00134-016-4507-0 </w:t>
      </w:r>
    </w:p>
  </w:endnote>
  <w:endnote w:id="386">
    <w:p w14:paraId="44451E8C"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Dellinger, R. P., Levy MM, Rhodes A et al (2013) Surviving Sepsis Campaign. international guidelines for management of severe sepsis and septic shock, 2012. Intensive Care Med. 39(2): 165–228. doi: 10.1007/s00134-012-2769-8</w:t>
      </w:r>
    </w:p>
  </w:endnote>
  <w:endnote w:id="387">
    <w:p w14:paraId="2AB1AE30"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Barbas, Carmen Sílvia Valente, Ísola AM, Farias, Augusto Manoel de Carvalho et al (2014) Brazilian recommendations of mechanical ventilation 2013. Part 2. Jornal Brasileiro de Pneumologia 40(5): 458–486. doi: 10.1590/S1806-37132014000500003</w:t>
      </w:r>
    </w:p>
  </w:endnote>
  <w:endnote w:id="388">
    <w:p w14:paraId="7D742C4B"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National Guideline Clearinghouse (2009) Care of the patient with aneurysmal subarachnoid hemorrhage. http://www.guideline.gov/content.aspx?id=34442&amp;search=ventilation+or+mechanical+ventilation+or+respiratory+failure</w:t>
      </w:r>
    </w:p>
  </w:endnote>
  <w:endnote w:id="389">
    <w:p w14:paraId="6CD436AC" w14:textId="2CC03FDB" w:rsidR="00587AE4" w:rsidRPr="00D60A69" w:rsidRDefault="00587AE4" w:rsidP="00801F84">
      <w:pPr>
        <w:pStyle w:val="Endnotentext"/>
      </w:pPr>
      <w:r w:rsidRPr="00D60A69">
        <w:rPr>
          <w:rStyle w:val="Endnotenzeichen"/>
          <w:vertAlign w:val="baseline"/>
        </w:rPr>
        <w:endnoteRef/>
      </w:r>
      <w:r w:rsidRPr="00D60A69">
        <w:t xml:space="preserve"> ÖGARI Leitlinien zur invasiven Beatmung von Intensivpatienten</w:t>
      </w:r>
      <w:r w:rsidR="00EF1A9E">
        <w:t xml:space="preserve">, </w:t>
      </w:r>
      <w:r w:rsidR="00EF1A9E" w:rsidRPr="00EF1A9E">
        <w:t>https://www.oegari.at/web_files/dateiarchiv/editor/leitlinien_invasiven_beatmung_aktualisert__2017.pdf</w:t>
      </w:r>
    </w:p>
  </w:endnote>
  <w:endnote w:id="390">
    <w:p w14:paraId="63854EFE"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Hata JS, Togashi K, Kumar AB et al (2014) The effect of the pressure-volume curve for positive end-expiratory pressure titration on clinical outcomes in acute respiratory distress syndrome. a systematic review. J. Intensive Care Med. 29(6): 348–356. doi: 10.1177/0885066613488747</w:t>
      </w:r>
    </w:p>
  </w:endnote>
  <w:endnote w:id="391">
    <w:p w14:paraId="0C34643B"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Santa Cruz R, Rojas JI, Nervi R et al (2013) High versus low positive end-expiratory pressure (PEEP) levels for mechanically ventilated adult patients with acute lung injury and acute respiratory distress syndrome. Cochrane Database Syst Rev 6: CD009098. doi: 10.1002/14651858.CD009098.pub2</w:t>
      </w:r>
    </w:p>
  </w:endnote>
  <w:endnote w:id="392">
    <w:p w14:paraId="50F5EBDF"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Dasenbrook EC, Needham DM, Brower, R. G. et al (2011) Higher peep in patients with acute lung injury. A systematic review and meta-analysis. Respiratory Care 56(5): 568–575</w:t>
      </w:r>
    </w:p>
  </w:endnote>
  <w:endnote w:id="393">
    <w:p w14:paraId="0566ABF2"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Briel M, Meade M, Mercat A et al (2010) Higher vs lower positive end-expiratory pressure in patients with acute lung injury and acute respiratory distress syndrome. systematic review and meta-analysis. JAMA 303(9): 865–873. doi: 10.1001/jama.2010.218</w:t>
      </w:r>
    </w:p>
  </w:endnote>
  <w:endnote w:id="394">
    <w:p w14:paraId="4EDF25E6"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Phoenix SI, Paravastu S, Columb M et al (2009) Does a higher positive end expiratory pressure decrease mortality in acute respiratory distress syndrome? A systematic review and meta-analysis. ANESTHESIOLOGY 110(5): 1098–1105. doi: 10.1097/ALN.0b013e31819fae06</w:t>
      </w:r>
    </w:p>
  </w:endnote>
  <w:endnote w:id="395">
    <w:p w14:paraId="0AB99861" w14:textId="2BA21512" w:rsidR="00EF1A9E" w:rsidRPr="00D60A69" w:rsidRDefault="00587AE4" w:rsidP="00801F84">
      <w:pPr>
        <w:pStyle w:val="Endnotentext"/>
        <w:rPr>
          <w:lang w:val="en-US"/>
        </w:rPr>
      </w:pPr>
      <w:r w:rsidRPr="00D60A69">
        <w:rPr>
          <w:rStyle w:val="Endnotenzeichen"/>
          <w:vertAlign w:val="baseline"/>
        </w:rPr>
        <w:endnoteRef/>
      </w:r>
      <w:r w:rsidRPr="00D60A69">
        <w:rPr>
          <w:lang w:val="en-US"/>
        </w:rPr>
        <w:t xml:space="preserve"> Oba Y, Thameem DM, Zaza T (2009) High levels of PEEP may improve survival in acute respiratory distress syndrome. A meta-analysis. Respir Med 103(8): 1174–1181. doi: 10.1016/j.rmed.2009.02.008</w:t>
      </w:r>
    </w:p>
  </w:endnote>
  <w:endnote w:id="396">
    <w:p w14:paraId="4A1094C2"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Ranieri VM, Suter, P. M., Tortorella C et al (1999) Effect of mechanical ventilation on inflammatory mediators in patients with acute respiratory distress syndrome: a randomized controlled trial. JAMA 282(1): 54–61</w:t>
      </w:r>
    </w:p>
  </w:endnote>
  <w:endnote w:id="397">
    <w:p w14:paraId="7927A586"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Meade MO, Cook DJ, Guyatt GH et al (2008) Ventilation strategy using low tidal volumes, recruitment maneuvers, and high positive end-expiratory pressure for acute lung injury and acute respiratory distress syndrome. a randomized controlled trial. JAMA 299(6): 637–645. doi: 10.1001/jama.299.6.637</w:t>
      </w:r>
    </w:p>
  </w:endnote>
  <w:endnote w:id="398">
    <w:p w14:paraId="0105F7BA"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Brower RG, Lanken PN, MacIntyre N et al (2004) Higher versus lower positive end-expiratory pressures in patients with the acute respiratory distress syndrome. The New England journal of medicine 351(4): 327–336. doi: 10.1056/NEJMoa032193</w:t>
      </w:r>
    </w:p>
  </w:endnote>
  <w:endnote w:id="399">
    <w:p w14:paraId="5CFD395D"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Amato, M. B., Barbas, C. S., Medeiros, D. M. et al (1998) Effect of a protective-ventilation strategy on mortality in the acute respiratory distress syndrome. The New England journal of medicine 338: 347–354. doi: 10.1056/NEJM199802053380602</w:t>
      </w:r>
    </w:p>
  </w:endnote>
  <w:endnote w:id="400">
    <w:p w14:paraId="6E5F91EF"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Huh JW, Jung H, Choi HS et al (2009) Efficacy of positive end-expiratory pressure titration after the alveolar recruitment manoeuvre in patients with acute respiratory distress syndrome. Critical care (London, England) 13(1): R22. doi: 10.1186/cc7725</w:t>
      </w:r>
    </w:p>
  </w:endnote>
  <w:endnote w:id="401">
    <w:p w14:paraId="636E763B"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Mercat A, Richard J-CM, Vielle B et al (2008) Positive end-expiratory pressure setting in adults with acute lung injury and acute respiratory distress syndrome. a randomized controlled trial. JAMA 299(6): 646–655. doi: 10.1001/jama.299.6.646</w:t>
      </w:r>
    </w:p>
  </w:endnote>
  <w:endnote w:id="402">
    <w:p w14:paraId="1FBAB1BE"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Hata JS, Togashi K, Kumar AB et al (2014) The effect of the pressure-volume curve for positive end-expiratory pressure titration on clinical outcomes in acute respiratory distress syndrome. a systematic review. J. Intensive Care Med. 29(6): 348–356. doi: 10.1177/0885066613488747</w:t>
      </w:r>
    </w:p>
  </w:endnote>
  <w:endnote w:id="403">
    <w:p w14:paraId="5841869C"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Phoenix SI, Paravastu S, Columb M et al (2009) Does a higher positive end expiratory pressure decrease mortality in acute respiratory distress syndrome? A systematic review and meta-analysis. ANESTHESIOLOGY 110(5): 1098–1105. doi: 10.1097/ALN.0b013e31819fae06</w:t>
      </w:r>
    </w:p>
  </w:endnote>
  <w:endnote w:id="404">
    <w:p w14:paraId="41587D09"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Meade MO, Cook DJ, Guyatt GH et al (2008) Ventilation strategy using low tidal volumes, recruitment maneuvers, and high positive end-expiratory pressure for acute lung injury and acute respiratory distress syndrome. a randomized controlled trial. JAMA 299(6): 637–645. doi: 10.1001/jama.299.6.637</w:t>
      </w:r>
    </w:p>
  </w:endnote>
  <w:endnote w:id="405">
    <w:p w14:paraId="7268FA81"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Phoenix SI, Paravastu S, Columb M et al (2009) Does a higher positive end expiratory pressure decrease mortality in acute respiratory distress syndrome? A systematic review and meta-analysis. ANESTHESIOLOGY 110(5): 1098–1105. doi: 10.1097/ALN.0b013e31819fae06</w:t>
      </w:r>
    </w:p>
  </w:endnote>
  <w:endnote w:id="406">
    <w:p w14:paraId="1931B98D"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Dasenbrook EC, Needham DM, Brower, R. G. et al (2011) Higher peep in patients with acute lung injury. A systematic review and meta-analysis. Respiratory Care 56(5): 568–575</w:t>
      </w:r>
    </w:p>
  </w:endnote>
  <w:endnote w:id="407">
    <w:p w14:paraId="03C1E496"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Castro-Avila AC, Serón P, Fan E et al (2015) Effect of Early Rehabilitation during Intensive Care Unit Stay on Functional Status: Systematic Review and Meta-Analysis. PLoS ONE 10(7): e0130722. doi: 10.1371/journal.pone.0130722</w:t>
      </w:r>
    </w:p>
  </w:endnote>
  <w:endnote w:id="408">
    <w:p w14:paraId="7C5B65DD"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Lowe GJ, Ferguson ND (2006) Lung-protective ventilation in neurosurgical patients. Current opinion in critical care 12(1): 3–7</w:t>
      </w:r>
    </w:p>
  </w:endnote>
  <w:endnote w:id="409">
    <w:p w14:paraId="4CCA1305"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Suzumura EA, Figueiro M, Normilio-Silva K et al (2014) Effects of alveolar recruitment maneuvers on clinical outcomes in patients with acute respiratory distress syndrome: a systematic review and meta-analysis. Intensive Care Med 40(9): 1227–1240</w:t>
      </w:r>
    </w:p>
  </w:endnote>
  <w:endnote w:id="410">
    <w:p w14:paraId="7F4885F9" w14:textId="77777777" w:rsidR="00587AE4" w:rsidRPr="00D60A69" w:rsidRDefault="00587AE4" w:rsidP="00801F84">
      <w:pPr>
        <w:pStyle w:val="Endnotentext"/>
        <w:rPr>
          <w:lang w:val="en-US"/>
        </w:rPr>
      </w:pPr>
      <w:r w:rsidRPr="00D60A69">
        <w:endnoteRef/>
      </w:r>
      <w:r w:rsidRPr="00D60A69">
        <w:rPr>
          <w:lang w:val="en-US"/>
        </w:rPr>
        <w:t xml:space="preserve"> Cavalcanti AB, et al. Effect of lung recruitment and titrated positive end-expiratory pressure (PEEP) vs low PEEP on mortality</w:t>
      </w:r>
      <w:r w:rsidRPr="00D60A69">
        <w:rPr>
          <w:rStyle w:val="Ohne"/>
          <w:lang w:val="en-US"/>
        </w:rPr>
        <w:t xml:space="preserve"> in patients with acute respiratory distress syndrome: a randomized clinical trial. JAMA 2017;318:1335</w:t>
      </w:r>
    </w:p>
  </w:endnote>
  <w:endnote w:id="411">
    <w:p w14:paraId="279CF718"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Maggiore SM, Lellouche F, Pigeot J et al (2003) Prevention of endotracheal suctioning-induced alveolar derecruitment in acute lung injury. AM. J. RESPIR. CRIT. CARE MED. 167(9): 1215–1224</w:t>
      </w:r>
    </w:p>
  </w:endnote>
  <w:endnote w:id="412">
    <w:p w14:paraId="4BC01D26"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Dyhr T, Bonde J, Larsson A (2003) Lung recruitment manoeuvres are effective in regaining lung volume and oxygenation after open endotracheal suctioning in acute respiratory distress syndrome. Crit Care 7(1): 55–62</w:t>
      </w:r>
    </w:p>
  </w:endnote>
  <w:endnote w:id="413">
    <w:p w14:paraId="4F331EDC" w14:textId="77777777" w:rsidR="00B26F79" w:rsidRDefault="00B26F79" w:rsidP="00B26F79">
      <w:pPr>
        <w:pStyle w:val="Endnotentext"/>
      </w:pPr>
      <w:r>
        <w:rPr>
          <w:rStyle w:val="Endnotenzeichen"/>
        </w:rPr>
        <w:endnoteRef/>
      </w:r>
      <w:r>
        <w:t xml:space="preserve"> S2e-Leitlinie: „Lagerungstherapie und Frühmobilisation zur Prophylaxe</w:t>
      </w:r>
    </w:p>
    <w:p w14:paraId="4B3880DB" w14:textId="5C5DF27F" w:rsidR="00B26F79" w:rsidRDefault="00B26F79" w:rsidP="00B26F79">
      <w:pPr>
        <w:pStyle w:val="Endnotentext"/>
      </w:pPr>
      <w:r>
        <w:t xml:space="preserve">oder Therapie von pulmonalen Funktionsstörungen", </w:t>
      </w:r>
      <w:r w:rsidRPr="00B26F79">
        <w:t>https://www.awmf.org/uploads/tx_szleitlinien/001-015l_S2e_Lagerungstherapie_Frühmobilisation_pulmonale_Funktionsstörungen_2015-05.pdf</w:t>
      </w:r>
    </w:p>
  </w:endnote>
  <w:endnote w:id="414">
    <w:p w14:paraId="242B14F2" w14:textId="3F9AFCDF" w:rsidR="00587AE4" w:rsidRDefault="00587AE4" w:rsidP="00801F84">
      <w:pPr>
        <w:pStyle w:val="Endnotentext"/>
        <w:rPr>
          <w:lang w:val="en-US"/>
        </w:rPr>
      </w:pPr>
      <w:r w:rsidRPr="00D60A69">
        <w:rPr>
          <w:rStyle w:val="Endnotenzeichen"/>
          <w:vertAlign w:val="baseline"/>
        </w:rPr>
        <w:endnoteRef/>
      </w:r>
      <w:r w:rsidRPr="00D60A69">
        <w:t xml:space="preserve"> Bein T, Bischoff M, Bruckner U et al (2015) Kurzversion S2e-Leitlinie - "Lagerungstherapie und Fruhmobilisation zur Prophylaxe oder Therapie von pulmonalen Funktionsstorungen" (Short version S2e guidelines: "Positioning therapy and early mobilization for prophylaxis or therapy of pulmonary function disorders"). </w:t>
      </w:r>
      <w:r w:rsidRPr="00D60A69">
        <w:rPr>
          <w:lang w:val="en-US"/>
        </w:rPr>
        <w:t>Der Anaesthesist 64(8): 596–611. doi: 10.1007/s00101-015-0060-4</w:t>
      </w:r>
    </w:p>
    <w:p w14:paraId="37E3D32D" w14:textId="77777777" w:rsidR="00114B74" w:rsidRPr="00D60A69" w:rsidRDefault="00114B74" w:rsidP="00801F84">
      <w:pPr>
        <w:pStyle w:val="Endnotentext"/>
        <w:rPr>
          <w:lang w:val="en-US"/>
        </w:rPr>
      </w:pPr>
    </w:p>
  </w:endnote>
  <w:endnote w:id="415">
    <w:p w14:paraId="23CF4F19"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Bloomfield R, Noble DW, Sudlow A (2015) Prone position for acute respiratory failure in adults. The Cochrane database of systematic reviews(11): CD008095. doi: 10.1002/14651858.CD008095.pub2</w:t>
      </w:r>
    </w:p>
  </w:endnote>
  <w:endnote w:id="416">
    <w:p w14:paraId="631A3AFC"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Park SY, Kim HJ, Yoo KH et al (2015) The efficacy and safety of prone positioning in adults patients with acute respiratory distress syndrome: a meta-analysis of randomized controlled trials. Journal of thoracic disease 7(3): 356–367. doi: 10.3978/j.issn.2072-1439.2014.12.49</w:t>
      </w:r>
    </w:p>
  </w:endnote>
  <w:endnote w:id="417">
    <w:p w14:paraId="0055CBA3"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Morelli A, Ertmer C, Lange M, et al: Effects of short-term simultaneous infusion of dobutamine and terlipressin in patients with septic shock: the DOBUPRESS study. Br J Anaesth 2008; 100:494–503</w:t>
      </w:r>
    </w:p>
  </w:endnote>
  <w:endnote w:id="418">
    <w:p w14:paraId="7671E9E1"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Davidson JE: Family presence on rounds in neonatal, pediatric, and adult intensive care units. Ann Am Thorac Soc 2013; 10:152–156</w:t>
      </w:r>
    </w:p>
  </w:endnote>
  <w:endnote w:id="419">
    <w:p w14:paraId="1CC66EBA" w14:textId="6A6E609D" w:rsidR="00EF1A9E" w:rsidRPr="00D60A69" w:rsidRDefault="00587AE4" w:rsidP="00801F84">
      <w:pPr>
        <w:pStyle w:val="Endnotentext"/>
        <w:rPr>
          <w:lang w:val="en-US"/>
        </w:rPr>
      </w:pPr>
      <w:r w:rsidRPr="00D60A69">
        <w:rPr>
          <w:rStyle w:val="Endnotenzeichen"/>
          <w:vertAlign w:val="baseline"/>
        </w:rPr>
        <w:endnoteRef/>
      </w:r>
      <w:r w:rsidRPr="00D60A69">
        <w:rPr>
          <w:lang w:val="en-US"/>
        </w:rPr>
        <w:t xml:space="preserve"> Guérin C, Reignier J, Richard JC, et al; PROSEVA Study Group: Prone positioning in severe acute respiratory distress syndrome. N Engl J Med 2013; 368:2159–2168</w:t>
      </w:r>
    </w:p>
  </w:endnote>
  <w:endnote w:id="420">
    <w:p w14:paraId="452DFA64"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La Oliva P de, Schuffelmann C, Gomez-Zamora A et al (2012) Asynchrony, neural drive, ventilatory variability and COMFORT: NAVA versus pressure support in pediatric patients. A non-randomized cross-over trial. Intensive care medicine 38(5): 838–846. doi: 10.1007/s00134-012-2535-y</w:t>
      </w:r>
    </w:p>
  </w:endnote>
  <w:endnote w:id="421">
    <w:p w14:paraId="0FEBBA14"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Weig T, Janitza S, Zoller M et al (2014) Influence of abdominal obesity on multiorgan dysfunction and mortality in acute respiratory distress syndrome patients treated with prone positioning. Journal of critical care 29(4): 557–561. doi: 10.1016/j.jcrc.2014.02.010</w:t>
      </w:r>
    </w:p>
  </w:endnote>
  <w:endnote w:id="422">
    <w:p w14:paraId="614E4C62"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Maitra S, Bhattacharjee S, Khanna P et al (2014) High-frequency Ventilation Does Not Provide Mortality Benefit in Comparison with Conventional Lung-protective Ventilation in Acute Respiratory Distress Syndrome. A Meta-analysis of the Randomized Controlled Trials. ANESTHESIOLOGY. doi: 10.1097/ALN.0000000000000306</w:t>
      </w:r>
    </w:p>
  </w:endnote>
  <w:endnote w:id="423">
    <w:p w14:paraId="13D53182"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Sud S, Sud M, Friedrich JO et al (2013) High-frequency ventilation versus conventional ventilation for treatment of acute lung injury and acute respiratory distress syndrome. Cochrane Database Syst Rev 2: CD004085. doi: 10.1002/14651858.CD004085.pub3</w:t>
      </w:r>
    </w:p>
  </w:endnote>
  <w:endnote w:id="424">
    <w:p w14:paraId="74D8FCE6"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Young D, Lamb SE, Shah S et al (2013) High-frequency oscillation for acute respiratory distress syndrome. The New England journal of medicine 368(9): 806–813. doi: 10.1056/NEJMoa1215716</w:t>
      </w:r>
    </w:p>
  </w:endnote>
  <w:endnote w:id="425">
    <w:p w14:paraId="436AF7FE"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Ferguson ND, Cook DJ, Guyatt GH et al (2013) High-frequency oscillation in early acute respiratory distress syndrome. The New England journal of medicine 368(9): 795–805. doi: 10.1056/NEJMoa1215554</w:t>
      </w:r>
    </w:p>
  </w:endnote>
  <w:endnote w:id="426">
    <w:p w14:paraId="542B16ED" w14:textId="5B70E709" w:rsidR="00EF1A9E" w:rsidRPr="00D60A69" w:rsidRDefault="00587AE4" w:rsidP="00801F84">
      <w:pPr>
        <w:pStyle w:val="Endnotentext"/>
        <w:rPr>
          <w:lang w:val="en-US"/>
        </w:rPr>
      </w:pPr>
      <w:r w:rsidRPr="00D60A69">
        <w:rPr>
          <w:rStyle w:val="Endnotenzeichen"/>
          <w:vertAlign w:val="baseline"/>
        </w:rPr>
        <w:endnoteRef/>
      </w:r>
      <w:r w:rsidRPr="00D60A69">
        <w:rPr>
          <w:lang w:val="en-US"/>
        </w:rPr>
        <w:t xml:space="preserve"> Papazian L, Forel J-M, Gacouin A et al (2010) Neuromuscular blockers in early acute respiratory distress syndrome. The New England journal of medicine 363(12): 1107–1116. doi: 10.1056/NEJMoa1005372</w:t>
      </w:r>
    </w:p>
  </w:endnote>
  <w:endnote w:id="427">
    <w:p w14:paraId="766D4A79" w14:textId="3D1E4EC4" w:rsidR="00EF1A9E" w:rsidRPr="00D60A69" w:rsidRDefault="00587AE4" w:rsidP="00801F84">
      <w:pPr>
        <w:pStyle w:val="Endnotentext"/>
        <w:rPr>
          <w:lang w:val="en-US"/>
        </w:rPr>
      </w:pPr>
      <w:r w:rsidRPr="00D60A69">
        <w:rPr>
          <w:rStyle w:val="Endnotenzeichen"/>
          <w:vertAlign w:val="baseline"/>
        </w:rPr>
        <w:endnoteRef/>
      </w:r>
      <w:r w:rsidRPr="00D60A69">
        <w:rPr>
          <w:lang w:val="en-US"/>
        </w:rPr>
        <w:t xml:space="preserve"> Baron R, Binder A, Biniek R et al (2015) Evidence and consensus based guideline for the management of delirium, analgesia, and sedation in intensive care medicine. Revision 2015 (DAS-Guideline 2015) - short version. German medical science : GMS e-journal 13: Doc19. doi: 10.3205/000223</w:t>
      </w:r>
    </w:p>
  </w:endnote>
  <w:endnote w:id="428">
    <w:p w14:paraId="49D9827C"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Horner D, Cairns C (2011) Early Neuromuscular Blockade in Severe ARDS. Journal of the Intensive Care Society 12(2): 153–154. doi: 10.1177/175114371101200216</w:t>
      </w:r>
    </w:p>
  </w:endnote>
  <w:endnote w:id="429">
    <w:p w14:paraId="312461D1"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Putensen C, Zech S, Wrigge H et al (2001) Long-term effects of spontaneous breathing during ventilatory support in patients with acute lung injury. Am J Respir Crit Care Med 164: 43–49</w:t>
      </w:r>
    </w:p>
  </w:endnote>
  <w:endnote w:id="430">
    <w:p w14:paraId="5BC95428"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Freebairn R (2004) How relaxed should we be with acute respiratory distress syndrome? Critical care medicine 32(1): 296–298. doi: 10.1097/01.CCM.0000104925.62805.D9</w:t>
      </w:r>
    </w:p>
  </w:endnote>
  <w:endnote w:id="431">
    <w:p w14:paraId="21E8C2D6"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Levine S, Nguyen T, Taylor N et al (2008) Rapid disuse atrophy of diaphragm fibers in mechanically ventilated humans. The New England journal of medicine 358(13): 1327–1335. doi: 10.1056/NEJMoa070447</w:t>
      </w:r>
    </w:p>
  </w:endnote>
  <w:endnote w:id="432">
    <w:p w14:paraId="54A2583D"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Kollisch-Singule M, Emr B, Smith B et al (2014) Airway pressure release ventilation reduces conducting airway micro-strain in lung injury. Journal of the American College of Surgeons 219(5): 968–976. doi: 10.1016/j.jamcollsurg.2014.09.011</w:t>
      </w:r>
    </w:p>
  </w:endnote>
  <w:endnote w:id="433">
    <w:p w14:paraId="7320032F" w14:textId="77777777" w:rsidR="00587AE4" w:rsidRPr="00D60A69" w:rsidRDefault="00587AE4" w:rsidP="00801F84">
      <w:pPr>
        <w:pStyle w:val="Endnotentext"/>
        <w:rPr>
          <w:lang w:val="en-US"/>
        </w:rPr>
      </w:pPr>
      <w:r w:rsidRPr="00D60A69">
        <w:endnoteRef/>
      </w:r>
      <w:r w:rsidRPr="00D60A69">
        <w:rPr>
          <w:lang w:val="en-US"/>
        </w:rPr>
        <w:t xml:space="preserve"> Zhou Y, et al. Early application of airway pressure release ventilation may reduce the duration of mechanical ventilation in</w:t>
      </w:r>
      <w:r w:rsidRPr="00D60A69">
        <w:rPr>
          <w:rStyle w:val="Ohne"/>
          <w:lang w:val="en-US"/>
        </w:rPr>
        <w:t xml:space="preserve"> acute respiratory distress syndrome. Intensive Care Med 2017;43:1648</w:t>
      </w:r>
    </w:p>
  </w:endnote>
  <w:endnote w:id="434">
    <w:p w14:paraId="1479ED08"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Kiehl M, Schiele C, Stenzinger W et al (1996) Volume-controlled versus biphasic positive airway pressure ventilation in leukopenic patients with severe respiratory failure. CRIT. CARE MED. 24: 780–784</w:t>
      </w:r>
    </w:p>
  </w:endnote>
  <w:endnote w:id="435">
    <w:p w14:paraId="2487096D"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Kaplan LJ, Bailey H, Formosa V (2001) Airway pressure release ventilation increases cardiac performance in patients with acute lung injury/adult respiratory distress syndrome. Critical care (London, England) 5(4): 221–226</w:t>
      </w:r>
    </w:p>
  </w:endnote>
  <w:endnote w:id="436">
    <w:p w14:paraId="5B57D82B"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Gonzalez M, Arroliga AC, Frutos-Vivar F et al (2010) Airway pressure release ventilation versus assist-control ventilation: a comparative propensity score and international cohort study. Intensive Care Med 36: 817–827</w:t>
      </w:r>
    </w:p>
  </w:endnote>
  <w:endnote w:id="437">
    <w:p w14:paraId="22947DB8"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Singh B, Tiwari AK, Singh K et al (2014) beta2 agonist for the treatment of acute lung injury: a systematic review and meta-analysis. Respiratory Care 59(2): 288–296. doi: 10.4187/respcare.02571</w:t>
      </w:r>
    </w:p>
  </w:endnote>
  <w:endnote w:id="438">
    <w:p w14:paraId="35A7B983" w14:textId="77777777" w:rsidR="00587AE4" w:rsidRPr="00D60A69" w:rsidRDefault="00587AE4" w:rsidP="00801F84">
      <w:pPr>
        <w:pStyle w:val="Endnotentext"/>
      </w:pPr>
      <w:r w:rsidRPr="00D60A69">
        <w:rPr>
          <w:rStyle w:val="Endnotenzeichen"/>
          <w:vertAlign w:val="baseline"/>
        </w:rPr>
        <w:endnoteRef/>
      </w:r>
      <w:r w:rsidRPr="00D60A69">
        <w:rPr>
          <w:lang w:val="en-US"/>
        </w:rPr>
        <w:t xml:space="preserve"> Sakr Y, Vincent JL, Reinhart K et al (2005) High tidal volume and positive fluid balance are associated with worse outcome in acute lung injury. </w:t>
      </w:r>
      <w:r w:rsidRPr="00D60A69">
        <w:t>CHEST 128(5): 3098–3108</w:t>
      </w:r>
    </w:p>
  </w:endnote>
  <w:endnote w:id="439">
    <w:p w14:paraId="7E849CDE" w14:textId="77777777" w:rsidR="00587AE4" w:rsidRPr="00D60A69" w:rsidRDefault="00587AE4" w:rsidP="00801F84">
      <w:pPr>
        <w:pStyle w:val="Endnotentext"/>
      </w:pPr>
      <w:r w:rsidRPr="00D60A69">
        <w:rPr>
          <w:rStyle w:val="Endnotenzeichen"/>
          <w:vertAlign w:val="baseline"/>
        </w:rPr>
        <w:endnoteRef/>
      </w:r>
      <w:r w:rsidRPr="00D60A69">
        <w:t xml:space="preserve"> Bundesärztekammer, Kassenärztliche Bundesvereinigung, Arbeitsgemeinschaft der Wissenschaftlichen Medizinischen Fachgesellschaften (2012) Nationale VersorgungsLeitlinie COPD. http://www.awmf.org/uploads/tx_szleitlinien/nvl-003l_S3_COPD_abgelaufen.pdf</w:t>
      </w:r>
    </w:p>
  </w:endnote>
  <w:endnote w:id="440">
    <w:p w14:paraId="4082FF63"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Blackwood B, Burns KE, Cardwell CR et al (2014) Protocolized versus non-protocolized weaning for reducing the duration of mechanical ventilation in critically ill adult patients. Cochrane Database Syst Rev 11. doi: 10.1002/14651858.CD006904.pub3</w:t>
      </w:r>
    </w:p>
  </w:endnote>
  <w:endnote w:id="441">
    <w:p w14:paraId="7C8C53D9"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Blackwood B, Murray M, Chisakuta A et al (2013) Protocolized versus non-protocolized weaning for reducing the duration of invasive mechanical ventilation in critically ill paediatric patients. Cochrane Database Syst Rev 7. doi: 10.1002/14651858.CD009082.pub2</w:t>
      </w:r>
    </w:p>
  </w:endnote>
  <w:endnote w:id="442">
    <w:p w14:paraId="7B922C76" w14:textId="0D884455"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Blackwood B, Alderdice F, Burns K et al (2011) Use of weaning protocols for reducing duration of mechanical ventilation in critically ill adult patients Cochrane systematic review and meta-analysis 342. doi: 10.1136/bmj.c7237</w:t>
      </w:r>
    </w:p>
  </w:endnote>
  <w:endnote w:id="443">
    <w:p w14:paraId="43AF8E7B"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Schönhofer B, Geiseler J, Dellweg D et al (2014) Prolongiertes Weaning. S2k-Leitlinie herausgegeben von der Deutschen Gesellschaftfür Pneumologie und Beatmungsmedizin e.V (Prolonged weaning: S2k-guideline published by the German Respiratory Society). Pneumologie 68(1): 19–75. doi: 10.1055/s-0033-1359038</w:t>
      </w:r>
    </w:p>
  </w:endnote>
  <w:endnote w:id="444">
    <w:p w14:paraId="40F9E065" w14:textId="46182293" w:rsidR="00587AE4" w:rsidRDefault="00587AE4" w:rsidP="00801F84">
      <w:pPr>
        <w:pStyle w:val="Endnotentext"/>
        <w:rPr>
          <w:lang w:val="en-US"/>
        </w:rPr>
      </w:pPr>
      <w:r w:rsidRPr="00D60A69">
        <w:rPr>
          <w:rStyle w:val="Endnotenzeichen"/>
          <w:vertAlign w:val="baseline"/>
        </w:rPr>
        <w:endnoteRef/>
      </w:r>
      <w:r w:rsidRPr="00D60A69">
        <w:rPr>
          <w:lang w:val="en-US"/>
        </w:rPr>
        <w:t xml:space="preserve"> Meade MO, Cook DJ, Guyatt GH, et al; Lung Open Ventilation Study Investigators: Ventilation strategy using low tidal volumes, recruitment maneuvers, and high positive end-expiratory pressure for acute lung injury and acute respiratory distress syndrome: a randomized controlled trial. JAMA 2008; 299:637–645</w:t>
      </w:r>
    </w:p>
    <w:p w14:paraId="26F33B65" w14:textId="37754F1C" w:rsidR="00114B74" w:rsidRDefault="00114B74" w:rsidP="00801F84">
      <w:pPr>
        <w:pStyle w:val="Endnotentext"/>
        <w:rPr>
          <w:lang w:val="en-US"/>
        </w:rPr>
      </w:pPr>
    </w:p>
    <w:p w14:paraId="2A68B7F8" w14:textId="77777777" w:rsidR="00114B74" w:rsidRPr="00D60A69" w:rsidRDefault="00114B74" w:rsidP="00801F84">
      <w:pPr>
        <w:pStyle w:val="Endnotentext"/>
        <w:rPr>
          <w:lang w:val="en-US"/>
        </w:rPr>
      </w:pPr>
    </w:p>
  </w:endnote>
  <w:endnote w:id="445">
    <w:p w14:paraId="4D22691E"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Mercat A, Richard JC, Vielle B, et al; Expiratory Pressure (Express) Study Group: Positive end-expiratory pressure setting in adults with acute lung injury and acute respiratory distress syndrome: a randomized controlled trial. JAMA 2008; 299:646–655</w:t>
      </w:r>
    </w:p>
  </w:endnote>
  <w:endnote w:id="446">
    <w:p w14:paraId="3C27895A"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Ferrer M, Esquinas A, Leon M, et al: Noninvasive ventilation in severe hypoxemic respiratory failure: a randomized clinical trial. Am J Respir Crit Care Med 2003; 168:1438–1444</w:t>
      </w:r>
    </w:p>
  </w:endnote>
  <w:endnote w:id="447">
    <w:p w14:paraId="677B53ED" w14:textId="70B2354D" w:rsidR="00E15D93" w:rsidRPr="00D60A69" w:rsidRDefault="00587AE4" w:rsidP="00801F84">
      <w:pPr>
        <w:pStyle w:val="Endnotentext"/>
        <w:rPr>
          <w:lang w:val="en-US"/>
        </w:rPr>
      </w:pPr>
      <w:r w:rsidRPr="00D60A69">
        <w:rPr>
          <w:rStyle w:val="Endnotenzeichen"/>
          <w:vertAlign w:val="baseline"/>
        </w:rPr>
        <w:endnoteRef/>
      </w:r>
      <w:r w:rsidRPr="00D60A69">
        <w:rPr>
          <w:lang w:val="en-US"/>
        </w:rPr>
        <w:t xml:space="preserve"> Antonelli M, Conti G, Rocco M, et al: A comparison of noninvasive positive-pressure ventilation and conventional mechanical ventilation in patients with acute respiratory failure. N Engl J Med 1998; 339:429–435</w:t>
      </w:r>
    </w:p>
  </w:endnote>
  <w:endnote w:id="448">
    <w:p w14:paraId="7E4FEC51"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Frat JP, Thille AW, Mercat A, et al; FLORALI Study Group; REVA Network: High-flow oxygen through nasal cannula in acute hypoxemic respiratory failure. N Engl J Med 2015; 372:2185–2196</w:t>
      </w:r>
    </w:p>
  </w:endnote>
  <w:endnote w:id="449">
    <w:p w14:paraId="71AB6744"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Ely EW, Baker AM, Dunagan DP, et al: Effect on the duration of mechanical ventilation of identifying patients capable of breathing spontaneously. N Engl J Med 1996; 335:1864–1869</w:t>
      </w:r>
    </w:p>
  </w:endnote>
  <w:endnote w:id="450">
    <w:p w14:paraId="57A58B58"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Kress JP, Pohlman AS, O’Connor MF, et al: Daily interruption of sedative infusions in critically ill patients undergoing mechanical ventilation. N Engl J Med 2000; 342:1471–1477</w:t>
      </w:r>
    </w:p>
  </w:endnote>
  <w:endnote w:id="451">
    <w:p w14:paraId="124A93F0"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Girard TD, Kress JP, Fuchs BD, et al: Efficacy and safety of a paired sedation and ventilator weaning protocol for mechanically ventilated patients in intensive care (Awakening and Breathing Controlled trial): a randomised controlled trial. Lancet 2008; 371:126–134</w:t>
      </w:r>
    </w:p>
  </w:endnote>
  <w:endnote w:id="452">
    <w:p w14:paraId="521A1E1A"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Schweickert WD, Pohlman MC, Pohlman AS, et al: Early physical and occupational therapy in mechanically ventilated, critically ill patients: a randomised controlled trial. Lancet 2009; 373:1874–1882</w:t>
      </w:r>
    </w:p>
  </w:endnote>
  <w:endnote w:id="453">
    <w:p w14:paraId="4F01A2F6"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Shehabi Y, Bellomo R, Reade MC, et al; Sedation Practice in Intensive Care Evaluation (SPICE) Study Investigators; ANZICS Clinical Trials Group: Early intensive care sedation predicts long term mortality in ventilated critically ill patients. Am J Respir Crit Care Med 2012; 186:724–731</w:t>
      </w:r>
    </w:p>
  </w:endnote>
  <w:endnote w:id="454">
    <w:p w14:paraId="0CD59734"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Brook AD, Ahrens TS, Schaiff R, et al: Effect of a nursing-imple mented sedation protocol on the duration of mechanical ventilation. Crit Care Med 1999; 27:2609–2615</w:t>
      </w:r>
    </w:p>
  </w:endnote>
  <w:endnote w:id="455">
    <w:p w14:paraId="79166594"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Bucknall TK, Manias E, Presneill JJ: A randomized trial of protocol directed sedation management for mechanical ventilation in an Australian intensive care unit. Crit Care Med 2008; 36:1444–1450</w:t>
      </w:r>
    </w:p>
  </w:endnote>
  <w:endnote w:id="456">
    <w:p w14:paraId="6B43C7BD"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Kollef MH, Levy NT, Ahrens TS, et al: The use of continuous i.v. seda tion is associated with prolongation of mechanical ventilation. Chest 1998; 114:541–548</w:t>
      </w:r>
    </w:p>
  </w:endnote>
  <w:endnote w:id="457">
    <w:p w14:paraId="225289EF"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Carson SS, Kress JP, Rodgers JE, et al: A randomized trial of inter mittent lorazepam versus propofol with daily interruption in mechani cally ventilated patients. Crit Care Med 2006; 34:1326–1332</w:t>
      </w:r>
    </w:p>
  </w:endnote>
  <w:endnote w:id="458">
    <w:p w14:paraId="4AFA8159"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Mehta S, Burry L, Cook D, et al; SLEAP Investigators; Canadian Critical Care Trials Group: Daily sedation interruption in mechani cally ventilated critically ill patients cared for with a sedation proto col: a randomized controlled trial. JAMA 2012; 308:1985–1992</w:t>
      </w:r>
    </w:p>
  </w:endnote>
  <w:endnote w:id="459">
    <w:p w14:paraId="07410CE0"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Jansen JP, Naci H: Is network meta-analysis as valid as standard pairwise meta-analysis? It all depends on the distribution of effect modifiers. BMC Med 2013; 11:159</w:t>
      </w:r>
    </w:p>
  </w:endnote>
  <w:endnote w:id="460">
    <w:p w14:paraId="6597A32C"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Strøm T, Martinussen T, Toft P: A protocol of no sedation for criti cally ill patients receiving mechanical ventilation: a randomised trial. Lancet 2010; 375:475–480</w:t>
      </w:r>
    </w:p>
  </w:endnote>
  <w:endnote w:id="461">
    <w:p w14:paraId="055BB8DD"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Lonardo NW, Mone MC, Nirula R, et al: Propofol is associated with favor-able outcomes compared with benzodiazepines in ventilated intensive care unit patients. Am J Respir Crit Care Med 2014; 189:1383–1394</w:t>
      </w:r>
    </w:p>
  </w:endnote>
  <w:endnote w:id="462">
    <w:p w14:paraId="2ACF9CA6" w14:textId="3E496657" w:rsidR="00587AE4" w:rsidRPr="00D60A69" w:rsidRDefault="00587AE4" w:rsidP="00801F84">
      <w:pPr>
        <w:pStyle w:val="Endnotentext"/>
        <w:rPr>
          <w:lang w:val="en-US"/>
        </w:rPr>
      </w:pPr>
      <w:r w:rsidRPr="00D60A69">
        <w:rPr>
          <w:rStyle w:val="Ohne"/>
        </w:rPr>
        <w:endnoteRef/>
      </w:r>
      <w:r w:rsidRPr="00D60A69">
        <w:rPr>
          <w:rStyle w:val="Ohne"/>
          <w:lang w:val="en-US"/>
        </w:rPr>
        <w:t xml:space="preserve"> Fraser GL, Devlin JW, Worby CP, et al: Benzodiazepine versus non-benzodiazepine-based sedation for mechanically ventilated, critically ill adults: a systematic review and meta-analysis of randomized trials. Crit Care Med 2013; 41:S30–S38</w:t>
      </w:r>
    </w:p>
  </w:endnote>
  <w:endnote w:id="463">
    <w:p w14:paraId="79B96624" w14:textId="2715425B" w:rsidR="00587AE4" w:rsidRPr="00D60A69" w:rsidRDefault="00587AE4" w:rsidP="00801F84">
      <w:pPr>
        <w:pStyle w:val="Endnotentext"/>
        <w:rPr>
          <w:lang w:val="en-US"/>
        </w:rPr>
      </w:pPr>
      <w:r w:rsidRPr="00D60A69">
        <w:rPr>
          <w:rStyle w:val="Ohne"/>
        </w:rPr>
        <w:endnoteRef/>
      </w:r>
      <w:r w:rsidRPr="00D60A69">
        <w:rPr>
          <w:rStyle w:val="Ohne"/>
          <w:lang w:val="en-US"/>
        </w:rPr>
        <w:t xml:space="preserve"> Reade MC, Eastwood GM, Bellomo R, et al; DahLIA Investigators; Australian and New Zealand Intensive Care Society Clinical Trials Group: Effect of Dexmedetomidine Added to Standard Care on Ventilator-Free Time in Patients With Agitated Delirium: A Randomized Clinical Trial. JAMA 2016; 315:1460–1468</w:t>
      </w:r>
    </w:p>
  </w:endnote>
  <w:endnote w:id="464">
    <w:p w14:paraId="58906B1D" w14:textId="319800E6" w:rsidR="00587AE4" w:rsidRPr="00D60A69" w:rsidRDefault="00587AE4" w:rsidP="00801F84">
      <w:pPr>
        <w:pStyle w:val="Endnotentext"/>
        <w:rPr>
          <w:rStyle w:val="Ohne"/>
          <w:lang w:val="en-US"/>
        </w:rPr>
      </w:pPr>
      <w:r w:rsidRPr="00D60A69">
        <w:rPr>
          <w:rStyle w:val="Ohne"/>
        </w:rPr>
        <w:endnoteRef/>
      </w:r>
      <w:r w:rsidRPr="00D60A69">
        <w:rPr>
          <w:rStyle w:val="Ohne"/>
          <w:lang w:val="en-US"/>
        </w:rPr>
        <w:t xml:space="preserve"> Barr J, Fraser GL, Puntillo K, et al; American College of Critical Care Medicine:  Clinical  practice  guidelines  for  the  management  of  pain,  agitation, and delirium in adult patients in the intensive care unit. </w:t>
      </w:r>
    </w:p>
    <w:p w14:paraId="376A1113" w14:textId="77777777" w:rsidR="00587AE4" w:rsidRPr="00D60A69" w:rsidRDefault="00587AE4" w:rsidP="00801F84">
      <w:pPr>
        <w:pStyle w:val="Endnotentext"/>
        <w:rPr>
          <w:lang w:val="en-US"/>
        </w:rPr>
      </w:pPr>
      <w:r w:rsidRPr="00D60A69">
        <w:rPr>
          <w:rStyle w:val="Ohne"/>
          <w:lang w:val="en-US"/>
        </w:rPr>
        <w:t>Crit Care Med 2013; 41:263–306</w:t>
      </w:r>
    </w:p>
  </w:endnote>
  <w:endnote w:id="465">
    <w:p w14:paraId="7B1DE210" w14:textId="590AB08E" w:rsidR="00587AE4" w:rsidRPr="00D60A69" w:rsidRDefault="00587AE4" w:rsidP="00801F84">
      <w:pPr>
        <w:pStyle w:val="Endnotentext"/>
        <w:rPr>
          <w:lang w:val="en-US"/>
        </w:rPr>
      </w:pPr>
      <w:r w:rsidRPr="00D60A69">
        <w:rPr>
          <w:rStyle w:val="Ohne"/>
        </w:rPr>
        <w:endnoteRef/>
      </w:r>
      <w:r w:rsidRPr="00D60A69">
        <w:rPr>
          <w:rStyle w:val="Ohne"/>
          <w:lang w:val="en-US"/>
        </w:rPr>
        <w:t xml:space="preserve"> </w:t>
      </w:r>
      <w:r w:rsidR="00EF1A9E">
        <w:rPr>
          <w:rStyle w:val="Ohne"/>
          <w:lang w:val="en-US"/>
        </w:rPr>
        <w:t xml:space="preserve">Leitlinie </w:t>
      </w:r>
      <w:r w:rsidR="00EF1A9E" w:rsidRPr="00EF1A9E">
        <w:rPr>
          <w:rStyle w:val="Ohne"/>
          <w:lang w:val="en-US"/>
        </w:rPr>
        <w:t>Analgesie, Sedierung und Delirmanagement in der Intensivmedizin</w:t>
      </w:r>
      <w:r w:rsidR="00EF1A9E">
        <w:rPr>
          <w:rStyle w:val="Ohne"/>
          <w:lang w:val="en-US"/>
        </w:rPr>
        <w:t xml:space="preserve">, </w:t>
      </w:r>
      <w:r w:rsidRPr="00D60A69">
        <w:rPr>
          <w:rStyle w:val="Ohne"/>
          <w:lang w:val="en-US"/>
        </w:rPr>
        <w:t>https://www.awmf.org/leitlinien/detail/ll/001-012.html</w:t>
      </w:r>
    </w:p>
    <w:p w14:paraId="447669B0" w14:textId="77777777" w:rsidR="00587AE4" w:rsidRPr="00D60A69" w:rsidRDefault="00587AE4" w:rsidP="00801F84">
      <w:pPr>
        <w:pStyle w:val="Endnotentext"/>
        <w:rPr>
          <w:lang w:val="en-US"/>
        </w:rPr>
      </w:pPr>
      <w:r w:rsidRPr="00D60A69">
        <w:rPr>
          <w:rStyle w:val="Ohne"/>
          <w:lang w:val="en-US"/>
        </w:rPr>
        <w:t>aktueller Stand: 08/2015</w:t>
      </w:r>
    </w:p>
  </w:endnote>
  <w:endnote w:id="466">
    <w:p w14:paraId="0DC151BE"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Van den Berghe G, Wouters P, Weekers F, et al: Intensive insulin therapy in critically ill patients. N Engl J Med 2001; 345:1359–1367</w:t>
      </w:r>
    </w:p>
  </w:endnote>
  <w:endnote w:id="467">
    <w:p w14:paraId="4C69A078"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Van den Berghe G, Wilmer A, Hermans G, et al: Intensive insulin therapy in the medical ICU. N Engl J Med 2006; 354:449–461</w:t>
      </w:r>
    </w:p>
  </w:endnote>
  <w:endnote w:id="468">
    <w:p w14:paraId="0B625DF6"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Arabi YM, Dabbagh OC, Tamim HM, et al: Intensive versus conven tional insulin therapy: a randomized controlled trial in medical and surgical critically ill patients. Crit Care Med 2008; 36:3190–3197</w:t>
      </w:r>
    </w:p>
  </w:endnote>
  <w:endnote w:id="469">
    <w:p w14:paraId="57BB5D83"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Brunkhorst FM, Engel C, Bloos F, et al; German Competence Network Sepsis (SepNet): Intensive insulin therapy and pentastarch resuscitation in severe sepsis. N Engl J Med 2008; 358:125–139</w:t>
      </w:r>
    </w:p>
  </w:endnote>
  <w:endnote w:id="470">
    <w:p w14:paraId="49FF5ECE"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De La Rosa Gdel C, Donado JH, Restrepo AH, et al: Strict gly caemic control in patients hospitalised in a mixed medical and surgical intensive care unit: a randomised clinical trial. Crit Care. 2008;12(5):R120</w:t>
      </w:r>
    </w:p>
  </w:endnote>
  <w:endnote w:id="471">
    <w:p w14:paraId="64E4D41C"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Finfer S, Blair D, Bellomo R, et al: Intensive versus conven tional glucose control in critically ill patients. N Engl J Med. 2009;360(13):1283–1297</w:t>
      </w:r>
    </w:p>
  </w:endnote>
  <w:endnote w:id="472">
    <w:p w14:paraId="39AA16C1"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Annane D, Cariou A, Maxime V, et al: Corticosteroid treatment and intensive insulin therapy for septic shock in adults: a randomized controlled trial. JAMA. 2010;303(4):341–348</w:t>
      </w:r>
    </w:p>
  </w:endnote>
  <w:endnote w:id="473">
    <w:p w14:paraId="4D37C91F"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Kalfon P, Giraudeau B, Ichai C, et al; CGAO-REA Study Group: Tight computerized versus conventional glucose control in the ICU: a ran domized controlled trial. Intensive Care Med 2014; 40:171–181</w:t>
      </w:r>
    </w:p>
  </w:endnote>
  <w:endnote w:id="474">
    <w:p w14:paraId="702B9063"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Preiser JC, Devos P, Ruiz-Santana S, et al: A prospective ran domised multi-centre controlled trial on tight glucose control by intensive insulin therapy in adult intensive care units: the Glucontrol study. Intensive Care Med 2009; 35:1738–1748</w:t>
      </w:r>
    </w:p>
  </w:endnote>
  <w:endnote w:id="475">
    <w:p w14:paraId="524F15E8"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Zhang RH, W; Li, T et al: Evaluation of optimal goal of glucose con trol in critically ill patients. Chinese J Clin Nutr. 2008;16:204–208</w:t>
      </w:r>
    </w:p>
  </w:endnote>
  <w:endnote w:id="476">
    <w:p w14:paraId="3F084D82"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Friedrich JO, Chant C, Adhikari NK: Does intensive insulin therapy really reduce mortality in critically ill surgical patients? A reanalysis of meta-analytic data. Crit Care 2010; 14:324</w:t>
      </w:r>
    </w:p>
  </w:endnote>
  <w:endnote w:id="477">
    <w:p w14:paraId="3C92411B" w14:textId="71C2852E" w:rsidR="00587AE4" w:rsidRDefault="00587AE4" w:rsidP="00801F84">
      <w:pPr>
        <w:pStyle w:val="Endnotentext"/>
        <w:rPr>
          <w:rStyle w:val="Ohne"/>
          <w:lang w:val="en-US"/>
        </w:rPr>
      </w:pPr>
      <w:r w:rsidRPr="00D60A69">
        <w:rPr>
          <w:rStyle w:val="Ohne"/>
        </w:rPr>
        <w:endnoteRef/>
      </w:r>
      <w:r w:rsidRPr="00D60A69">
        <w:rPr>
          <w:rStyle w:val="Ohne"/>
          <w:lang w:val="en-US"/>
        </w:rPr>
        <w:t xml:space="preserve"> Griesdale DE, de Souza RJ, van Dam RM, et al: Intensive insulin therapy and mortality among critically ill patients: a meta-analysis including NICE-SUGAR study data. CMAJ 2009; 180:821–827  </w:t>
      </w:r>
    </w:p>
    <w:p w14:paraId="4E7C2401" w14:textId="77777777" w:rsidR="00114B74" w:rsidRPr="00D60A69" w:rsidRDefault="00114B74" w:rsidP="00801F84">
      <w:pPr>
        <w:pStyle w:val="Endnotentext"/>
        <w:rPr>
          <w:lang w:val="en-US"/>
        </w:rPr>
      </w:pPr>
    </w:p>
  </w:endnote>
  <w:endnote w:id="478">
    <w:p w14:paraId="51D86A38"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Kansagara D, Fu R, Freeman M, et al: Intensive insulin therapy in hospitalized patients: a systematic review. Ann Intern Med 2011; 154:268–282</w:t>
      </w:r>
    </w:p>
  </w:endnote>
  <w:endnote w:id="479">
    <w:p w14:paraId="766FD622"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Marik PE, Preiser JC: Toward understanding tight glycemic control in the ICU: a systematic review and metaanalysis. Chest 2010; 137:544–551</w:t>
      </w:r>
    </w:p>
  </w:endnote>
  <w:endnote w:id="480">
    <w:p w14:paraId="6F09BF27" w14:textId="6F2A1629" w:rsidR="00E15D93" w:rsidRPr="00D60A69" w:rsidRDefault="00587AE4" w:rsidP="00801F84">
      <w:pPr>
        <w:pStyle w:val="Endnotentext"/>
        <w:rPr>
          <w:lang w:val="en-US"/>
        </w:rPr>
      </w:pPr>
      <w:r w:rsidRPr="00D60A69">
        <w:rPr>
          <w:rStyle w:val="Ohne"/>
        </w:rPr>
        <w:endnoteRef/>
      </w:r>
      <w:r w:rsidRPr="00D60A69">
        <w:rPr>
          <w:rStyle w:val="Ohne"/>
          <w:lang w:val="en-US"/>
        </w:rPr>
        <w:t xml:space="preserve"> Wiener RS, Wiener DC, Larson RJ: Benefits and risks of tight glu cose control in critically ill adults: a meta-analysis. JAMA 2008; 300:933–944</w:t>
      </w:r>
    </w:p>
  </w:endnote>
  <w:endnote w:id="481">
    <w:p w14:paraId="591D56D0"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Ling Y, Li X, Gao X: Intensive versus conventional glucose control in critically ill patients: a meta-analysis of randomized controlled trials. Eur J Intern Med 2012; 23:564–574</w:t>
      </w:r>
    </w:p>
  </w:endnote>
  <w:endnote w:id="482">
    <w:p w14:paraId="55985FCC"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Song F, Zhong LJ, Han L, et al: Intensive insulin therapy for septic patients: a meta-analysis of randomized controlled trials. Biomed Res Int 2014; 2014:698265</w:t>
      </w:r>
    </w:p>
  </w:endnote>
  <w:endnote w:id="483">
    <w:p w14:paraId="51A00713"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Finfer S, Blair D, Bellomo R, et al: Intensive versus conventional glucose control in critically ill patients. N Engl J Med. 2009;360(13):1283–1297</w:t>
      </w:r>
      <w:r w:rsidRPr="00D60A69" w:rsidDel="00E569D2">
        <w:rPr>
          <w:rStyle w:val="Ohne"/>
          <w:lang w:val="en-US"/>
        </w:rPr>
        <w:t xml:space="preserve"> </w:t>
      </w:r>
    </w:p>
  </w:endnote>
  <w:endnote w:id="484">
    <w:p w14:paraId="3AAEC176"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American Diabetes Association: Standards of medical care in diabe tes—2014. Diabetes Care. 2014;37 Suppl 1:S14–S80</w:t>
      </w:r>
    </w:p>
  </w:endnote>
  <w:endnote w:id="485">
    <w:p w14:paraId="5D409FA3"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Marvin MR, Inzucchi SE, Besterman BJ: Computerization of the Yale insulin infusion protocol and potential insights into causes of hypoglycemia with intravenous insulin. Diabetes Technol Ther 2013; 15:246–252</w:t>
      </w:r>
    </w:p>
  </w:endnote>
  <w:endnote w:id="486">
    <w:p w14:paraId="12234025"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Qaseem A, Chou R, Humphrey LL, et al; Clinical Guidelines Committee of the American College of Physicians: Inpatient gly cemic control: best practice advice from the Clinical Guidelines Committee of the American College of Physicians. Am J Med Qual 2014; 29:95–98</w:t>
      </w:r>
    </w:p>
  </w:endnote>
  <w:endnote w:id="487">
    <w:p w14:paraId="6D607C24"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Siegelaar SE, Hermanides J, Oudemans-van Straaten HM, et al: Mean glucose during ICU admission is related to mortality by a U-shaped curve in surgical and medical patients: a retrospective cohort study. Crit Care 2010; 14:R224</w:t>
      </w:r>
    </w:p>
  </w:endnote>
  <w:endnote w:id="488">
    <w:p w14:paraId="298773D4" w14:textId="77777777" w:rsidR="00587AE4" w:rsidRPr="00D60A69" w:rsidRDefault="00587AE4" w:rsidP="00801F84">
      <w:pPr>
        <w:pStyle w:val="Endnotentext"/>
        <w:rPr>
          <w:lang w:val="en-US"/>
        </w:rPr>
      </w:pPr>
      <w:r w:rsidRPr="00D60A69">
        <w:rPr>
          <w:rStyle w:val="Ohne"/>
        </w:rPr>
        <w:endnoteRef/>
      </w:r>
      <w:r w:rsidRPr="00D60A69">
        <w:rPr>
          <w:rStyle w:val="Ohne"/>
          <w:lang w:val="en-US"/>
        </w:rPr>
        <w:t>Badawi O, Waite MD, Fuhrman SA, et al: Association between intensive care unit-acquired dysglycemia and in-hospital mortality. Crit Care Med 2012; 40:3180–3188</w:t>
      </w:r>
    </w:p>
  </w:endnote>
  <w:endnote w:id="489">
    <w:p w14:paraId="4C736481" w14:textId="77777777" w:rsidR="00587AE4" w:rsidRPr="00D60A69" w:rsidRDefault="00587AE4" w:rsidP="00801F84">
      <w:pPr>
        <w:pStyle w:val="Endnotentext"/>
        <w:rPr>
          <w:lang w:val="en-US"/>
        </w:rPr>
      </w:pPr>
      <w:r w:rsidRPr="00D60A69">
        <w:rPr>
          <w:rStyle w:val="Ohne"/>
        </w:rPr>
        <w:endnoteRef/>
      </w:r>
      <w:r w:rsidRPr="00D60A69">
        <w:rPr>
          <w:rStyle w:val="Ohne"/>
          <w:lang w:val="en-US"/>
        </w:rPr>
        <w:t>Finfer S, Liu B, Chittock DR, et al: Hypoglycemia and risk of death in critically ill patients. N Engl J Med. 2012;367(12):1108–1118</w:t>
      </w:r>
    </w:p>
  </w:endnote>
  <w:endnote w:id="490">
    <w:p w14:paraId="01E39690" w14:textId="77777777" w:rsidR="00587AE4" w:rsidRPr="00D60A69" w:rsidRDefault="00587AE4" w:rsidP="00801F84">
      <w:pPr>
        <w:pStyle w:val="Endnotentext"/>
        <w:rPr>
          <w:lang w:val="en-US"/>
        </w:rPr>
      </w:pPr>
      <w:r w:rsidRPr="00D60A69">
        <w:rPr>
          <w:rStyle w:val="Ohne"/>
        </w:rPr>
        <w:endnoteRef/>
      </w:r>
      <w:r w:rsidRPr="00D60A69">
        <w:rPr>
          <w:rStyle w:val="Ohne"/>
          <w:lang w:val="en-US"/>
        </w:rPr>
        <w:t>Kalfon P, Le Manach Y, Ichai C, et al; CGAO-REA Study Group: Severe and multiple hypoglycemic episodes are associated with increased risk of death in ICU patients. Crit Care 2015; 19:153</w:t>
      </w:r>
    </w:p>
  </w:endnote>
  <w:endnote w:id="491">
    <w:p w14:paraId="1313C2CB" w14:textId="77777777" w:rsidR="00587AE4" w:rsidRPr="00D60A69" w:rsidRDefault="00587AE4" w:rsidP="00801F84">
      <w:pPr>
        <w:pStyle w:val="Endnotentext"/>
        <w:rPr>
          <w:lang w:val="en-US"/>
        </w:rPr>
      </w:pPr>
      <w:r w:rsidRPr="00D60A69">
        <w:rPr>
          <w:rStyle w:val="Ohne"/>
        </w:rPr>
        <w:endnoteRef/>
      </w:r>
      <w:r w:rsidRPr="00D60A69">
        <w:rPr>
          <w:rStyle w:val="Ohne"/>
          <w:lang w:val="en-US"/>
        </w:rPr>
        <w:t>Krinsley JS: Glycemic variability: a strong independent predic tor of mortality in critically ill patients. Crit Care Med 2008; 36:3008–3013</w:t>
      </w:r>
    </w:p>
  </w:endnote>
  <w:endnote w:id="492">
    <w:p w14:paraId="7824AD3A" w14:textId="77777777" w:rsidR="00587AE4" w:rsidRPr="00D60A69" w:rsidRDefault="00587AE4" w:rsidP="00801F84">
      <w:pPr>
        <w:pStyle w:val="Endnotentext"/>
        <w:rPr>
          <w:lang w:val="en-US"/>
        </w:rPr>
      </w:pPr>
      <w:r w:rsidRPr="00D60A69">
        <w:rPr>
          <w:rStyle w:val="Ohne"/>
        </w:rPr>
        <w:endnoteRef/>
      </w:r>
      <w:r w:rsidRPr="00D60A69">
        <w:rPr>
          <w:rStyle w:val="Ohne"/>
          <w:lang w:val="en-US"/>
        </w:rPr>
        <w:t>Todi S, Bhattacharya M: Glycemic variability and outcome in critically ill. Indian J Crit Care Med 2014; 18:285–290</w:t>
      </w:r>
    </w:p>
  </w:endnote>
  <w:endnote w:id="493">
    <w:p w14:paraId="3ADC5201" w14:textId="61A6D75C" w:rsidR="00EF1A9E" w:rsidRPr="00D60A69" w:rsidRDefault="00587AE4" w:rsidP="00801F84">
      <w:pPr>
        <w:pStyle w:val="Endnotentext"/>
        <w:rPr>
          <w:lang w:val="en-US"/>
        </w:rPr>
      </w:pPr>
      <w:r w:rsidRPr="00D60A69">
        <w:rPr>
          <w:rStyle w:val="Ohne"/>
        </w:rPr>
        <w:endnoteRef/>
      </w:r>
      <w:r w:rsidRPr="00D60A69">
        <w:rPr>
          <w:rStyle w:val="Ohne"/>
          <w:lang w:val="en-US"/>
        </w:rPr>
        <w:t xml:space="preserve"> Preiser JC, Devos P, Ruiz-Santana S, et al: A prospective randomised multi-centre controlled trial on tight glucose control by intensive insulin therapy in adult intensive care units: the Glucontrol study. Intensive Care Med 2009; 35:1738–1748</w:t>
      </w:r>
      <w:r w:rsidRPr="00D60A69" w:rsidDel="00353CC0">
        <w:rPr>
          <w:rStyle w:val="Ohne"/>
          <w:lang w:val="en-US"/>
        </w:rPr>
        <w:t xml:space="preserve"> </w:t>
      </w:r>
    </w:p>
  </w:endnote>
  <w:endnote w:id="494">
    <w:p w14:paraId="2519D8BC"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Kauffmann RM, Hayes RM, Jenkins JM, et al: Provision of balanced nutrition protects against hypoglycemia in the critically ill surgical patient. JPEN J Parenter Enteral Nutr 2011; 35:686–694</w:t>
      </w:r>
    </w:p>
  </w:endnote>
  <w:endnote w:id="495">
    <w:p w14:paraId="6B9C6449"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Egi M, Bellomo R, Stachowski E, et al: Blood glucose concentration and outcome of critical illness: the impact of diabetes. Crit Care Med 2008; 36:2249–2255</w:t>
      </w:r>
    </w:p>
  </w:endnote>
  <w:endnote w:id="496">
    <w:p w14:paraId="0C705F18" w14:textId="2C3F50DA" w:rsidR="00EF1A9E" w:rsidRPr="00D60A69" w:rsidRDefault="00587AE4" w:rsidP="00801F84">
      <w:pPr>
        <w:pStyle w:val="Endnotentext"/>
        <w:rPr>
          <w:lang w:val="en-US"/>
        </w:rPr>
      </w:pPr>
      <w:r w:rsidRPr="00D60A69">
        <w:rPr>
          <w:rStyle w:val="Ohne"/>
        </w:rPr>
        <w:endnoteRef/>
      </w:r>
      <w:r w:rsidRPr="00D60A69">
        <w:rPr>
          <w:rStyle w:val="Ohne"/>
          <w:lang w:val="en-US"/>
        </w:rPr>
        <w:t xml:space="preserve"> Krinsley JS: Glycemic variability and mortality in critically ill patients: the impact of diabetes. J Diabetes Sci Technol 2009; 3:1292–1301</w:t>
      </w:r>
    </w:p>
  </w:endnote>
  <w:endnote w:id="497">
    <w:p w14:paraId="0B0BB927"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Krinsley JS, Preiser JC: Time in blood glucose range 70 to 140 mg/dl &gt;80% is strongly associated with increased survival in non-diabetic critically ill adults. Crit Care 2015; 19:179</w:t>
      </w:r>
    </w:p>
  </w:endnote>
  <w:endnote w:id="498">
    <w:p w14:paraId="5BCAD433"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Egi M, Bellomo R, Stachowski E, et al: The interaction of chronic and acute glycemia with mortality in critically ill patients with diabetes. Crit Care Med 2011; 39:105–111; </w:t>
      </w:r>
    </w:p>
  </w:endnote>
  <w:endnote w:id="499">
    <w:p w14:paraId="0F3B89DD"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Sandler V, Misiasz MR, Jones J, et al: Reducing the risk of hypogly cemia associated with intravenous insulin: experience with a com puterized insulin infusion program in 4 adult intensive care units. J Diabetes Sci Technol 2014; 8:923–929</w:t>
      </w:r>
    </w:p>
  </w:endnote>
  <w:endnote w:id="500">
    <w:p w14:paraId="7A2494E2"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Pereira AJ, Corrêa TD, de Almeida FP, et al: Inaccuracy of Venous Point-of-Care Glucose Measurements in Critically Ill Patients: A Cross-Sectional Study. PLoS One 2015; 10:e0129568</w:t>
      </w:r>
    </w:p>
  </w:endnote>
  <w:endnote w:id="501">
    <w:p w14:paraId="6870ABBE"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Hoedemaekers CW, Klein Gunnewiek JM, Prinsen MA, et al: Accuracy of bedside glucose measurement from three glucometers in critically ill patients. Crit Care Med 2008; 36:3062–3066</w:t>
      </w:r>
    </w:p>
  </w:endnote>
  <w:endnote w:id="502">
    <w:p w14:paraId="45798BCA"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Inoue S, Egi M, Kotani J, et al: Accuracy of blood-glucose measure ments using glucose meters and arterial blood gas analyzers in criti cally ill adult patients: systematic review. Crit Care 2013; 17:R48</w:t>
      </w:r>
    </w:p>
  </w:endnote>
  <w:endnote w:id="503">
    <w:p w14:paraId="62F49035"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Kanji S, Buffie J, Hutton B, et al: Reliability of point-of-care testing for glucose measurement in critically ill adults. Crit Care Med 2005; 33:2778–2785</w:t>
      </w:r>
    </w:p>
  </w:endnote>
  <w:endnote w:id="504">
    <w:p w14:paraId="5B4D3A90"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Khan AI, Vasquez Y, Gray J, et al: The variability of results between point-of-care testing glucose meters and the central laboratory ana lyzer. Arch Pathol Lab Med 2006; 130:1527–1532</w:t>
      </w:r>
    </w:p>
  </w:endnote>
  <w:endnote w:id="505">
    <w:p w14:paraId="3F0F6C45"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Rice MJ, Coursin DB: Glucose Meters: Here Today, Gone Tomorrow? Crit Care Med 2016; 44:e97–100</w:t>
      </w:r>
    </w:p>
  </w:endnote>
  <w:endnote w:id="506">
    <w:p w14:paraId="5DE16E76"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Wilson M, Weinreb J, Hoo GW: Intensive insulin therapy in critical care: a review of 12 protocols. Diabetes Care 2007; 30:1005–1011</w:t>
      </w:r>
    </w:p>
  </w:endnote>
  <w:endnote w:id="507">
    <w:p w14:paraId="2C578214"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Dortch MJ, Mowery NT, Ozdas A, et al: A computerized insulin infu sion titration protocol improves glucose control with less hypogly cemia compared to a manual titration protocol in a trauma intensive care unit. JPEN J Parenter Enteral Nutr 2008; 32:18–27</w:t>
      </w:r>
    </w:p>
  </w:endnote>
  <w:endnote w:id="508">
    <w:p w14:paraId="3426119B"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Newton CA, Smiley D, Bode BW, et al: A comparison study of con tinuous insulin infusion protocols in the medical intensive care unit: computer-guided vs. standard column-based algorithms. J Hosp Med 2010; 5:432–437</w:t>
      </w:r>
    </w:p>
  </w:endnote>
  <w:endnote w:id="509">
    <w:p w14:paraId="337E4711"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Bartlett RH, Mault JR, Dechert RE, et al: Continuous arteriovenous hemofiltration: improved survival in surgical acute renal failure? Surgery 1986; 100:400–408</w:t>
      </w:r>
    </w:p>
  </w:endnote>
  <w:endnote w:id="510">
    <w:p w14:paraId="0E793643"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Bellomo R, Farmer M, Parkin G, et al: Severe acute renal failure: a comparison of acute continuous hemodiafiltration and conventional dialytic therapy. Nephron 1995; 71:59–64</w:t>
      </w:r>
    </w:p>
  </w:endnote>
  <w:endnote w:id="511">
    <w:p w14:paraId="5B236F12"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Bellomo R, Mansfield D, Rumble S, et al: Acute renal failure in critical illness. Conventional dialysis versus acute continuous hemodiafiltration. ASAIO J 1992; 38:M654–M657</w:t>
      </w:r>
    </w:p>
  </w:endnote>
  <w:endnote w:id="512">
    <w:p w14:paraId="7968F15C" w14:textId="77777777" w:rsidR="00587AE4" w:rsidRPr="00D60A69" w:rsidRDefault="00587AE4" w:rsidP="00801F84">
      <w:pPr>
        <w:pStyle w:val="Endnotentext"/>
      </w:pPr>
      <w:r w:rsidRPr="00D60A69">
        <w:rPr>
          <w:rStyle w:val="Ohne"/>
        </w:rPr>
        <w:endnoteRef/>
      </w:r>
      <w:r w:rsidRPr="00D60A69">
        <w:rPr>
          <w:rStyle w:val="Ohne"/>
          <w:lang w:val="en-US"/>
        </w:rPr>
        <w:t xml:space="preserve"> Kierdorf H. Continuous versus intermittent treatment: clinical results in acute renal failure. </w:t>
      </w:r>
      <w:r w:rsidRPr="00D60A69">
        <w:rPr>
          <w:rStyle w:val="Ohne"/>
        </w:rPr>
        <w:t>In: Sieberth HG, Mann H, Stummvoll HK, eds. Continuous Hemofiltration. Basel: Karger; 1991:1–12</w:t>
      </w:r>
    </w:p>
  </w:endnote>
  <w:endnote w:id="513">
    <w:p w14:paraId="4A003EDF" w14:textId="442D3795" w:rsidR="00587AE4" w:rsidRDefault="00587AE4" w:rsidP="00801F84">
      <w:pPr>
        <w:pStyle w:val="Endnotentext"/>
        <w:rPr>
          <w:rStyle w:val="Ohne"/>
          <w:lang w:val="en-US"/>
        </w:rPr>
      </w:pPr>
      <w:r w:rsidRPr="00D60A69">
        <w:rPr>
          <w:rStyle w:val="Ohne"/>
        </w:rPr>
        <w:endnoteRef/>
      </w:r>
      <w:r w:rsidRPr="00D60A69">
        <w:rPr>
          <w:rStyle w:val="Ohne"/>
          <w:lang w:val="en-US"/>
        </w:rPr>
        <w:t xml:space="preserve"> Mauritz W, Sporn P, Schindler I, et al: [Acute renal failure in abdominal infection. Comparison of hemodialysis and continuous arteriovenous hemofiltration]. Anasth Intensivther Notfallmed 1986; 21:212–217</w:t>
      </w:r>
    </w:p>
    <w:p w14:paraId="15BA1AE2" w14:textId="31956C65" w:rsidR="00114B74" w:rsidRDefault="00114B74" w:rsidP="00801F84">
      <w:pPr>
        <w:pStyle w:val="Endnotentext"/>
        <w:rPr>
          <w:rStyle w:val="Ohne"/>
          <w:lang w:val="en-US"/>
        </w:rPr>
      </w:pPr>
    </w:p>
    <w:p w14:paraId="4C6C2366" w14:textId="77777777" w:rsidR="00114B74" w:rsidRPr="00D60A69" w:rsidRDefault="00114B74" w:rsidP="00801F84">
      <w:pPr>
        <w:pStyle w:val="Endnotentext"/>
        <w:rPr>
          <w:lang w:val="en-US"/>
        </w:rPr>
      </w:pPr>
    </w:p>
  </w:endnote>
  <w:endnote w:id="514">
    <w:p w14:paraId="0678D2F2"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Guérin C, Girard R, Selli JM, et al: Intermittent versus continuous renal replacement therapy for acute renal failure in intensive care units: results from a multicenter prospective epidemiological survey. Intensive Care Med 2002; 28:1411–1418</w:t>
      </w:r>
    </w:p>
  </w:endnote>
  <w:endnote w:id="515">
    <w:p w14:paraId="644150E6"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van Bommel E, Bouvy ND, So KL, et al: Acute dialytic support for the critically ill: intermittent hemodialysis versus continuous arterio venous hemodiafiltration. Am J Nephrol 1995; 15:192–200</w:t>
      </w:r>
    </w:p>
  </w:endnote>
  <w:endnote w:id="516">
    <w:p w14:paraId="38C9703B" w14:textId="3F96D213" w:rsidR="00587AE4" w:rsidRDefault="00587AE4" w:rsidP="00801F84">
      <w:pPr>
        <w:pStyle w:val="Endnotentext"/>
        <w:rPr>
          <w:rStyle w:val="Ohne"/>
          <w:lang w:val="en-US"/>
        </w:rPr>
      </w:pPr>
      <w:r w:rsidRPr="00D60A69">
        <w:rPr>
          <w:rStyle w:val="Ohne"/>
        </w:rPr>
        <w:endnoteRef/>
      </w:r>
      <w:r w:rsidRPr="00D60A69">
        <w:rPr>
          <w:rStyle w:val="Ohne"/>
          <w:lang w:val="en-US"/>
        </w:rPr>
        <w:t xml:space="preserve"> Kellum JA, Angus DC, Johnson JP, et al: Continuous versus intermit tent renal replacement therapy: a meta-analysis. Intensive Care Med 2002; 28:29–37</w:t>
      </w:r>
    </w:p>
    <w:p w14:paraId="1806043D" w14:textId="4E418758" w:rsidR="00E15D93" w:rsidRDefault="00E15D93" w:rsidP="00801F84">
      <w:pPr>
        <w:pStyle w:val="Endnotentext"/>
        <w:rPr>
          <w:rStyle w:val="Ohne"/>
          <w:lang w:val="en-US"/>
        </w:rPr>
      </w:pPr>
    </w:p>
    <w:p w14:paraId="42F20B38" w14:textId="77777777" w:rsidR="00E15D93" w:rsidRPr="00D60A69" w:rsidRDefault="00E15D93" w:rsidP="00801F84">
      <w:pPr>
        <w:pStyle w:val="Endnotentext"/>
        <w:rPr>
          <w:lang w:val="en-US"/>
        </w:rPr>
      </w:pPr>
    </w:p>
  </w:endnote>
  <w:endnote w:id="517">
    <w:p w14:paraId="22E357C2"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Tonelli M, Manns B, Feller-Kopman D: Acute renal failure in the inten sive care unit: a systematic review of the impact of dialytic modality on mortality and renal recovery. Am J Kidney Dis 2002; 40:875–885</w:t>
      </w:r>
    </w:p>
  </w:endnote>
  <w:endnote w:id="518">
    <w:p w14:paraId="557812B8"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Augustine JJ, Sandy D, Seifert TH, et al: A randomized controlled trial comparing intermittent with continuous dialysis in patients with ARF. Am J Kidney Dis 2004; 44:1000–1007</w:t>
      </w:r>
    </w:p>
  </w:endnote>
  <w:endnote w:id="519">
    <w:p w14:paraId="7A730836"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Gasparovi6 V, Filipovi6-Grci6 I, Merkler M, et al: Continuous renal replacement therapy (CRRT) or intermittent hemodialysis (IHD)– what is the procedure of choice in critically ill patients? Ren Fail 2003; 25:855–862</w:t>
      </w:r>
    </w:p>
  </w:endnote>
  <w:endnote w:id="520">
    <w:p w14:paraId="397BC05E" w14:textId="7D625053" w:rsidR="00EF1A9E" w:rsidRPr="00D60A69" w:rsidRDefault="00587AE4" w:rsidP="00801F84">
      <w:pPr>
        <w:pStyle w:val="Endnotentext"/>
        <w:rPr>
          <w:lang w:val="en-US"/>
        </w:rPr>
      </w:pPr>
      <w:r w:rsidRPr="00D60A69">
        <w:rPr>
          <w:rStyle w:val="Ohne"/>
        </w:rPr>
        <w:endnoteRef/>
      </w:r>
      <w:r w:rsidRPr="00D60A69">
        <w:rPr>
          <w:rStyle w:val="Ohne"/>
          <w:lang w:val="en-US"/>
        </w:rPr>
        <w:t xml:space="preserve"> Mehta RL, McDonald B, Gabbai FB, et al; Collaborative Group for Treatment of ARF in the ICU: A randomized clinical trial of continu ous versus intermittent dialysis for acute renal failure. Kidney Int 2001; 60:1154–1163</w:t>
      </w:r>
    </w:p>
  </w:endnote>
  <w:endnote w:id="521">
    <w:p w14:paraId="1E2539B2"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Uehlinger DE, Jakob SM, Ferrari P, et al: Comparison of continuous and intermittent renal replacement therapy for acute renal failure. Nephrol Dial Transplant 2005; 20:1630–1637</w:t>
      </w:r>
    </w:p>
  </w:endnote>
  <w:endnote w:id="522">
    <w:p w14:paraId="15231478"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Vinsonneau C, Camus C, Combes A, et al; Hemodiafe Study Group: Continuous venovenous haemodiafiltration versus intermittent hae modialysis for acute renal failure in patients with multiple-organ dysfunction syndrome: a multicentre randomised trial. Lancet 2006; 368:379–385</w:t>
      </w:r>
    </w:p>
  </w:endnote>
  <w:endnote w:id="523">
    <w:p w14:paraId="220519E2"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John S, Griesbach D, Baumgärtel M, et al: Effects of continuous haemofiltration vs intermittent haemodialysis on systemic haemody namics and splanchnic regional perfusion in septic shock patients: a prospective, randomized clinical trial. Nephrol Dial Transplant 2001; 16:320–327</w:t>
      </w:r>
      <w:r w:rsidRPr="00D60A69" w:rsidDel="001A2A1C">
        <w:rPr>
          <w:rStyle w:val="Ohne"/>
          <w:lang w:val="en-US"/>
        </w:rPr>
        <w:t xml:space="preserve"> </w:t>
      </w:r>
    </w:p>
  </w:endnote>
  <w:endnote w:id="524">
    <w:p w14:paraId="04F0651B"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Misset B, Timsit JF, Chevret S, et al: A randomized cross-over comparison of the hemodynamic response to intermittent hemodialysis and continuous hemofiltration in ICU patients with acute renal failure. Intensive Care Med 1996; 22:742–746)</w:t>
      </w:r>
    </w:p>
  </w:endnote>
  <w:endnote w:id="525">
    <w:p w14:paraId="3D72D5A2"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Bellomo R, Cass A, Cole L, et al: Intensity of continuous renal replacement therapy in critically ill patients. N Engl J Med. 2009;361(17):1627–1638</w:t>
      </w:r>
    </w:p>
  </w:endnote>
  <w:endnote w:id="526">
    <w:p w14:paraId="797A897B"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Palevsky PM, Zhang JH, O’Connor TZ, et al: Intensity of renal sup port in critically ill patients with acute kidney injury. N Engl J Med. 2008;359(1):7–20</w:t>
      </w:r>
    </w:p>
  </w:endnote>
  <w:endnote w:id="527">
    <w:p w14:paraId="1A395450" w14:textId="0A937FC6" w:rsidR="00E15D93" w:rsidRDefault="00E15D93">
      <w:pPr>
        <w:pStyle w:val="Endnotentext"/>
      </w:pPr>
      <w:r>
        <w:rPr>
          <w:rStyle w:val="Endnotenzeichen"/>
        </w:rPr>
        <w:endnoteRef/>
      </w:r>
      <w:r>
        <w:t xml:space="preserve"> </w:t>
      </w:r>
      <w:r w:rsidRPr="00E15D93">
        <w:t>Bouman CS, Oudemans-Van Straaten HM, Tijssen JG, et al: Effects of early high-volume continuous venovenous hemofiltration on sur¬vival and recovery of renal function in intensive care patients with acute renal failure: a prospective, randomized trial. Crit Care Med 2002; 30:2205–2211</w:t>
      </w:r>
    </w:p>
  </w:endnote>
  <w:endnote w:id="528">
    <w:p w14:paraId="35766470" w14:textId="451BC7D3" w:rsidR="00EF1A9E" w:rsidRPr="00D60A69" w:rsidRDefault="00587AE4" w:rsidP="00801F84">
      <w:pPr>
        <w:pStyle w:val="Endnotentext"/>
        <w:rPr>
          <w:lang w:val="en-US"/>
        </w:rPr>
      </w:pPr>
      <w:r w:rsidRPr="00D60A69">
        <w:rPr>
          <w:rStyle w:val="Ohne"/>
        </w:rPr>
        <w:endnoteRef/>
      </w:r>
      <w:r w:rsidRPr="00D60A69">
        <w:rPr>
          <w:rStyle w:val="Ohne"/>
          <w:lang w:val="en-US"/>
        </w:rPr>
        <w:t xml:space="preserve"> Zarbock A, Kellum JA, Schmidt C, et al: Effect of Early vs Delayed Initiation of Renal Replacement Therapy on Mortality in Critically Ill Patients With Acute Kidney Injury: The ELAIN Randomized Clinical Trial. JAMA 2016; 315:2190–2199</w:t>
      </w:r>
      <w:r w:rsidRPr="00D60A69" w:rsidDel="001A2A1C">
        <w:rPr>
          <w:rStyle w:val="Ohne"/>
          <w:lang w:val="en-US"/>
        </w:rPr>
        <w:t xml:space="preserve"> </w:t>
      </w:r>
    </w:p>
  </w:endnote>
  <w:endnote w:id="529">
    <w:p w14:paraId="40BC3A96"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Gaudry S, Hajage D, Schortgen F, et al; AKIKI Study Group: Initiation Strategies for Renal-Replacement Therapy in the Intensive Care Unit. N Engl J Med 2016; 375:122–133</w:t>
      </w:r>
      <w:r w:rsidRPr="00D60A69" w:rsidDel="001A2A1C">
        <w:rPr>
          <w:rStyle w:val="Ohne"/>
          <w:lang w:val="en-US"/>
        </w:rPr>
        <w:t xml:space="preserve"> </w:t>
      </w:r>
    </w:p>
  </w:endnote>
  <w:endnote w:id="530">
    <w:p w14:paraId="10205148"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Cooper DJ, Walley KR, Wiggs BR, et al: Bicarbonate does not improve hemodynamics in critically ill patients who have lactic acidosis. A prospective, controlled clinical study. Ann Intern Med 1990; 112:492–498</w:t>
      </w:r>
    </w:p>
  </w:endnote>
  <w:endnote w:id="531">
    <w:p w14:paraId="7D0641A4" w14:textId="6E800AFD" w:rsidR="00EF1A9E" w:rsidRPr="00D60A69" w:rsidRDefault="00587AE4" w:rsidP="00801F84">
      <w:pPr>
        <w:pStyle w:val="Endnotentext"/>
        <w:rPr>
          <w:lang w:val="en-US"/>
        </w:rPr>
      </w:pPr>
      <w:r w:rsidRPr="00D60A69">
        <w:rPr>
          <w:rStyle w:val="Ohne"/>
        </w:rPr>
        <w:endnoteRef/>
      </w:r>
      <w:r w:rsidRPr="00D60A69">
        <w:rPr>
          <w:rStyle w:val="Ohne"/>
          <w:lang w:val="en-US"/>
        </w:rPr>
        <w:t xml:space="preserve"> Mathieu D, Neviere R, Billard V, et al: Effects of bicarbonate therapy on hemodynamics and tissue oxygenation in patients with lactic aci dosis: a prospective, controlled clinical study. Crit Care Med 1991; 19:1352–1356</w:t>
      </w:r>
    </w:p>
  </w:endnote>
  <w:endnote w:id="532">
    <w:p w14:paraId="61F26B56"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Cook D, Crowther M, Meade M, et al: Deep venous thrombosis in medical-surgical critically ill patients: prevalence, incidence, and risk factors. Crit Care Med 2005; 33:1565–1571</w:t>
      </w:r>
    </w:p>
  </w:endnote>
  <w:endnote w:id="533">
    <w:p w14:paraId="2C0C9A49"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Kahn SR, Lim W, Dunn AS, et al: Prevention of VTE in nonsurgical patients: Antithrombotic Therapy and Prevention of Thrombosis, 9th ed: American College of Chest Physicians evidence-based clinical practice guidelines. Chest. 2012;141(2 Suppl):e195S–e226S</w:t>
      </w:r>
    </w:p>
  </w:endnote>
  <w:endnote w:id="534">
    <w:p w14:paraId="7A87A667"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Alhazzani W, Lim W, Jaeschke RZ, et al: Heparin thromboprophy laxis in medical-surgical critically ill patients: a systematic review and meta-analysis of randomized trials. Crit Care Med 2013; 41:2088–2098</w:t>
      </w:r>
    </w:p>
  </w:endnote>
  <w:endnote w:id="535">
    <w:p w14:paraId="5E842B38" w14:textId="77777777" w:rsidR="00587AE4" w:rsidRPr="00D60A69" w:rsidRDefault="00587AE4" w:rsidP="00801F84">
      <w:pPr>
        <w:pStyle w:val="Endnotentext"/>
        <w:rPr>
          <w:lang w:val="fr-FR"/>
        </w:rPr>
      </w:pPr>
      <w:r w:rsidRPr="00D60A69">
        <w:rPr>
          <w:rStyle w:val="Endnotenzeichen"/>
          <w:vertAlign w:val="baseline"/>
        </w:rPr>
        <w:endnoteRef/>
      </w:r>
      <w:r w:rsidRPr="00D60A69">
        <w:rPr>
          <w:lang w:val="fr-FR"/>
        </w:rPr>
        <w:t xml:space="preserve"> Duranteau J et al., Eur J Anaesthesiol 2018; 35:142–146 / DOI:10.1097/EJA.0000000000000707</w:t>
      </w:r>
    </w:p>
  </w:endnote>
  <w:endnote w:id="536">
    <w:p w14:paraId="0F7ADDDC"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Levi M, Levy M, Williams MD, et al; Xigris and Prophylactic HepaRin Evaluation in Severe Sepsis (XPRESS) Study Group: Prophylactic heparin in patients with severe sepsis treated with drotrecogin alfa (activated). Am J Respir Crit Care Med 2007; 176:483–490</w:t>
      </w:r>
    </w:p>
  </w:endnote>
  <w:endnote w:id="537">
    <w:p w14:paraId="0422A2CC"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Beitland S, Sandven I, Kjærvik LK, et al: Thromboprophylaxis with low molecular weight heparin versus unfractionated heparin in inten sive care patients: a systematic review with meta-analysis and trial sequential analysis. Intensive Care Med 2015; 41:1209–1219</w:t>
      </w:r>
    </w:p>
  </w:endnote>
  <w:endnote w:id="538">
    <w:p w14:paraId="13AE1D22"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Junqueira DR, Perini E, Penholati RR, Carvalho MG: Unfractionated heparin versus low molecular weight heparin for avoiding heparin induced thrombocytopenia in postoperative patients. Cochrane Database Syst Rev. 2012(9):CD007557</w:t>
      </w:r>
    </w:p>
  </w:endnote>
  <w:endnote w:id="539">
    <w:p w14:paraId="19A06B75"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Phung OJ, Kahn SR, Cook DJ, et al: Dosing frequency of unfrac tionated heparin thromboprophylaxis: a meta-analysis. Chest 2011; 140:374–381</w:t>
      </w:r>
    </w:p>
  </w:endnote>
  <w:endnote w:id="540">
    <w:p w14:paraId="3A4733A2"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Mahan CE, Pini M, Spyropoulos AC: Venous thromboembolism prophylaxis with unfractionated heparin in the hospitalized medi cal patient: the case for thrice daily over twice daily dosing. Intern Emerg Med 2010; 5:299–306</w:t>
      </w:r>
    </w:p>
  </w:endnote>
  <w:endnote w:id="541">
    <w:p w14:paraId="5894964E"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Hull RD et al., N Engl J Med 1986; 315: 1109-14</w:t>
      </w:r>
    </w:p>
  </w:endnote>
  <w:endnote w:id="542">
    <w:p w14:paraId="575720FA"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Mayr AJ et al., Thromb Res 2002; 105; 201-4.</w:t>
      </w:r>
    </w:p>
  </w:endnote>
  <w:endnote w:id="543">
    <w:p w14:paraId="4498ED36"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Lim SY et al; J Korean Med Sci 2013; 28: 466-471 / http://dx.doi.org/10.3346/jkms.2013.28.3.466</w:t>
      </w:r>
    </w:p>
  </w:endnote>
  <w:endnote w:id="544">
    <w:p w14:paraId="39D11B04"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Jochberger S et al., Critical Care 2005, 9: R541-R548 / DOI 10.1186/cc3792 // Rommers MK et al., Critical Care 2006, 10:R93 / doi:10.1186/cc4952</w:t>
      </w:r>
    </w:p>
  </w:endnote>
  <w:endnote w:id="545">
    <w:p w14:paraId="26063F99"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Robinson S et al. Critical Care 2013, 17: R75 / https://doi.org/10.1186/cc12684</w:t>
      </w:r>
    </w:p>
  </w:endnote>
  <w:endnote w:id="546">
    <w:p w14:paraId="58C28D93"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Cook D, Crowther M, Meade M, et al: Deep venous thrombosis in medical-surgical critically ill patients: prevalence, incidence, and risk factors. Crit Care Med 2005; 33:1565–1571</w:t>
      </w:r>
    </w:p>
  </w:endnote>
  <w:endnote w:id="547">
    <w:p w14:paraId="3ABE14B3" w14:textId="77777777" w:rsidR="00587AE4" w:rsidRPr="00D60A69" w:rsidRDefault="00587AE4" w:rsidP="00801F84">
      <w:pPr>
        <w:pStyle w:val="Endnotentext"/>
      </w:pPr>
      <w:r w:rsidRPr="00D60A69">
        <w:rPr>
          <w:rStyle w:val="Endnotenzeichen"/>
          <w:vertAlign w:val="baseline"/>
        </w:rPr>
        <w:endnoteRef/>
      </w:r>
      <w:r w:rsidRPr="00D60A69">
        <w:t xml:space="preserve"> Lim W et al, Ann Intern Med. 2006;144:673–84.</w:t>
      </w:r>
    </w:p>
  </w:endnote>
  <w:endnote w:id="548">
    <w:p w14:paraId="292CD7C4" w14:textId="77777777" w:rsidR="00587AE4" w:rsidRPr="00D60A69" w:rsidRDefault="00587AE4" w:rsidP="00801F84">
      <w:pPr>
        <w:pStyle w:val="Endnotentext"/>
        <w:rPr>
          <w:lang w:val="fr-FR"/>
        </w:rPr>
      </w:pPr>
      <w:r w:rsidRPr="00D60A69">
        <w:rPr>
          <w:rStyle w:val="Endnotenzeichen"/>
          <w:vertAlign w:val="baseline"/>
        </w:rPr>
        <w:endnoteRef/>
      </w:r>
      <w:r w:rsidRPr="00D60A69">
        <w:rPr>
          <w:lang w:val="fr-FR"/>
        </w:rPr>
        <w:t xml:space="preserve"> Rabbat CG et al, J Crit Care 2005; 20: 357-63</w:t>
      </w:r>
    </w:p>
  </w:endnote>
  <w:endnote w:id="549">
    <w:p w14:paraId="385E51A5"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Douketis J, Cook D, Meade M, et al; Canadian Critical Care Trials Group: Prophylaxis against deep vein thrombosis in critically ill patients with severe renal insufficiency with the low-molecular-weight heparin dalteparin: an assessment of safety and pharmacodynamics: the DIRECT study. Arch Intern Med 2008; 168:1805–1812</w:t>
      </w:r>
    </w:p>
  </w:endnote>
  <w:endnote w:id="550">
    <w:p w14:paraId="66BD193E" w14:textId="31AD3E43" w:rsidR="00E15D93" w:rsidRPr="00D60A69" w:rsidRDefault="00587AE4" w:rsidP="00801F84">
      <w:pPr>
        <w:pStyle w:val="Endnotentext"/>
        <w:rPr>
          <w:lang w:val="en-US"/>
        </w:rPr>
      </w:pPr>
      <w:r w:rsidRPr="00D60A69">
        <w:rPr>
          <w:rStyle w:val="Ohne"/>
        </w:rPr>
        <w:endnoteRef/>
      </w:r>
      <w:r w:rsidRPr="00D60A69">
        <w:rPr>
          <w:rStyle w:val="Ohne"/>
          <w:lang w:val="en-US"/>
        </w:rPr>
        <w:t xml:space="preserve"> Cook D, Meade M, Guyatt G, et al: Dalteparin versus unfrac tionated heparin in critically ill patients. N Engl J Med. 2011;364(14):1305–1314</w:t>
      </w:r>
    </w:p>
  </w:endnote>
  <w:endnote w:id="551">
    <w:p w14:paraId="01347155" w14:textId="77777777" w:rsidR="00587AE4" w:rsidRPr="00D60A69" w:rsidRDefault="00587AE4" w:rsidP="00801F84">
      <w:pPr>
        <w:pStyle w:val="Endnotentext"/>
        <w:rPr>
          <w:lang w:val="fr-FR"/>
        </w:rPr>
      </w:pPr>
      <w:r w:rsidRPr="00D60A69">
        <w:rPr>
          <w:rStyle w:val="Ohne"/>
        </w:rPr>
        <w:endnoteRef/>
      </w:r>
      <w:r w:rsidRPr="00D60A69">
        <w:rPr>
          <w:rStyle w:val="Ohne"/>
          <w:lang w:val="en-US"/>
        </w:rPr>
        <w:t xml:space="preserve"> Fowler RA, Mittmann N, Geerts W, et al; Canadian Critical Care Trials Group; Australia and New Zealand Intensive Care Society Clinical Trials Group: Cost-effectiveness of dalteparin vs unfraction ated heparin for the prevention of venous thromboembolism in criti cally ill patients. </w:t>
      </w:r>
      <w:r w:rsidRPr="00D60A69">
        <w:rPr>
          <w:rStyle w:val="Ohne"/>
          <w:lang w:val="fr-FR"/>
        </w:rPr>
        <w:t>JAMA 2014; 312:2135–2145</w:t>
      </w:r>
    </w:p>
  </w:endnote>
  <w:endnote w:id="552">
    <w:p w14:paraId="53EC6CDF" w14:textId="77777777" w:rsidR="00587AE4" w:rsidRPr="00D60A69" w:rsidRDefault="00587AE4" w:rsidP="00801F84">
      <w:pPr>
        <w:pStyle w:val="Endnotentext"/>
        <w:rPr>
          <w:lang w:val="fr-FR"/>
        </w:rPr>
      </w:pPr>
      <w:r w:rsidRPr="00D60A69">
        <w:rPr>
          <w:rStyle w:val="Endnotenzeichen"/>
          <w:vertAlign w:val="baseline"/>
        </w:rPr>
        <w:endnoteRef/>
      </w:r>
      <w:r w:rsidRPr="00D60A69">
        <w:rPr>
          <w:lang w:val="fr-FR"/>
        </w:rPr>
        <w:t xml:space="preserve"> Duranteau J et al., Eur J Anaesthesiol 2018; 35:142–146 / DOI:10.1097/EJA.0000000000000707</w:t>
      </w:r>
    </w:p>
  </w:endnote>
  <w:endnote w:id="553">
    <w:p w14:paraId="30197A2F" w14:textId="77777777" w:rsidR="00587AE4" w:rsidRPr="00D60A69" w:rsidRDefault="00587AE4" w:rsidP="00801F84">
      <w:pPr>
        <w:pStyle w:val="Endnotentext"/>
      </w:pPr>
      <w:r w:rsidRPr="00D60A69">
        <w:rPr>
          <w:rStyle w:val="Endnotenzeichen"/>
          <w:vertAlign w:val="baseline"/>
        </w:rPr>
        <w:endnoteRef/>
      </w:r>
      <w:r w:rsidRPr="00D60A69">
        <w:rPr>
          <w:lang w:val="en-US"/>
        </w:rPr>
        <w:t xml:space="preserve"> Leitlinie „Prophylaxe der venösen Thromboembolie (VTE)“ (AWMF-Leitlinien Register-Nr. </w:t>
      </w:r>
      <w:r w:rsidRPr="00D60A69">
        <w:t>003/001)</w:t>
      </w:r>
    </w:p>
  </w:endnote>
  <w:endnote w:id="554">
    <w:p w14:paraId="5C7133D7"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Kakkos SK, Caprini JA, Geroulakos G, Nicolaides AN, Stansby GP, Reddy DJ: Combined intermittent pneumatic leg compression and pharmacological prophylaxis for prevention of venous throm boembolism in high-risk patients. Cochrane Database Syst Rev. 2008;(4):CD005258</w:t>
      </w:r>
    </w:p>
  </w:endnote>
  <w:endnote w:id="555">
    <w:p w14:paraId="7DDEA5FB"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Kakkos SK et al., Cochrane Database of Systematic Reviews 2016, Issue 9. Art. No.: CD005258</w:t>
      </w:r>
    </w:p>
  </w:endnote>
  <w:endnote w:id="556">
    <w:p w14:paraId="61927715"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Falck-Ytter Y, Francis CW, Johanson NA, et al: Prevention of VTE in orthopedic surgery patients: Antithrombotic Therapy and Prevention of Thrombosis, 9th ed: American College of Chest Physicians evidence-based clinical practice guidelines. Chest. 2012;141(2 Suppl):e278S–e325S</w:t>
      </w:r>
    </w:p>
  </w:endnote>
  <w:endnote w:id="557">
    <w:p w14:paraId="4AEF45DB"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Gould MK, Garcia DA, Wren SM, et al: Prevention of VTE in nonorthopedic surgical patients: Antithrombotic Therapy and Prevention of Thrombosis, 9th ed: American College of Chest Physicians Evidence-Based Clinical Practice Guidelines. Chest. 2012;141(2 Suppl):e227S–e277S</w:t>
      </w:r>
    </w:p>
  </w:endnote>
  <w:endnote w:id="558">
    <w:p w14:paraId="5857CB9B"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Arabi YM et al., Trials 2018; 19:182 + Arabi YM et al., N Engl J Med 2019; Feb 18. doi: 10.1056/NEJMoa1816150</w:t>
      </w:r>
    </w:p>
  </w:endnote>
  <w:endnote w:id="559">
    <w:p w14:paraId="3B2AEC79" w14:textId="77777777" w:rsidR="00587AE4" w:rsidRPr="00D60A69" w:rsidRDefault="00587AE4" w:rsidP="00801F84">
      <w:pPr>
        <w:pStyle w:val="Endnotentext"/>
        <w:rPr>
          <w:lang w:val="en-US"/>
        </w:rPr>
      </w:pPr>
      <w:r w:rsidRPr="00D60A69">
        <w:endnoteRef/>
      </w:r>
      <w:r w:rsidRPr="00D60A69">
        <w:rPr>
          <w:lang w:val="en-US"/>
        </w:rPr>
        <w:t xml:space="preserve"> Arabi YM, Alsolamy S, Al-Dawood A, et al: Thromboprophylaxis using combined intermittent pneumatic compression and</w:t>
      </w:r>
      <w:r w:rsidRPr="00D60A69">
        <w:rPr>
          <w:rStyle w:val="Ohne"/>
          <w:lang w:val="en-US"/>
        </w:rPr>
        <w:t xml:space="preserve"> pharmaco logic prophylaxis versus pharmacologic prophylaxis alone in critically ill patients: study protocol for a randomized controlled trial. Trials 2016; 17:390</w:t>
      </w:r>
    </w:p>
  </w:endnote>
  <w:endnote w:id="560">
    <w:p w14:paraId="78BEBEC3"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Pavon JM, Adam SS, Razouki ZA, et al: Effectiveness of Intermittent Pneumatic Compression Devices for Venous Thromboembolism Prophylaxis in High-Risk Surgical Patients: A Systematic Review. J Arthroplasty 2016; 31:524–532</w:t>
      </w:r>
    </w:p>
  </w:endnote>
  <w:endnote w:id="561">
    <w:p w14:paraId="48A932C1"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Sachdeva A, Dalton M, Amaragiri SV, Lees T: Graduated compression stockings for prevention of deep vein thrombosis. Cochrane Database Syst Rev. 2014(12):CD001484</w:t>
      </w:r>
    </w:p>
  </w:endnote>
  <w:endnote w:id="562">
    <w:p w14:paraId="1E0CEFF4"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Arabi YM, Khedr M, Dara SI, et al: Use of intermittent pneumatic compression and not graduated compression stockings is associated with lower incident VTE in critically ill patients: a multiple propensity scores adjusted analysis. Chest 2013; 144:152–159</w:t>
      </w:r>
    </w:p>
  </w:endnote>
  <w:endnote w:id="563">
    <w:p w14:paraId="715E354F"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Cook DJ, Griffith LE, Walter SD, et al; Canadian Critical Care Trials Group: The attributable mortality and length of intensive care unit stay of clinically important gastrointestinal bleeding in critically ill patients. Crit Care 2001; 5:368–375</w:t>
      </w:r>
    </w:p>
  </w:endnote>
  <w:endnote w:id="564">
    <w:p w14:paraId="0256F266" w14:textId="3081C04A" w:rsidR="00EF1A9E" w:rsidRPr="00D60A69" w:rsidRDefault="00587AE4" w:rsidP="00801F84">
      <w:pPr>
        <w:pStyle w:val="Endnotentext"/>
        <w:rPr>
          <w:lang w:val="en-US"/>
        </w:rPr>
      </w:pPr>
      <w:r w:rsidRPr="00D60A69">
        <w:rPr>
          <w:rStyle w:val="Ohne"/>
        </w:rPr>
        <w:endnoteRef/>
      </w:r>
      <w:r w:rsidRPr="00D60A69">
        <w:rPr>
          <w:rStyle w:val="Ohne"/>
          <w:lang w:val="en-US"/>
        </w:rPr>
        <w:t xml:space="preserve"> Bardou M, Quenot JP, Barkun A: Stress-related mucosal disease in the critically ill patient. Nat Rev Gastroenterol Hepatol 2015; 12:98–107</w:t>
      </w:r>
    </w:p>
  </w:endnote>
  <w:endnote w:id="565">
    <w:p w14:paraId="3E008B71"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Cook DJ, Fuller HD, Guyatt GH, et al: Risk factors for gastrointes tinal bleeding in critically ill patients. Canadian Critical Care Trials Group. N Engl J Med 1994; 330:377–381</w:t>
      </w:r>
    </w:p>
  </w:endnote>
  <w:endnote w:id="566">
    <w:p w14:paraId="35F240C6"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Krag M, Perner A, Wetterslev J, et al; SUP-ICU co-authors: Prevalence and outcome of gastrointestinal bleeding and use of acid suppressants in acutely ill adult intensive care patients. Intensive Care Med 2015; 41:833–845</w:t>
      </w:r>
    </w:p>
  </w:endnote>
  <w:endnote w:id="567">
    <w:p w14:paraId="3B1D0747"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Andersson B, Nilsson J, Brandt J, et al: Gastrointestinal complica tions after cardiac surgery. Br J Surg 2005; 92:326–333</w:t>
      </w:r>
    </w:p>
  </w:endnote>
  <w:endnote w:id="568">
    <w:p w14:paraId="63ACFFCA"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w:t>
      </w:r>
      <w:r w:rsidRPr="00D60A69">
        <w:rPr>
          <w:lang w:val="en-US"/>
        </w:rPr>
        <w:t>Bruno JJ, Canada TW, Wakefield CD, et al: Stress-related mucosal bleeding in critically ill oncology patients. J Oncol Pharm Pract 2009; 15:9–16</w:t>
      </w:r>
    </w:p>
  </w:endnote>
  <w:endnote w:id="569">
    <w:p w14:paraId="7EDDCFC8"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w:t>
      </w:r>
      <w:r w:rsidRPr="00D60A69">
        <w:rPr>
          <w:lang w:val="en-US"/>
        </w:rPr>
        <w:t>D’Ancona G, Baillot R, Poirier B, et al: Determinants of gastrointestinal complications in cardiac surgery. Tex Heart Inst J 2003; 30:280–285</w:t>
      </w:r>
    </w:p>
  </w:endnote>
  <w:endnote w:id="570">
    <w:p w14:paraId="1E791EF9"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Faisy C, Guerot E, Diehl JL, et al: Clinically significant gastrointes tinal bleeding in critically ill patients with and without stress-ulcer prophylaxis. Intensive Care Med 2003; 29:1306–1313</w:t>
      </w:r>
    </w:p>
  </w:endnote>
  <w:endnote w:id="571">
    <w:p w14:paraId="27A5FEEA"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Krag M, Perner A, Wetterslev J, et al: Stress ulcer prophylaxis versus placebo or no prophylaxis in critically ill patients. A systematic review of randomised clinical trials with meta-analysis and trial sequential analysis. Intensive Care Med 2014; 40:11–22</w:t>
      </w:r>
    </w:p>
  </w:endnote>
  <w:endnote w:id="572">
    <w:p w14:paraId="46237DE9"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Sasabuchi Y, Matsui H, Lefor AK, et al: Risks and Benefits of Stress Ulcer Prophylaxis for Patients With Severe Sepsis. Crit Care Med 2016; 44:e464–e469</w:t>
      </w:r>
    </w:p>
  </w:endnote>
  <w:endnote w:id="573">
    <w:p w14:paraId="490C3912"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Eastwood GM, Litton E, Bellomo R, et al: Opinions and practice of stress ulcer prophylaxis in Australian and New Zealand intensive care units. Crit Care Resusc 2014; 16:170–174;</w:t>
      </w:r>
    </w:p>
  </w:endnote>
  <w:endnote w:id="574">
    <w:p w14:paraId="2562417B"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Preslaski CR, Mueller SW, Kiser TH, et al: A survey of prescriber perceptions about the prevention of stress-related mucosal bleeding in the intensive care unit. J Clin Pharm Ther 2014; 39:658–662</w:t>
      </w:r>
    </w:p>
  </w:endnote>
  <w:endnote w:id="575">
    <w:p w14:paraId="4576E320"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Shears M, Alhazzani W, Marshall JC, et al: Stress ulcer prophy laxis in critical illness: a Canadian survey. Can J Anaesth 2016; 63:718–724</w:t>
      </w:r>
    </w:p>
  </w:endnote>
  <w:endnote w:id="576">
    <w:p w14:paraId="7CF41B7D"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Alshamsi F, Belley-Cote E, Cook D, et al: Efficacy and safety of proton pump inhibitors for stress ulcer prophylaxis in critically ill patients: a systematic review and meta-analysis of randomized trials. Crit Care 2016; 20:120</w:t>
      </w:r>
    </w:p>
  </w:endnote>
  <w:endnote w:id="577">
    <w:p w14:paraId="20B860CE"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Alhazzani W, Alenezi F, Jaeschke RZ, et al: Proton pump inhibitors versus histamine 2 receptor antagonists for stress ulcer prophylaxis in critically ill patients: a systematic review and meta-analysis. Crit Care Med 2013; 41:693–705</w:t>
      </w:r>
    </w:p>
  </w:endnote>
  <w:endnote w:id="578">
    <w:p w14:paraId="5C668F28"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Barkun AN, Bardou M, Pham CQ, Martel M: Proton pump inhibi tors vs. histamine 2 receptor antagonists for stress-related mucosal bleeding prophylaxis in critically ill patients: a meta-analysis. Am J Gastroenterol. 2012;107(4):507–520; quiz 21</w:t>
      </w:r>
    </w:p>
  </w:endnote>
  <w:endnote w:id="579">
    <w:p w14:paraId="658EE6F1"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Alhazzani et al. Intensive Care Med. 2018 Jan;44(1):1-11</w:t>
      </w:r>
    </w:p>
  </w:endnote>
  <w:endnote w:id="580">
    <w:p w14:paraId="363E9D98"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Barkun AN, Adam V, Martel M, et al: Cost-effectiveness analysis: stress ulcer bleeding prophylaxis with proton pump inhibitors, H2 receptor antagonists. Value Health 2013; 16:14–22</w:t>
      </w:r>
    </w:p>
  </w:endnote>
  <w:endnote w:id="581">
    <w:p w14:paraId="1B30953B"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MacLaren R, Campbell J: Cost-effectiveness of histamine receptor-2 antagonist versus proton pump inhibitor for stress ulcer prophylaxis in critically ill patients*. Crit Care Med 2014; 42:809–815</w:t>
      </w:r>
    </w:p>
  </w:endnote>
  <w:endnote w:id="582">
    <w:p w14:paraId="31D9B713"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Alhazzani W. et al. Crit Care Med. 2017 Jul;45(7):1121-1129</w:t>
      </w:r>
    </w:p>
  </w:endnote>
  <w:endnote w:id="583">
    <w:p w14:paraId="0851280D"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Selvanderan et al. Crit Care Med 2016;44(10):1842-50</w:t>
      </w:r>
    </w:p>
  </w:endnote>
  <w:endnote w:id="584">
    <w:p w14:paraId="2C7A2D87" w14:textId="77777777" w:rsidR="00587AE4" w:rsidRPr="00D60A69" w:rsidRDefault="00587AE4" w:rsidP="00801F84">
      <w:pPr>
        <w:pStyle w:val="Endnotentext"/>
      </w:pPr>
      <w:r w:rsidRPr="00D60A69">
        <w:endnoteRef/>
      </w:r>
      <w:r w:rsidRPr="00D60A69">
        <w:t xml:space="preserve"> Krag et al. NEJM 2018 379(23):2199-2208</w:t>
      </w:r>
    </w:p>
  </w:endnote>
  <w:endnote w:id="585">
    <w:p w14:paraId="66314D5C" w14:textId="77777777" w:rsidR="00587AE4" w:rsidRPr="00D60A69" w:rsidRDefault="00587AE4" w:rsidP="00801F84">
      <w:pPr>
        <w:pStyle w:val="Endnotentext"/>
      </w:pPr>
      <w:r w:rsidRPr="00D60A69">
        <w:endnoteRef/>
      </w:r>
      <w:r w:rsidRPr="00D60A69">
        <w:t xml:space="preserve"> Hartl et al, Aktuel Ernahrmed 2013; 38: e90-100</w:t>
      </w:r>
    </w:p>
  </w:endnote>
  <w:endnote w:id="586">
    <w:p w14:paraId="0C71C0E8" w14:textId="77777777" w:rsidR="00587AE4" w:rsidRPr="00D60A69" w:rsidRDefault="00587AE4" w:rsidP="00801F84">
      <w:pPr>
        <w:pStyle w:val="Endnotentext"/>
        <w:rPr>
          <w:lang w:val="en-US"/>
        </w:rPr>
      </w:pPr>
      <w:r w:rsidRPr="00D60A69">
        <w:endnoteRef/>
      </w:r>
      <w:r w:rsidRPr="00D60A69">
        <w:t xml:space="preserve"> Elke G, Hartl WH, Kreymann KG, Adolph M, 0Felbinger TW, Graf T, de Heer G, Heller AR, Kampa U, Mayer K0, Muhl E1, Niemann B2, Rümelin A3, Steiner S, Stoppe C, Weimann A, Bischoff SC DGEM Leitlinie Klinische Ernährung in der Intensivmedizin. </w:t>
      </w:r>
      <w:r w:rsidRPr="00D60A69">
        <w:rPr>
          <w:lang w:val="en-US"/>
        </w:rPr>
        <w:t>Aktuel Ernahrungsmed 2018; 43: 341-408</w:t>
      </w:r>
    </w:p>
  </w:endnote>
  <w:endnote w:id="587">
    <w:p w14:paraId="030228C6" w14:textId="77777777" w:rsidR="00587AE4" w:rsidRPr="00D60A69" w:rsidRDefault="00587AE4" w:rsidP="00801F84">
      <w:pPr>
        <w:pStyle w:val="Endnotentext"/>
      </w:pPr>
      <w:r w:rsidRPr="00D60A69">
        <w:endnoteRef/>
      </w:r>
      <w:r w:rsidRPr="00D60A69">
        <w:rPr>
          <w:lang w:val="en-US"/>
        </w:rPr>
        <w:t xml:space="preserve"> Reintam Blaser A, Berger MM Early or late feeding after ICU admission?   </w:t>
      </w:r>
      <w:r w:rsidRPr="00D60A69">
        <w:t>Nutrients 2017 Nov 23;9(12). pii: E1278. doi: 10.3390/nu9121278</w:t>
      </w:r>
    </w:p>
  </w:endnote>
  <w:endnote w:id="588">
    <w:p w14:paraId="04E2F904" w14:textId="77777777" w:rsidR="00587AE4" w:rsidRPr="00D60A69" w:rsidRDefault="00587AE4" w:rsidP="00801F84">
      <w:pPr>
        <w:pStyle w:val="Endnotentext"/>
        <w:rPr>
          <w:lang w:val="en-US"/>
        </w:rPr>
      </w:pPr>
      <w:r w:rsidRPr="00D60A69">
        <w:endnoteRef/>
      </w:r>
      <w:r w:rsidRPr="00D60A69">
        <w:t xml:space="preserve"> Singer P, Reintam Blaser A,  Berger MM. Alhazzani W, Calder P,  Casaer M,  Hiesmayr M, Mayer K,  Montejo JC,  Pichard  C,  Preiser JC,  van Zanten ARH, Oczkowski S, Szczeklik  W,  Bischoff SC ESPEN Guideline Clinical nutrition in the intensive care unit. </w:t>
      </w:r>
      <w:r w:rsidRPr="00D60A69">
        <w:rPr>
          <w:lang w:val="en-US"/>
        </w:rPr>
        <w:t>Clin Nutr 2018</w:t>
      </w:r>
    </w:p>
  </w:endnote>
  <w:endnote w:id="589">
    <w:p w14:paraId="1277D411" w14:textId="77777777" w:rsidR="00587AE4" w:rsidRPr="00D60A69" w:rsidRDefault="00587AE4" w:rsidP="00801F84">
      <w:pPr>
        <w:pStyle w:val="Endnotentext"/>
        <w:rPr>
          <w:lang w:val="en-US"/>
        </w:rPr>
      </w:pPr>
      <w:r w:rsidRPr="00D60A69">
        <w:endnoteRef/>
      </w:r>
      <w:r w:rsidRPr="00D60A69">
        <w:rPr>
          <w:lang w:val="en-US"/>
        </w:rPr>
        <w:t xml:space="preserve"> Weimann A, Felbinger T Gastrointestinal dysmotility in the critically ill – a role for nutrition. Curr Opin Clin Nutr Metab 2016;  19: 353-359</w:t>
      </w:r>
    </w:p>
  </w:endnote>
  <w:endnote w:id="590">
    <w:p w14:paraId="57935552" w14:textId="43655157" w:rsidR="00D60A69" w:rsidRPr="00D60A69" w:rsidRDefault="00D60A69">
      <w:pPr>
        <w:pStyle w:val="Endnotentext"/>
      </w:pPr>
      <w:r w:rsidRPr="00D60A69">
        <w:rPr>
          <w:rStyle w:val="Endnotenzeichen"/>
        </w:rPr>
        <w:endnoteRef/>
      </w:r>
      <w:r w:rsidRPr="00D60A69">
        <w:t xml:space="preserve"> Borzotta AP, Pennings J, Papasadero B, et al: Enteral versus parenteral nutrition after severe closed head injury. J Trauma 1994; 37:459–468</w:t>
      </w:r>
    </w:p>
  </w:endnote>
  <w:endnote w:id="591">
    <w:p w14:paraId="6F82CDAA" w14:textId="271E8040" w:rsidR="00587AE4" w:rsidRPr="00D60A69" w:rsidRDefault="00587AE4" w:rsidP="00801F84">
      <w:pPr>
        <w:pStyle w:val="Endnotentext"/>
        <w:rPr>
          <w:lang w:val="en-US"/>
        </w:rPr>
      </w:pPr>
      <w:r w:rsidRPr="00D60A69">
        <w:rPr>
          <w:rStyle w:val="Ohne"/>
        </w:rPr>
        <w:endnoteRef/>
      </w:r>
      <w:r w:rsidRPr="00D60A69">
        <w:rPr>
          <w:rStyle w:val="Ohne"/>
          <w:lang w:val="en-US"/>
        </w:rPr>
        <w:t xml:space="preserve"> </w:t>
      </w:r>
      <w:r w:rsidRPr="00D60A69">
        <w:rPr>
          <w:lang w:val="en-US"/>
        </w:rPr>
        <w:t>Adams S, Dellinger EP, Wertz MJ, et al: Enteral versus parenteral nutritional support following laparotomy for trauma: a randomized prospective trial. J Trauma 1986; 26:882–891</w:t>
      </w:r>
    </w:p>
  </w:endnote>
  <w:endnote w:id="592">
    <w:p w14:paraId="0207D9E3" w14:textId="2292F8CF" w:rsidR="00D60A69" w:rsidRPr="00D60A69" w:rsidRDefault="00D60A69">
      <w:pPr>
        <w:pStyle w:val="Endnotentext"/>
      </w:pPr>
      <w:r w:rsidRPr="00D60A69">
        <w:rPr>
          <w:rStyle w:val="Endnotenzeichen"/>
        </w:rPr>
        <w:endnoteRef/>
      </w:r>
      <w:r w:rsidRPr="00D60A69">
        <w:t xml:space="preserve"> Dunham CM, Frankenfield D, Belzberg H, et al: Gut failure–predictor of or contributor to mortality in mechanically ventilated blunt trauma patients? J Trauma 1994; 37:30–34</w:t>
      </w:r>
    </w:p>
  </w:endnote>
  <w:endnote w:id="593">
    <w:p w14:paraId="38A61E11" w14:textId="4174DC6B" w:rsidR="00D60A69" w:rsidRPr="00D60A69" w:rsidRDefault="00D60A69">
      <w:pPr>
        <w:pStyle w:val="Endnotentext"/>
      </w:pPr>
      <w:r w:rsidRPr="00D60A69">
        <w:rPr>
          <w:rStyle w:val="Endnotenzeichen"/>
        </w:rPr>
        <w:endnoteRef/>
      </w:r>
      <w:r w:rsidRPr="00D60A69">
        <w:t xml:space="preserve"> Harvey SE, Parrott F, Harrison DA, et al; CALORIES Trial Investigators: Trial of the route of early nutritional support in critically ill adults. N Engl J Med 2014; 371:1673–1684</w:t>
      </w:r>
    </w:p>
  </w:endnote>
  <w:endnote w:id="594">
    <w:p w14:paraId="16E4423A" w14:textId="15C520E0" w:rsidR="00EF1A9E" w:rsidRPr="00D60A69" w:rsidRDefault="00D60A69">
      <w:pPr>
        <w:pStyle w:val="Endnotentext"/>
      </w:pPr>
      <w:r w:rsidRPr="00D60A69">
        <w:rPr>
          <w:rStyle w:val="Endnotenzeichen"/>
        </w:rPr>
        <w:endnoteRef/>
      </w:r>
      <w:r w:rsidRPr="00D60A69">
        <w:t xml:space="preserve"> Justo Meirelles CM, de Aguilar-Nascimento JE: Enteral or parenteral nutrition in traumatic brain injury: a prospective randomised trial. Nutr Hosp 2011; 26:1120–1124</w:t>
      </w:r>
    </w:p>
  </w:endnote>
  <w:endnote w:id="595">
    <w:p w14:paraId="5539A537" w14:textId="20852562" w:rsidR="00D60A69" w:rsidRPr="00D60A69" w:rsidRDefault="00D60A69">
      <w:pPr>
        <w:pStyle w:val="Endnotentext"/>
      </w:pPr>
      <w:r w:rsidRPr="00D60A69">
        <w:rPr>
          <w:rStyle w:val="Endnotenzeichen"/>
        </w:rPr>
        <w:endnoteRef/>
      </w:r>
      <w:r w:rsidRPr="00D60A69">
        <w:t xml:space="preserve"> Kalfarentzos F, Kehagias J, Mead N, et al: Enteral nutrition is superior to parenteral nutrition in severe acute pancreatitis: results of a randomized prospective trial. Br J Surg 1997; 84:1665–1669</w:t>
      </w:r>
    </w:p>
  </w:endnote>
  <w:endnote w:id="596">
    <w:p w14:paraId="2DEB251B" w14:textId="3FB669D8" w:rsidR="00D60A69" w:rsidRPr="00D60A69" w:rsidRDefault="00D60A69">
      <w:pPr>
        <w:pStyle w:val="Endnotentext"/>
      </w:pPr>
      <w:r w:rsidRPr="00D60A69">
        <w:rPr>
          <w:rStyle w:val="Endnotenzeichen"/>
        </w:rPr>
        <w:endnoteRef/>
      </w:r>
      <w:r w:rsidRPr="00D60A69">
        <w:t xml:space="preserve"> Moore FA, Moore EE, Jones TN, McCroskey BL, Peterson VM: TEN versus TPN following major abdominal trauma—reduced septic morbidity. J Trauma. 1989;29(7):916–922; discussion 22–23</w:t>
      </w:r>
    </w:p>
  </w:endnote>
  <w:endnote w:id="597">
    <w:p w14:paraId="69E7AD52" w14:textId="096E631C" w:rsidR="00D60A69" w:rsidRPr="00D60A69" w:rsidRDefault="00D60A69">
      <w:pPr>
        <w:pStyle w:val="Endnotentext"/>
      </w:pPr>
      <w:r w:rsidRPr="00D60A69">
        <w:rPr>
          <w:rStyle w:val="Endnotenzeichen"/>
        </w:rPr>
        <w:endnoteRef/>
      </w:r>
      <w:r w:rsidRPr="00D60A69">
        <w:t xml:space="preserve"> Peterson VM, Moore EE, Jones TN, et al: Total enteral nutrition versus total parenteral nutrition after major torso injury: attenuation of hepatic protein reprioritization. Surgery 1988; 104:199–207</w:t>
      </w:r>
    </w:p>
  </w:endnote>
  <w:endnote w:id="598">
    <w:p w14:paraId="6E2ACA12" w14:textId="4C16FA75" w:rsidR="00D60A69" w:rsidRPr="00D60A69" w:rsidRDefault="00D60A69">
      <w:pPr>
        <w:pStyle w:val="Endnotentext"/>
      </w:pPr>
      <w:r w:rsidRPr="00D60A69">
        <w:rPr>
          <w:rStyle w:val="Endnotenzeichen"/>
        </w:rPr>
        <w:endnoteRef/>
      </w:r>
      <w:r w:rsidRPr="00D60A69">
        <w:t xml:space="preserve"> Sun JK, Mu XW, Li WQ, et al: Effects of early enteral nutrition on immune function of severe acute pancreatitis patients. World J Gastroenterol 2013; 19:917–922</w:t>
      </w:r>
    </w:p>
  </w:endnote>
  <w:endnote w:id="599">
    <w:p w14:paraId="4D968FC7" w14:textId="5A592903" w:rsidR="00D60A69" w:rsidRPr="00D60A69" w:rsidRDefault="00D60A69">
      <w:pPr>
        <w:pStyle w:val="Endnotentext"/>
      </w:pPr>
      <w:r w:rsidRPr="00D60A69">
        <w:rPr>
          <w:rStyle w:val="Endnotenzeichen"/>
        </w:rPr>
        <w:endnoteRef/>
      </w:r>
      <w:r w:rsidRPr="00D60A69">
        <w:t xml:space="preserve"> Wang G, Wen J, Xu L, et al: Effect of enteral nutrition and ecoim-munonutrition on bacterial translocation and cytokine production in patients with severe acute pancreatitis. J Surg Res 2013; 183:592–597</w:t>
      </w:r>
    </w:p>
  </w:endnote>
  <w:endnote w:id="600">
    <w:p w14:paraId="716114DE" w14:textId="77777777" w:rsidR="00E15D93" w:rsidRPr="00D60A69" w:rsidRDefault="00E15D93" w:rsidP="00E15D93">
      <w:pPr>
        <w:pStyle w:val="Endnotentext"/>
        <w:rPr>
          <w:lang w:val="en-US"/>
        </w:rPr>
      </w:pPr>
      <w:r w:rsidRPr="00D60A69">
        <w:rPr>
          <w:rStyle w:val="Endnotenzeichen"/>
          <w:vertAlign w:val="baseline"/>
        </w:rPr>
        <w:endnoteRef/>
      </w:r>
      <w:r w:rsidRPr="00D60A69">
        <w:rPr>
          <w:lang w:val="en-US"/>
        </w:rPr>
        <w:t xml:space="preserve"> Lewis SR, Schofield-Robinson OJ, Alderspn P, Smith AF Enteral versus parenteral nutrition and enteral versus a combination of enteral and parenteral nutrition for adults in the intensive care unit. Cochrane Database Syst Rev 2018; Jun 8; 6: CDO12278. Doi: 10: 1002/14651858 CD012276.pub2</w:t>
      </w:r>
    </w:p>
  </w:endnote>
  <w:endnote w:id="601">
    <w:p w14:paraId="3B8D4E66"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w:t>
      </w:r>
      <w:r w:rsidRPr="00D60A69">
        <w:rPr>
          <w:lang w:val="en-US"/>
        </w:rPr>
        <w:t>Harvey SE, Parrott F, Harrison DA, et al: A multicentre, randomised controlled trial comparing the clinical effectiveness and cost-effectiveness of early nutritional support via the parenteral versus the enteral route in critically ill patients (CALORIES). Health Technol Assess 2016; 20:1–144</w:t>
      </w:r>
    </w:p>
  </w:endnote>
  <w:endnote w:id="602">
    <w:p w14:paraId="370562F1"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w:t>
      </w:r>
      <w:r w:rsidRPr="00D60A69">
        <w:rPr>
          <w:lang w:val="en-US"/>
        </w:rPr>
        <w:t>Elke G, van Zanten AR, Lermieux M, McCall M, Jeejeebhoy KN, Kott M, Jiang X, Day AG, Heyland DK Enteral versus parenteral nutrition in critically ill patients : an updated systematic review and meta-analysis of randomized controlled trials . Crit Care 2016; 20 (1) 117 doi: 10.1186/s13054-016-1298-1l</w:t>
      </w:r>
    </w:p>
  </w:endnote>
  <w:endnote w:id="603">
    <w:p w14:paraId="3E60A17B" w14:textId="1A1F1C52" w:rsidR="00EF1A9E" w:rsidRPr="00D60A69" w:rsidRDefault="00587AE4" w:rsidP="00801F84">
      <w:pPr>
        <w:pStyle w:val="Endnotentext"/>
        <w:rPr>
          <w:lang w:val="en-US"/>
        </w:rPr>
      </w:pPr>
      <w:r w:rsidRPr="00D60A69">
        <w:rPr>
          <w:rStyle w:val="Endnotenzeichen"/>
          <w:vertAlign w:val="baseline"/>
        </w:rPr>
        <w:endnoteRef/>
      </w:r>
      <w:r w:rsidRPr="00D60A69">
        <w:rPr>
          <w:lang w:val="en-US"/>
        </w:rPr>
        <w:t xml:space="preserve"> Tian F, Wang X, Gao X, Wan X, Wu C, Zhang L, Li N, Li J Effect of initial caloric intake via enteral nutrition in critical illness: a meta-analysis of randomised controlled trials. Crit Care 2015; 19: 180. </w:t>
      </w:r>
    </w:p>
  </w:endnote>
  <w:endnote w:id="604">
    <w:p w14:paraId="4A22B4A9"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Zhang G, Zhang K, Cui W, Hong Y, Zhang Z The effect of enteral versus parenteral nutrition for critically ill patients: a systematic review and metaanalysis. J Clin Anesth 2018; 51: 62-92 </w:t>
      </w:r>
    </w:p>
  </w:endnote>
  <w:endnote w:id="605">
    <w:p w14:paraId="3079A58A"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Reignier J, Boisramé-Helms J, Brisard L, Lascarrou JB, Ait Hssain A, Anguel N, Argaud L, Asehnoune K, Asfar P, Bellec F, Botoc V, Bretagnol A, Bui HN, Canet E, Da Silva D, Darmon M, Das V, Devaquet J, Djibre M, Ganster F, Garrouste-Orgeas M, Gaudry S, Gontier O, Guérin C, Guidet B, Guitton C, Herbrecht JE, Lacherade JC, Letocart P, Martino F, Maxime V, Mercier E, Mira JP, Nseir S, Piton G, Quenot JP, Richecoeur J, Rigaud JP, Robert R, Rolin N, Schwebel C, Sirodot M, Tinturier F, Thévenin D, Giraudeau B, Le Gouge AEnteral versus parenteral early nutrition in ventilated adults with shock: a randomised, controlled, multicentre, open-label, parallel-group study (NUTRIREA-2). NUTRIREA-2 Trial Investigators; Clinical Research in Intensive Care and Sepsis (CRICS) group. Lancet. 2018 Jan 13;391(10116):133-143. doi: 10.1016/S0140-6736(17)32146-3. Epub 2017 Nov 8#</w:t>
      </w:r>
    </w:p>
  </w:endnote>
  <w:endnote w:id="606">
    <w:p w14:paraId="06C701AF" w14:textId="77777777" w:rsidR="00587AE4" w:rsidRPr="00D60A69" w:rsidRDefault="00587AE4" w:rsidP="00801F84">
      <w:pPr>
        <w:pStyle w:val="Endnotentext"/>
      </w:pPr>
      <w:r w:rsidRPr="00D60A69">
        <w:rPr>
          <w:rStyle w:val="Endnotenzeichen"/>
          <w:vertAlign w:val="baseline"/>
        </w:rPr>
        <w:endnoteRef/>
      </w:r>
      <w:r w:rsidRPr="00D60A69">
        <w:t xml:space="preserve"> Adams S J Trauma 1986, Borzotta AP J Trauma 1994, Kalfarentzos F Br J Surg 1997, Harvey SE Health Technol Assess 2016</w:t>
      </w:r>
    </w:p>
  </w:endnote>
  <w:endnote w:id="607">
    <w:p w14:paraId="1B984D33"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w:t>
      </w:r>
      <w:r w:rsidRPr="00D60A69">
        <w:rPr>
          <w:lang w:val="en-US"/>
        </w:rPr>
        <w:t>Kudsk KA: Current aspects of mucosal immunology and its influence by nutrition. Am J Surg 2002; 183:390–398</w:t>
      </w:r>
    </w:p>
  </w:endnote>
  <w:endnote w:id="608">
    <w:p w14:paraId="44331D30" w14:textId="60869A07" w:rsidR="00D60A69" w:rsidRPr="00D60A69" w:rsidRDefault="00D60A69">
      <w:pPr>
        <w:pStyle w:val="Endnotentext"/>
      </w:pPr>
      <w:r w:rsidRPr="00D60A69">
        <w:rPr>
          <w:rStyle w:val="Endnotenzeichen"/>
        </w:rPr>
        <w:endnoteRef/>
      </w:r>
      <w:r w:rsidRPr="00D60A69">
        <w:t xml:space="preserve"> Eyer SD, Micon LT, Konstantinides FN, et al: Early enteral feeding does not attenuate metabolic response after blunt trauma. J Trauma 1993; 34:639–43; discussion 643</w:t>
      </w:r>
    </w:p>
  </w:endnote>
  <w:endnote w:id="609">
    <w:p w14:paraId="2CBF858E" w14:textId="54363439" w:rsidR="00587AE4" w:rsidRPr="00D60A69" w:rsidRDefault="00587AE4" w:rsidP="00801F84">
      <w:pPr>
        <w:pStyle w:val="Endnotentext"/>
        <w:rPr>
          <w:lang w:val="en-US"/>
        </w:rPr>
      </w:pPr>
      <w:r w:rsidRPr="00D60A69">
        <w:rPr>
          <w:rStyle w:val="Ohne"/>
        </w:rPr>
        <w:endnoteRef/>
      </w:r>
      <w:r w:rsidRPr="00D60A69">
        <w:rPr>
          <w:rStyle w:val="Ohne"/>
          <w:lang w:val="en-US"/>
        </w:rPr>
        <w:t xml:space="preserve"> </w:t>
      </w:r>
      <w:r w:rsidRPr="00D60A69">
        <w:rPr>
          <w:lang w:val="en-US"/>
        </w:rPr>
        <w:t>Dvorak MF, Noonan VK, Bölanger L, et al: Early versus late enteral feeding in patients with acute cervical spinal cord injury: a pilot study. Spine (Phila Pa 1976) 2004; 29:E175–E180</w:t>
      </w:r>
    </w:p>
  </w:endnote>
  <w:endnote w:id="610">
    <w:p w14:paraId="57F6433A" w14:textId="430295F6" w:rsidR="00D60A69" w:rsidRPr="00D60A69" w:rsidRDefault="00D60A69">
      <w:pPr>
        <w:pStyle w:val="Endnotentext"/>
      </w:pPr>
      <w:r w:rsidRPr="00D60A69">
        <w:rPr>
          <w:rStyle w:val="Endnotenzeichen"/>
        </w:rPr>
        <w:endnoteRef/>
      </w:r>
      <w:r w:rsidRPr="00D60A69">
        <w:t xml:space="preserve"> Grahm TW, Zadrozny DB, Harrington T: The benefits of early jejunal hyperalimentation in the head-injured patient. Neurosurgery 1989; 25:729–735</w:t>
      </w:r>
    </w:p>
  </w:endnote>
  <w:endnote w:id="611">
    <w:p w14:paraId="7B19D405" w14:textId="7F770865" w:rsidR="00D60A69" w:rsidRPr="00D60A69" w:rsidRDefault="00D60A69">
      <w:pPr>
        <w:pStyle w:val="Endnotentext"/>
      </w:pPr>
      <w:r w:rsidRPr="00D60A69">
        <w:rPr>
          <w:rStyle w:val="Endnotenzeichen"/>
        </w:rPr>
        <w:endnoteRef/>
      </w:r>
      <w:r w:rsidRPr="00D60A69">
        <w:t xml:space="preserve"> Hasse JM, Blue LS, Liepa GU, et al: Early enteral nutrition support in patients undergoing liver transplantation. JPEN J Parenter Enteral Nutr 1995; 19:437–443</w:t>
      </w:r>
    </w:p>
  </w:endnote>
  <w:endnote w:id="612">
    <w:p w14:paraId="0602EF0B" w14:textId="4D8EC7CB" w:rsidR="00D60A69" w:rsidRPr="00D60A69" w:rsidRDefault="00D60A69">
      <w:pPr>
        <w:pStyle w:val="Endnotentext"/>
      </w:pPr>
      <w:r w:rsidRPr="00D60A69">
        <w:rPr>
          <w:rStyle w:val="Endnotenzeichen"/>
        </w:rPr>
        <w:endnoteRef/>
      </w:r>
      <w:r w:rsidRPr="00D60A69">
        <w:t xml:space="preserve"> Minard G, Kudsk KA, Melton S, et al: Early versus delayed feeding with an immune-enhancing diet in patients with severe head injuries. JPEN J Parenter Enteral Nutr 2000; 24:145–149</w:t>
      </w:r>
    </w:p>
  </w:endnote>
  <w:endnote w:id="613">
    <w:p w14:paraId="462097B1" w14:textId="6D3B237C" w:rsidR="00D60A69" w:rsidRPr="00D60A69" w:rsidRDefault="00D60A69">
      <w:pPr>
        <w:pStyle w:val="Endnotentext"/>
      </w:pPr>
      <w:r w:rsidRPr="00D60A69">
        <w:rPr>
          <w:rStyle w:val="Endnotenzeichen"/>
        </w:rPr>
        <w:endnoteRef/>
      </w:r>
      <w:r w:rsidRPr="00D60A69">
        <w:t xml:space="preserve"> Moore EE, Jones TN: Benefits of immediate jejunostomy feeding after major abdominal trauma–a prospective, randomized study. J Trauma 1986; 26:874–881</w:t>
      </w:r>
    </w:p>
  </w:endnote>
  <w:endnote w:id="614">
    <w:p w14:paraId="284BC5FF" w14:textId="0E4AE027" w:rsidR="00D60A69" w:rsidRPr="00D60A69" w:rsidRDefault="00D60A69">
      <w:pPr>
        <w:pStyle w:val="Endnotentext"/>
      </w:pPr>
      <w:r w:rsidRPr="00D60A69">
        <w:rPr>
          <w:rStyle w:val="Endnotenzeichen"/>
        </w:rPr>
        <w:endnoteRef/>
      </w:r>
      <w:r w:rsidRPr="00D60A69">
        <w:t xml:space="preserve"> Singh G, Ram RP, Khanna SK: Early postoperative enteral feeding in patients with nontraumatic intestinal perforation and peritonitis. J Am Coll Surg 1998; 187:142–146</w:t>
      </w:r>
    </w:p>
  </w:endnote>
  <w:endnote w:id="615">
    <w:p w14:paraId="5C4440AD" w14:textId="5BB1322C" w:rsidR="00D60A69" w:rsidRPr="00D60A69" w:rsidRDefault="00D60A69">
      <w:pPr>
        <w:pStyle w:val="Endnotentext"/>
      </w:pPr>
      <w:r w:rsidRPr="00D60A69">
        <w:rPr>
          <w:rStyle w:val="Endnotenzeichen"/>
        </w:rPr>
        <w:endnoteRef/>
      </w:r>
      <w:r w:rsidRPr="00D60A69">
        <w:t xml:space="preserve"> Nguyen NQ, Fraser RJ, Bryant LK, et al: The impact of delaying enteral feeding on gastric emptying, plasma cholecystokinin, and peptide YY concentrations in critically ill patients. Crit Care Med 2008; 36:1469–1474</w:t>
      </w:r>
    </w:p>
  </w:endnote>
  <w:endnote w:id="616">
    <w:p w14:paraId="2746E9DA" w14:textId="339E45C6" w:rsidR="00D60A69" w:rsidRDefault="00D60A69">
      <w:pPr>
        <w:pStyle w:val="Endnotentext"/>
      </w:pPr>
      <w:r w:rsidRPr="00D60A69">
        <w:rPr>
          <w:rStyle w:val="Endnotenzeichen"/>
        </w:rPr>
        <w:endnoteRef/>
      </w:r>
      <w:r w:rsidRPr="00D60A69">
        <w:t xml:space="preserve"> Peng YZ, Yuan ZQ, Xiao GX: Effects of early enteral feeding on the prevention of enterogenic infection in severely burned patients. Burns 2001; 27:145–149</w:t>
      </w:r>
    </w:p>
    <w:p w14:paraId="59E796EB" w14:textId="77777777" w:rsidR="00114B74" w:rsidRPr="00D60A69" w:rsidRDefault="00114B74">
      <w:pPr>
        <w:pStyle w:val="Endnotentext"/>
      </w:pPr>
    </w:p>
  </w:endnote>
  <w:endnote w:id="617">
    <w:p w14:paraId="13547F4B" w14:textId="24F19CAC" w:rsidR="00D60A69" w:rsidRPr="00D60A69" w:rsidRDefault="00D60A69">
      <w:pPr>
        <w:pStyle w:val="Endnotentext"/>
      </w:pPr>
      <w:r w:rsidRPr="00D60A69">
        <w:rPr>
          <w:rStyle w:val="Endnotenzeichen"/>
        </w:rPr>
        <w:endnoteRef/>
      </w:r>
      <w:r w:rsidRPr="00D60A69">
        <w:t xml:space="preserve"> Chuntrasakul C, Chinswangwatanakul V, Chockvivatanavanit S, Siltharm S, Pongprasobchai T, Bunnak A: Early nutritional support in severe traumatic patients. J Med Assoc Thai. 1996;79(1):21–26</w:t>
      </w:r>
    </w:p>
  </w:endnote>
  <w:endnote w:id="618">
    <w:p w14:paraId="654BA051" w14:textId="3A766AAF" w:rsidR="00D60A69" w:rsidRPr="00D60A69" w:rsidRDefault="00D60A69">
      <w:pPr>
        <w:pStyle w:val="Endnotentext"/>
      </w:pPr>
      <w:r w:rsidRPr="00D60A69">
        <w:rPr>
          <w:rStyle w:val="Endnotenzeichen"/>
        </w:rPr>
        <w:endnoteRef/>
      </w:r>
      <w:r w:rsidRPr="00D60A69">
        <w:t xml:space="preserve"> Chourdakis M, Kraus MM, Tzellos T, et al: Effect of early compared with delayed enteral nutrition on endocrine function in patients with traumatic brain injury: an open-labeled randomized trial. JPEN J Parenter Enteral Nutr 2012; 36:108–116</w:t>
      </w:r>
    </w:p>
  </w:endnote>
  <w:endnote w:id="619">
    <w:p w14:paraId="4A737439"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w:t>
      </w:r>
      <w:r w:rsidRPr="00D60A69">
        <w:rPr>
          <w:lang w:val="en-US"/>
        </w:rPr>
        <w:t>Singh G, Ram RP, Khanna SK: Early postoperative enteral feeding in patients with nontraumatic intestinal perforation and peritonitis. J Am Coll Surg 1998; 187:142–146</w:t>
      </w:r>
    </w:p>
  </w:endnote>
  <w:endnote w:id="620">
    <w:p w14:paraId="36D22499" w14:textId="6DD9591E" w:rsidR="00587AE4" w:rsidRPr="00D60A69" w:rsidRDefault="00587AE4" w:rsidP="00801F84">
      <w:pPr>
        <w:pStyle w:val="Endnotentext"/>
        <w:rPr>
          <w:lang w:val="en-US"/>
        </w:rPr>
      </w:pPr>
      <w:r w:rsidRPr="00D60A69">
        <w:rPr>
          <w:rStyle w:val="Ohne"/>
        </w:rPr>
        <w:endnoteRef/>
      </w:r>
      <w:r w:rsidRPr="00D60A69">
        <w:rPr>
          <w:rStyle w:val="Ohne"/>
          <w:lang w:val="en-US"/>
        </w:rPr>
        <w:t xml:space="preserve"> </w:t>
      </w:r>
      <w:r w:rsidRPr="00D60A69">
        <w:rPr>
          <w:lang w:val="en-US"/>
        </w:rPr>
        <w:t>Doig GS, Heighes PT, Simpson F, et al: Early enteral nutrition reduces mortality in trauma patients requiring intensive care: a metaanalysis of randomised controlled trials. Injury 2011; 42:50–56</w:t>
      </w:r>
    </w:p>
  </w:endnote>
  <w:endnote w:id="621">
    <w:p w14:paraId="0801C2AF" w14:textId="77777777" w:rsidR="00EF1A9E" w:rsidRDefault="00EF1A9E" w:rsidP="00EF1A9E">
      <w:pPr>
        <w:pStyle w:val="Endnotentext"/>
      </w:pPr>
      <w:r>
        <w:rPr>
          <w:rStyle w:val="Endnotenzeichen"/>
        </w:rPr>
        <w:endnoteRef/>
      </w:r>
      <w:r>
        <w:t xml:space="preserve"> Doig GS, Heighes PT, Simpson F, et al: Early enteral nutrition, provided within 24 h of injury or intensive care unit admission, significantly reduces mortality in critically ill patients: a meta-analysis of randomised </w:t>
      </w:r>
    </w:p>
    <w:p w14:paraId="101FEB67" w14:textId="469668B3" w:rsidR="00EF1A9E" w:rsidRDefault="00EF1A9E" w:rsidP="00EF1A9E">
      <w:pPr>
        <w:pStyle w:val="Endnotentext"/>
      </w:pPr>
      <w:r>
        <w:t>controlled trials. Intensive Care Med 2009; 35:2018–2027</w:t>
      </w:r>
    </w:p>
  </w:endnote>
  <w:endnote w:id="622">
    <w:p w14:paraId="4EF135AB" w14:textId="18B49ED4" w:rsidR="00587AE4" w:rsidRPr="00D60A69" w:rsidRDefault="00587AE4" w:rsidP="00801F84">
      <w:pPr>
        <w:pStyle w:val="Endnotentext"/>
        <w:rPr>
          <w:lang w:val="en-US"/>
        </w:rPr>
      </w:pPr>
      <w:r w:rsidRPr="00D60A69">
        <w:rPr>
          <w:rStyle w:val="Ohne"/>
        </w:rPr>
        <w:endnoteRef/>
      </w:r>
      <w:r w:rsidRPr="00D60A69">
        <w:rPr>
          <w:rStyle w:val="Ohne"/>
          <w:lang w:val="en-US"/>
        </w:rPr>
        <w:t xml:space="preserve"> </w:t>
      </w:r>
      <w:r w:rsidRPr="00D60A69">
        <w:rPr>
          <w:lang w:val="en-US"/>
        </w:rPr>
        <w:t>Malhotra A, Mathur AK, Gupta S: Early enteral nutrition after surgical treatment of gut perforations: a prospective randomised study. J Postgrad Med 2004; 50:102–106</w:t>
      </w:r>
    </w:p>
  </w:endnote>
  <w:endnote w:id="623">
    <w:p w14:paraId="05DADB64" w14:textId="5A967C2C" w:rsidR="00EF1A9E" w:rsidRDefault="00EF1A9E">
      <w:pPr>
        <w:pStyle w:val="Endnotentext"/>
      </w:pPr>
      <w:r>
        <w:rPr>
          <w:rStyle w:val="Endnotenzeichen"/>
        </w:rPr>
        <w:endnoteRef/>
      </w:r>
      <w:r>
        <w:t xml:space="preserve"> </w:t>
      </w:r>
      <w:r w:rsidRPr="00EF1A9E">
        <w:t>Pupelis G, Austrums E, Jansone A, et al: Randomised trial of safety and efficacy of postoperative enteral feeding in patients with severe pancreatitis: preliminary report. Eur J Surg 2000; 166:383–387</w:t>
      </w:r>
    </w:p>
  </w:endnote>
  <w:endnote w:id="624">
    <w:p w14:paraId="28526A80" w14:textId="5572AB8D" w:rsidR="00587AE4" w:rsidRPr="00D60A69" w:rsidRDefault="00587AE4" w:rsidP="00801F84">
      <w:pPr>
        <w:pStyle w:val="Endnotentext"/>
        <w:rPr>
          <w:lang w:val="en-US"/>
        </w:rPr>
      </w:pPr>
      <w:r w:rsidRPr="00D60A69">
        <w:rPr>
          <w:rStyle w:val="Ohne"/>
        </w:rPr>
        <w:endnoteRef/>
      </w:r>
      <w:r w:rsidRPr="00D60A69">
        <w:rPr>
          <w:rStyle w:val="Ohne"/>
          <w:lang w:val="en-US"/>
        </w:rPr>
        <w:t xml:space="preserve"> </w:t>
      </w:r>
      <w:r w:rsidRPr="00D60A69">
        <w:rPr>
          <w:lang w:val="en-US"/>
        </w:rPr>
        <w:t>Arabi YM, Aldawood AS, Haddad SH, et al; PermiT Trial Group: Permissive Underfeeding or Standard Enteral Feeding in Critically Ill Adults. N Engl J Med 2015; 372:2398–2408</w:t>
      </w:r>
    </w:p>
  </w:endnote>
  <w:endnote w:id="625">
    <w:p w14:paraId="19C2B3AA" w14:textId="175F3902" w:rsidR="00D60A69" w:rsidRPr="00D60A69" w:rsidRDefault="00D60A69">
      <w:pPr>
        <w:pStyle w:val="Endnotentext"/>
      </w:pPr>
      <w:r w:rsidRPr="00D60A69">
        <w:rPr>
          <w:rStyle w:val="Endnotenzeichen"/>
        </w:rPr>
        <w:endnoteRef/>
      </w:r>
      <w:r w:rsidRPr="00D60A69">
        <w:t xml:space="preserve"> Marik PE, Hooper MH: Normocaloric versus hypocaloric feeding on the outcomes of ICU patients: a systematic review and meta-analysis. Intensive Care Med 2016; 42:316–323</w:t>
      </w:r>
    </w:p>
  </w:endnote>
  <w:endnote w:id="626">
    <w:p w14:paraId="6205B5FB" w14:textId="1215781D" w:rsidR="00D60A69" w:rsidRPr="00D60A69" w:rsidRDefault="00D60A69">
      <w:pPr>
        <w:pStyle w:val="Endnotentext"/>
      </w:pPr>
      <w:r w:rsidRPr="00D60A69">
        <w:rPr>
          <w:rStyle w:val="Endnotenzeichen"/>
        </w:rPr>
        <w:endnoteRef/>
      </w:r>
      <w:r w:rsidRPr="00D60A69">
        <w:t xml:space="preserve"> Arabi YM, Tamim HM, Dhar GS, et al: Permissive underfeeding and intensive insulin therapy in critically ill patients: a randomized controlled trial. Am J Clin Nutr 2011; 93:569–577</w:t>
      </w:r>
    </w:p>
  </w:endnote>
  <w:endnote w:id="627">
    <w:p w14:paraId="0B74B33F" w14:textId="76BDDED3" w:rsidR="00D60A69" w:rsidRPr="00D60A69" w:rsidRDefault="00D60A69">
      <w:pPr>
        <w:pStyle w:val="Endnotentext"/>
      </w:pPr>
      <w:r w:rsidRPr="00D60A69">
        <w:rPr>
          <w:rStyle w:val="Endnotenzeichen"/>
        </w:rPr>
        <w:endnoteRef/>
      </w:r>
      <w:r w:rsidRPr="00D60A69">
        <w:t xml:space="preserve"> Charles EJ, Petroze RT, Metzger R, et al: Hypocaloric compared with eucaloric nutritional support and its effect on infection rates in a surgical intensive care unit: a randomized controlled trial. Am J Clin Nutr 2014; 100:1337–1343</w:t>
      </w:r>
    </w:p>
  </w:endnote>
  <w:endnote w:id="628">
    <w:p w14:paraId="2870C4AC" w14:textId="61603E59" w:rsidR="00D60A69" w:rsidRPr="00D60A69" w:rsidRDefault="00D60A69">
      <w:pPr>
        <w:pStyle w:val="Endnotentext"/>
      </w:pPr>
      <w:r w:rsidRPr="00D60A69">
        <w:rPr>
          <w:rStyle w:val="Endnotenzeichen"/>
        </w:rPr>
        <w:endnoteRef/>
      </w:r>
      <w:r w:rsidRPr="00D60A69">
        <w:t xml:space="preserve"> Ibrahim EH, Mehringer L, Prentice D, et al: Early versus late enteral feeding of mechanically ventilated patients: results of a clinical trial. JPEN J Parenter Enteral Nutr 2002; 26:174–181</w:t>
      </w:r>
    </w:p>
  </w:endnote>
  <w:endnote w:id="629">
    <w:p w14:paraId="5D64686C" w14:textId="10B12505" w:rsidR="00D60A69" w:rsidRPr="00D60A69" w:rsidRDefault="00D60A69">
      <w:pPr>
        <w:pStyle w:val="Endnotentext"/>
      </w:pPr>
      <w:r w:rsidRPr="00D60A69">
        <w:rPr>
          <w:rStyle w:val="Endnotenzeichen"/>
        </w:rPr>
        <w:endnoteRef/>
      </w:r>
      <w:r w:rsidRPr="00D60A69">
        <w:t xml:space="preserve"> National Heart, Lung, and Blood Institute Acute Respiratory Distress Syndrome (ARDS) Clinical Trials Network, Rice TW, Wheeler AP, et al: Initial trophic vs full enteral feeding in patients with acute lung injury: the EDEN randomized trial. JAMA. 2012;307(8):795–803</w:t>
      </w:r>
    </w:p>
  </w:endnote>
  <w:endnote w:id="630">
    <w:p w14:paraId="7998E8F1" w14:textId="40C679E8" w:rsidR="00D60A69" w:rsidRPr="00D60A69" w:rsidRDefault="00D60A69">
      <w:pPr>
        <w:pStyle w:val="Endnotentext"/>
      </w:pPr>
      <w:r w:rsidRPr="00D60A69">
        <w:rPr>
          <w:rStyle w:val="Endnotenzeichen"/>
        </w:rPr>
        <w:endnoteRef/>
      </w:r>
      <w:r w:rsidRPr="00D60A69">
        <w:t xml:space="preserve"> Petros S, Horbach M, Seidel F, et al: Hypocaloric vs Normocaloric Nutrition in Critically Ill Patients: A Prospective Randomized Pilot Trial. JPEN J Parenter Enteral Nutr 2016; 40:242–249</w:t>
      </w:r>
    </w:p>
  </w:endnote>
  <w:endnote w:id="631">
    <w:p w14:paraId="4583BBB2" w14:textId="1255A2A9" w:rsidR="00EF1A9E" w:rsidRPr="00D60A69" w:rsidRDefault="00D60A69">
      <w:pPr>
        <w:pStyle w:val="Endnotentext"/>
      </w:pPr>
      <w:r w:rsidRPr="00D60A69">
        <w:rPr>
          <w:rStyle w:val="Endnotenzeichen"/>
        </w:rPr>
        <w:endnoteRef/>
      </w:r>
      <w:r w:rsidRPr="00D60A69">
        <w:t xml:space="preserve"> Rice TW, Mogan S, Hays MA, et al: Randomized trial of initial trophic versus full-energy enteral nutrition in mechanically ventilated patients with acute respiratory failure. Crit Care Med 2011; 39:967–974</w:t>
      </w:r>
    </w:p>
  </w:endnote>
  <w:endnote w:id="632">
    <w:p w14:paraId="672E8E08"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w:t>
      </w:r>
      <w:r w:rsidRPr="00D60A69">
        <w:rPr>
          <w:lang w:val="en-US"/>
        </w:rPr>
        <w:t>Needham DM, Dinglas VD, Bienvenu OJ, et al; NIH NHLBI ARDS Network: One year outcomes in patients with acute lung injury randomised to initial trophic or full enteral feeding: prospective followup of EDEN randomised trial. BMJ 2013; 346:f1532</w:t>
      </w:r>
    </w:p>
  </w:endnote>
  <w:endnote w:id="633">
    <w:p w14:paraId="000BB3AF"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Tian F, Wang X, Gao X, Wan X, Wu C, Zhang L, Li N, Li J Effect of initial caloric intake via enteral nutrition in critical illness: a meta-analysis of randomised controlled trials. Crit Care 2015; 19: 180.</w:t>
      </w:r>
    </w:p>
  </w:endnote>
  <w:endnote w:id="634">
    <w:p w14:paraId="5BF8EDD4" w14:textId="77777777" w:rsidR="00587AE4" w:rsidRPr="00D60A69" w:rsidRDefault="00587AE4" w:rsidP="00801F84">
      <w:pPr>
        <w:pStyle w:val="Endnotentext"/>
        <w:rPr>
          <w:lang w:val="en-US"/>
        </w:rPr>
      </w:pPr>
      <w:r w:rsidRPr="00D60A69">
        <w:endnoteRef/>
      </w:r>
      <w:r w:rsidRPr="00D60A69">
        <w:rPr>
          <w:lang w:val="en-US"/>
        </w:rPr>
        <w:t xml:space="preserve"> Ridley EJ, Davies AR, Hodgson CL, Deane A, Bailey M, Cooper DJ.Delivery of full predicted energy from nutrition and the effect on mortality in critically ill adults: A systematic review and meta-analysis of randomised controlled trials. Clin Nutr. 2017 Oct 9. pii: S0261-5614(17)31358-4. doi: 10.1016/j.clnu.2017.09.026</w:t>
      </w:r>
    </w:p>
  </w:endnote>
  <w:endnote w:id="635">
    <w:p w14:paraId="77C8D320" w14:textId="77777777" w:rsidR="00587AE4" w:rsidRPr="00D60A69" w:rsidRDefault="00587AE4" w:rsidP="00801F84">
      <w:pPr>
        <w:pStyle w:val="Endnotentext"/>
        <w:rPr>
          <w:lang w:val="en-US"/>
        </w:rPr>
      </w:pPr>
      <w:r w:rsidRPr="00D60A69">
        <w:endnoteRef/>
      </w:r>
      <w:r w:rsidRPr="00D60A69">
        <w:rPr>
          <w:lang w:val="en-US"/>
        </w:rPr>
        <w:t xml:space="preserve"> Choi EY, Park DA, Park J. Calorie intake of enteral nutrition and clinical outcomes in acutely critically ill patients: a meta-analysis of randomized controlled trials.J Parenter Enteral Nutr. 2015 39:291-300</w:t>
      </w:r>
    </w:p>
  </w:endnote>
  <w:endnote w:id="636">
    <w:p w14:paraId="53B84F7C"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w:t>
      </w:r>
      <w:r w:rsidRPr="00D60A69">
        <w:rPr>
          <w:lang w:val="en-US"/>
        </w:rPr>
        <w:t>Casaer MP, Mesotten D, Hermans G, et al: Early versus late parenteral nutrition in critically ill adults. N Engl J Med 2011; 365:506–517</w:t>
      </w:r>
    </w:p>
  </w:endnote>
  <w:endnote w:id="637">
    <w:p w14:paraId="60CE3CDC"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w:t>
      </w:r>
      <w:r w:rsidRPr="00D60A69">
        <w:rPr>
          <w:lang w:val="en-US"/>
        </w:rPr>
        <w:t>Doig GS, Simpson F, Sweetman EA, et al; Early PN Investigators of the ANZICS Clinical Trials Group: Early parenteral nutrition in critically ill patients with short-term relative contraindications to early enteral nutrition: a randomized controlled trial. JAMA 2013; 309:2130–2138</w:t>
      </w:r>
    </w:p>
  </w:endnote>
  <w:endnote w:id="638">
    <w:p w14:paraId="6301A494"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w:t>
      </w:r>
      <w:r w:rsidRPr="00D60A69">
        <w:rPr>
          <w:lang w:val="en-US"/>
        </w:rPr>
        <w:t>Young B, Ott L, Haack D, et al: Effect of total parenteral nutrition upon intracranial pressure in severe head injury. J Neurosurg 1987; 67:76–80</w:t>
      </w:r>
    </w:p>
  </w:endnote>
  <w:endnote w:id="639">
    <w:p w14:paraId="142B1D39" w14:textId="14BB5823" w:rsidR="00D60A69" w:rsidRPr="00D60A69" w:rsidRDefault="00D60A69">
      <w:pPr>
        <w:pStyle w:val="Endnotentext"/>
      </w:pPr>
      <w:r w:rsidRPr="00D60A69">
        <w:rPr>
          <w:rStyle w:val="Endnotenzeichen"/>
        </w:rPr>
        <w:endnoteRef/>
      </w:r>
      <w:r w:rsidRPr="00D60A69">
        <w:t xml:space="preserve"> Rapp RP, Donaldson ES, Bivins BA. Parenteral nutrition in a patient with familial Type IV hypertriglyceridemia: a dilemma. Drug Intell Clin Pharm. 1983;17(6):458-60.</w:t>
      </w:r>
    </w:p>
  </w:endnote>
  <w:endnote w:id="640">
    <w:p w14:paraId="2F9CDEE4"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w:t>
      </w:r>
      <w:r w:rsidRPr="00D60A69">
        <w:rPr>
          <w:lang w:val="en-US"/>
        </w:rPr>
        <w:t>Sadique Z, Grieve R, Harrison D, et al: Cost-Effectiveness Of Early Parenteral Versus Enteral Nutrition In Critically Ill Patients. Value Health 2015; 18:A532</w:t>
      </w:r>
    </w:p>
  </w:endnote>
  <w:endnote w:id="641">
    <w:p w14:paraId="07BD1710" w14:textId="77777777" w:rsidR="00587AE4" w:rsidRPr="00D60A69" w:rsidRDefault="00587AE4" w:rsidP="00801F84">
      <w:pPr>
        <w:pStyle w:val="Endnotentext"/>
        <w:rPr>
          <w:lang w:val="en-US"/>
        </w:rPr>
      </w:pPr>
      <w:r w:rsidRPr="00D60A69">
        <w:endnoteRef/>
      </w:r>
      <w:r w:rsidRPr="00D60A69">
        <w:rPr>
          <w:lang w:val="en-US"/>
        </w:rPr>
        <w:t xml:space="preserve"> The TARGET Investigators for the ANZICS Clinical Trials Group. Energy-dense versus routine enteral nutrition in the</w:t>
      </w:r>
      <w:r w:rsidRPr="00D60A69">
        <w:rPr>
          <w:rStyle w:val="Ohne"/>
          <w:lang w:val="en-US"/>
        </w:rPr>
        <w:t xml:space="preserve"> critically ill. N Engl J Med 2018; 379: 823-834 </w:t>
      </w:r>
    </w:p>
  </w:endnote>
  <w:endnote w:id="642">
    <w:p w14:paraId="04F83E55" w14:textId="1D7D85D0" w:rsidR="00587AE4" w:rsidRPr="00D60A69" w:rsidRDefault="00587AE4" w:rsidP="00801F84">
      <w:pPr>
        <w:pStyle w:val="Endnotentext"/>
        <w:rPr>
          <w:rStyle w:val="Ohne"/>
          <w:lang w:val="en-US"/>
        </w:rPr>
      </w:pPr>
      <w:r w:rsidRPr="00D60A69">
        <w:endnoteRef/>
      </w:r>
      <w:r w:rsidRPr="00D60A69">
        <w:rPr>
          <w:lang w:val="en-US"/>
        </w:rPr>
        <w:t xml:space="preserve"> Allingstrup MJ, Kondrup J, Wiis J, Claudius C, Pedersen UG, Hein-Rasmussen R, Bjerregaard MR, Steensen M, Jensen TH,</w:t>
      </w:r>
      <w:r w:rsidRPr="00D60A69">
        <w:rPr>
          <w:rStyle w:val="Ohne"/>
          <w:lang w:val="en-US"/>
        </w:rPr>
        <w:t xml:space="preserve"> Lange T, Madsen MB, Møller MH, Perner A.</w:t>
      </w:r>
      <w:r w:rsidR="00D60A69" w:rsidRPr="00D60A69">
        <w:rPr>
          <w:rStyle w:val="Ohne"/>
          <w:lang w:val="en-US"/>
        </w:rPr>
        <w:t xml:space="preserve"> </w:t>
      </w:r>
      <w:r w:rsidRPr="00D60A69">
        <w:rPr>
          <w:rStyle w:val="Ohne"/>
          <w:lang w:val="en-US"/>
        </w:rPr>
        <w:t>Early goal-directed nutrition versus standard of care in adult intensive care patients: the single-centre, randomised, outcome assessor-blinded EAT-ICU trial.</w:t>
      </w:r>
    </w:p>
    <w:p w14:paraId="427BFCF3" w14:textId="77777777" w:rsidR="00587AE4" w:rsidRPr="00D60A69" w:rsidRDefault="00587AE4" w:rsidP="00801F84">
      <w:pPr>
        <w:pStyle w:val="Endnotentext"/>
        <w:rPr>
          <w:lang w:val="en-US"/>
        </w:rPr>
      </w:pPr>
      <w:r w:rsidRPr="00D60A69">
        <w:rPr>
          <w:rStyle w:val="Ohne"/>
          <w:lang w:val="en-US"/>
        </w:rPr>
        <w:t xml:space="preserve">Intensive Care Med. 2017 Nov;43(11):1637-1647. doi: 10.1007/s00134-017-4880-3. Epub 2017 Sep </w:t>
      </w:r>
    </w:p>
  </w:endnote>
  <w:endnote w:id="643">
    <w:p w14:paraId="0B238FB4" w14:textId="77777777" w:rsidR="00587AE4" w:rsidRPr="00D60A69" w:rsidRDefault="00587AE4" w:rsidP="00801F84">
      <w:pPr>
        <w:pStyle w:val="Endnotentext"/>
        <w:rPr>
          <w:lang w:val="en-US"/>
        </w:rPr>
      </w:pPr>
      <w:r w:rsidRPr="00D60A69">
        <w:endnoteRef/>
      </w:r>
      <w:r w:rsidRPr="00D60A69">
        <w:rPr>
          <w:lang w:val="en-US"/>
        </w:rPr>
        <w:t xml:space="preserve"> Stuani Franzosi O, Delfino von Frankenberg A, Loss SH, Solva Leite Nunes D, Rios Vieiira SR Underfeeding versus full</w:t>
      </w:r>
      <w:r w:rsidRPr="00D60A69">
        <w:rPr>
          <w:rStyle w:val="Ohne"/>
          <w:lang w:val="en-US"/>
        </w:rPr>
        <w:t xml:space="preserve"> enteral feeding in critically ill patients witrh acute respirartoryx failure: a systematic review with meta-analyis of  randomized controlled trials. Nutr Hosp 2017; 34: 19-29 </w:t>
      </w:r>
    </w:p>
  </w:endnote>
  <w:endnote w:id="644">
    <w:p w14:paraId="6E4CB538" w14:textId="77777777" w:rsidR="00587AE4" w:rsidRPr="00D60A69" w:rsidRDefault="00587AE4" w:rsidP="00801F84">
      <w:pPr>
        <w:pStyle w:val="Endnotentext"/>
        <w:rPr>
          <w:lang w:val="en-US"/>
        </w:rPr>
      </w:pPr>
      <w:r w:rsidRPr="00D60A69">
        <w:endnoteRef/>
      </w:r>
      <w:r w:rsidRPr="00D60A69">
        <w:rPr>
          <w:lang w:val="en-US"/>
        </w:rPr>
        <w:t xml:space="preserve"> Tian F, Wang X, Gao X, Wan X, Wu C, Zhang L, Li N, Li J Effect of initial caloric intake via enteral nutrition in critical illness: a</w:t>
      </w:r>
      <w:r w:rsidRPr="00D60A69">
        <w:rPr>
          <w:rStyle w:val="Ohne"/>
          <w:lang w:val="en-US"/>
        </w:rPr>
        <w:t xml:space="preserve"> meta-analysis of randomised controlled trials. Crit Care 2015; 19: 180. </w:t>
      </w:r>
    </w:p>
  </w:endnote>
  <w:endnote w:id="645">
    <w:p w14:paraId="0FD11477" w14:textId="77777777" w:rsidR="00587AE4" w:rsidRPr="00D60A69" w:rsidRDefault="00587AE4" w:rsidP="00801F84">
      <w:pPr>
        <w:pStyle w:val="Endnotentext"/>
        <w:rPr>
          <w:lang w:val="en-US"/>
        </w:rPr>
      </w:pPr>
      <w:r w:rsidRPr="00D60A69">
        <w:endnoteRef/>
      </w:r>
      <w:r w:rsidRPr="00D60A69">
        <w:rPr>
          <w:lang w:val="en-US"/>
        </w:rPr>
        <w:t xml:space="preserve"> Yeh DD, Fuentes E, Quraishi SA, Cropano C, Kaafarani H, Lee J, King DR, DeMoya M, Fagenholz P, Butler K, Chang Y,</w:t>
      </w:r>
      <w:r w:rsidRPr="00D60A69">
        <w:rPr>
          <w:rStyle w:val="Ohne"/>
          <w:lang w:val="en-US"/>
        </w:rPr>
        <w:t xml:space="preserve"> Velmahos G. Adequate nutrition may get you home: effect of caloric/protein deficits on the discharge destination of critically ill surgical patients. JPEN J Parenter Enteral Nutr  2016; 40: 37-44 </w:t>
      </w:r>
    </w:p>
  </w:endnote>
  <w:endnote w:id="646">
    <w:p w14:paraId="630ADB17" w14:textId="77777777" w:rsidR="00587AE4" w:rsidRPr="00D60A69" w:rsidRDefault="00587AE4" w:rsidP="00801F84">
      <w:pPr>
        <w:pStyle w:val="Endnotentext"/>
        <w:rPr>
          <w:lang w:val="en-US"/>
        </w:rPr>
      </w:pPr>
      <w:r w:rsidRPr="00D60A69">
        <w:endnoteRef/>
      </w:r>
      <w:r w:rsidRPr="00D60A69">
        <w:rPr>
          <w:lang w:val="en-US"/>
        </w:rPr>
        <w:t xml:space="preserve"> Nicolo M, Heyland DK, Crittiams J, Sammarco T, Compher C Clinical Outcomes related toprotein delivery in a critically ill</w:t>
      </w:r>
      <w:r w:rsidRPr="00D60A69">
        <w:rPr>
          <w:rStyle w:val="Ohne"/>
          <w:lang w:val="en-US"/>
        </w:rPr>
        <w:t xml:space="preserve"> population: A multicenter,multinational observational study.JPEN J Parenter Enteral Nutr 2016; 40: 45-61   1</w:t>
      </w:r>
    </w:p>
  </w:endnote>
  <w:endnote w:id="647">
    <w:p w14:paraId="3283F499" w14:textId="14AB45E0" w:rsidR="00587AE4" w:rsidRDefault="00587AE4" w:rsidP="00801F84">
      <w:pPr>
        <w:pStyle w:val="Endnotentext"/>
        <w:rPr>
          <w:rStyle w:val="Ohne"/>
          <w:lang w:val="en-US"/>
        </w:rPr>
      </w:pPr>
      <w:r w:rsidRPr="00D60A69">
        <w:endnoteRef/>
      </w:r>
      <w:r w:rsidR="00EF1A9E">
        <w:rPr>
          <w:lang w:val="en-US"/>
        </w:rPr>
        <w:t xml:space="preserve"> </w:t>
      </w:r>
      <w:r w:rsidRPr="00D60A69">
        <w:rPr>
          <w:lang w:val="en-US"/>
        </w:rPr>
        <w:t>Zusman O, Theilla M, Cohen J, Kagan I, Bendavid I, Singer P Resting energy expenditure, calorie and protein consumption in</w:t>
      </w:r>
      <w:r w:rsidRPr="00D60A69">
        <w:rPr>
          <w:rStyle w:val="Ohne"/>
          <w:lang w:val="en-US"/>
        </w:rPr>
        <w:t xml:space="preserve"> critically ill patients: a retrospective cohort study. Crit Care 2016; 10: 20(1): 367  </w:t>
      </w:r>
    </w:p>
    <w:p w14:paraId="09A46A9C" w14:textId="77777777" w:rsidR="00114B74" w:rsidRPr="00D60A69" w:rsidRDefault="00114B74" w:rsidP="00801F84">
      <w:pPr>
        <w:pStyle w:val="Endnotentext"/>
        <w:rPr>
          <w:lang w:val="en-US"/>
        </w:rPr>
      </w:pPr>
    </w:p>
  </w:endnote>
  <w:endnote w:id="648">
    <w:p w14:paraId="0B4B52FF" w14:textId="77777777" w:rsidR="00587AE4" w:rsidRPr="00D60A69" w:rsidRDefault="00587AE4" w:rsidP="00801F84">
      <w:pPr>
        <w:pStyle w:val="Endnotentext"/>
        <w:rPr>
          <w:lang w:val="en-US"/>
        </w:rPr>
      </w:pPr>
      <w:r w:rsidRPr="00D60A69">
        <w:endnoteRef/>
      </w:r>
      <w:r w:rsidRPr="00D60A69">
        <w:rPr>
          <w:lang w:val="en-US"/>
        </w:rPr>
        <w:t xml:space="preserve"> Compher C, Chittams J, Sammero T, Nicolo M, Heyland DK Greater protein and energy intake may be associated with</w:t>
      </w:r>
      <w:r w:rsidRPr="00D60A69">
        <w:rPr>
          <w:rStyle w:val="Ohne"/>
          <w:lang w:val="en-US"/>
        </w:rPr>
        <w:t xml:space="preserve"> improved mortality in higher risk critically ill patients: a multicenter multinational observational study. Crit Care Med 2017; 41: 104-112 </w:t>
      </w:r>
    </w:p>
  </w:endnote>
  <w:endnote w:id="649">
    <w:p w14:paraId="754A473A" w14:textId="54FE094B" w:rsidR="00E15D93" w:rsidRPr="00D60A69" w:rsidRDefault="00587AE4" w:rsidP="00801F84">
      <w:pPr>
        <w:pStyle w:val="Endnotentext"/>
      </w:pPr>
      <w:r w:rsidRPr="00D60A69">
        <w:endnoteRef/>
      </w:r>
      <w:r w:rsidR="00EF1A9E">
        <w:rPr>
          <w:lang w:val="en-US"/>
        </w:rPr>
        <w:t xml:space="preserve"> </w:t>
      </w:r>
      <w:r w:rsidRPr="00D60A69">
        <w:rPr>
          <w:lang w:val="en-US"/>
        </w:rPr>
        <w:t>Hartl WH, Bender A, Scheipl F, Kuppinger D, Day Ag, Küchenhoff H Caloriei intake and short-term survival of critically ill</w:t>
      </w:r>
      <w:r w:rsidRPr="00D60A69">
        <w:rPr>
          <w:rStyle w:val="Ohne"/>
          <w:lang w:val="en-US"/>
        </w:rPr>
        <w:t xml:space="preserve"> patients. </w:t>
      </w:r>
      <w:r w:rsidRPr="00D60A69">
        <w:rPr>
          <w:rStyle w:val="Ohne"/>
        </w:rPr>
        <w:t>Clin Nutr 2018; Apr 18</w:t>
      </w:r>
    </w:p>
  </w:endnote>
  <w:endnote w:id="650">
    <w:p w14:paraId="6168929B"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McClave SA, Taylor BE, Martindale RG, Warren MM, et al. A.S.P.E.N. Board of Directors, American College of Critical Care Medicine, Society of Critical Care Medicine Guidelines for the Provision and Assessment of Nutrition Support Therapy in the Adult Critically Ill Patient: Society of Critical Care Medicine (SCCM) and American Society for Parenteral and Enteral Nutrition (A.S.P.E.N.). JPEN J Parenter Enteral Nutr 2016; 40: 159-211. Important and most recent guideline regarding clinical nutrition in the ICU.</w:t>
      </w:r>
    </w:p>
  </w:endnote>
  <w:endnote w:id="651">
    <w:p w14:paraId="7F7E278D" w14:textId="16D50AB3" w:rsidR="00587AE4" w:rsidRPr="00D60A69" w:rsidRDefault="00587AE4" w:rsidP="00801F84">
      <w:pPr>
        <w:pStyle w:val="Endnotentext"/>
        <w:rPr>
          <w:lang w:val="en-US"/>
        </w:rPr>
      </w:pPr>
      <w:r w:rsidRPr="00D60A69">
        <w:rPr>
          <w:rStyle w:val="Ohne"/>
        </w:rPr>
        <w:endnoteRef/>
      </w:r>
      <w:r w:rsidRPr="00D60A69">
        <w:rPr>
          <w:rStyle w:val="Ohne"/>
          <w:lang w:val="en-US"/>
        </w:rPr>
        <w:t xml:space="preserve"> </w:t>
      </w:r>
      <w:r w:rsidRPr="00D60A69">
        <w:rPr>
          <w:lang w:val="en-US"/>
        </w:rPr>
        <w:t>McClave SA, DeMeo MT, DeLegge MH, et al: North American Summit on Aspiration in the Critically Ill Patient: consensus statement. JPEN J Parenter Enteral Nutr 2002; 26:S80–S85</w:t>
      </w:r>
    </w:p>
  </w:endnote>
  <w:endnote w:id="652">
    <w:p w14:paraId="019113B3" w14:textId="255C3807" w:rsidR="008866CD" w:rsidRDefault="008866CD">
      <w:pPr>
        <w:pStyle w:val="Endnotentext"/>
      </w:pPr>
      <w:r>
        <w:rPr>
          <w:rStyle w:val="Endnotenzeichen"/>
        </w:rPr>
        <w:endnoteRef/>
      </w:r>
      <w:r>
        <w:t xml:space="preserve"> </w:t>
      </w:r>
      <w:r w:rsidRPr="008866CD">
        <w:t>McClave SA, Lukan JK, Stefater JA, et al: Poor validity of residual volumes as a marker for risk of aspiration in critically ill patients. Crit Care Med 2005; 33:324–330</w:t>
      </w:r>
    </w:p>
  </w:endnote>
  <w:endnote w:id="653">
    <w:p w14:paraId="7A7E2E91" w14:textId="23A30B2F" w:rsidR="008866CD" w:rsidRDefault="008866CD">
      <w:pPr>
        <w:pStyle w:val="Endnotentext"/>
      </w:pPr>
      <w:r>
        <w:rPr>
          <w:rStyle w:val="Endnotenzeichen"/>
        </w:rPr>
        <w:endnoteRef/>
      </w:r>
      <w:r>
        <w:t xml:space="preserve"> </w:t>
      </w:r>
      <w:r w:rsidRPr="008866CD">
        <w:t>Metheny NA, Schallom L, Oliver DA, Clouse RE: Gastric residual volume and aspiration in critically ill patients receiving gastric feedings. Am J Crit Care. 2008;17(6):512–519; quiz 20</w:t>
      </w:r>
    </w:p>
  </w:endnote>
  <w:endnote w:id="654">
    <w:p w14:paraId="3867AE68" w14:textId="441686BA" w:rsidR="008866CD" w:rsidRDefault="008866CD">
      <w:pPr>
        <w:pStyle w:val="Endnotentext"/>
      </w:pPr>
      <w:r>
        <w:rPr>
          <w:rStyle w:val="Endnotenzeichen"/>
        </w:rPr>
        <w:endnoteRef/>
      </w:r>
      <w:r>
        <w:t xml:space="preserve"> </w:t>
      </w:r>
      <w:r w:rsidRPr="008866CD">
        <w:t>Montejo JC, Miñambres E, Bordejö L, et al: Gastric residual volume during enteral nutrition in ICU patients: the REGANE study. Intensive Care Med 2010; 36:1386–1393</w:t>
      </w:r>
    </w:p>
  </w:endnote>
  <w:endnote w:id="655">
    <w:p w14:paraId="4B68D447" w14:textId="3F02A0B9" w:rsidR="008866CD" w:rsidRDefault="008866CD">
      <w:pPr>
        <w:pStyle w:val="Endnotentext"/>
      </w:pPr>
      <w:r>
        <w:rPr>
          <w:rStyle w:val="Endnotenzeichen"/>
        </w:rPr>
        <w:endnoteRef/>
      </w:r>
      <w:r>
        <w:t xml:space="preserve"> </w:t>
      </w:r>
      <w:r w:rsidRPr="008866CD">
        <w:t>Poulard F, Dimet J, Martin-Lefevre L, et al: Impact of not measuring residual gastric volume in mechanically ventilated patients receiving early enteral feeding: a prospective before-after study. JPEN J Parenter Enteral Nutr 2010; 34:125–130</w:t>
      </w:r>
    </w:p>
  </w:endnote>
  <w:endnote w:id="656">
    <w:p w14:paraId="4CE6A5BC" w14:textId="05ED646C" w:rsidR="00EF1A9E" w:rsidRPr="00D60A69" w:rsidRDefault="00587AE4" w:rsidP="00801F84">
      <w:pPr>
        <w:pStyle w:val="Endnotentext"/>
      </w:pPr>
      <w:r w:rsidRPr="00D60A69">
        <w:rPr>
          <w:rStyle w:val="Ohne"/>
        </w:rPr>
        <w:endnoteRef/>
      </w:r>
      <w:r w:rsidRPr="00D60A69">
        <w:rPr>
          <w:rStyle w:val="Ohne"/>
          <w:lang w:val="en-US"/>
        </w:rPr>
        <w:t xml:space="preserve"> </w:t>
      </w:r>
      <w:r w:rsidRPr="00D60A69">
        <w:rPr>
          <w:lang w:val="en-US"/>
        </w:rPr>
        <w:t xml:space="preserve">Reignier J, Mercier E, Le Gouge A, et al; Clinical Research in Intensive Care and Sepsis (CRICS) Group: Effect of not monitoring residual gastric volume on risk of ventilator-associated pneumonia in adults receiving mechanical ventilation and early enteral feeding: a randomized controlled trial. </w:t>
      </w:r>
      <w:r w:rsidRPr="00D60A69">
        <w:t>JAMA 2013; 309:249–256</w:t>
      </w:r>
    </w:p>
  </w:endnote>
  <w:endnote w:id="657">
    <w:p w14:paraId="5DC4FD65" w14:textId="77777777" w:rsidR="00587AE4" w:rsidRPr="00D60A69" w:rsidRDefault="00587AE4" w:rsidP="00801F84">
      <w:pPr>
        <w:pStyle w:val="Endnotentext"/>
      </w:pPr>
      <w:r w:rsidRPr="00D60A69">
        <w:endnoteRef/>
      </w:r>
      <w:r w:rsidRPr="00D60A69">
        <w:t xml:space="preserve"> Hartl et al, Aktuel Ernährmed 2013; 38: e90-100, https://www.dgem.de/sites/default/files/PDFs/Leitlinien/S3-Leitlinien/073-022l_S3_%C3%9Cberwachung_bei_k%C3%BCnstlicher_Ern%C3%A4hrung_2013-10.pdf</w:t>
      </w:r>
    </w:p>
  </w:endnote>
  <w:endnote w:id="658">
    <w:p w14:paraId="6939EE4B"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w:t>
      </w:r>
      <w:r w:rsidRPr="00D60A69">
        <w:rPr>
          <w:lang w:val="en-US"/>
        </w:rPr>
        <w:t>van Noord C, Dieleman JP, van Herpen G, et al: Domperidone and ven</w:t>
      </w:r>
      <w:r w:rsidRPr="00D60A69">
        <w:rPr>
          <w:lang w:val="en-US"/>
        </w:rPr>
        <w:softHyphen/>
        <w:t>tricular arrhythmia or sudden cardiac death: a population-based case</w:t>
      </w:r>
      <w:r w:rsidRPr="00D60A69">
        <w:rPr>
          <w:lang w:val="en-US"/>
        </w:rPr>
        <w:softHyphen/>
        <w:t>control study in the Netherlands. Drug Saf 2010; 33:1003–1014</w:t>
      </w:r>
    </w:p>
  </w:endnote>
  <w:endnote w:id="659">
    <w:p w14:paraId="6E77B4F2"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w:t>
      </w:r>
      <w:r w:rsidRPr="00D60A69">
        <w:rPr>
          <w:lang w:val="en-US"/>
        </w:rPr>
        <w:t>Ray WA, Murray KT, Meredith S, et al: Oral erythromycin and the risk of sudden death from cardiac causes. N Engl J Med 2004; 351:1089–1096</w:t>
      </w:r>
    </w:p>
  </w:endnote>
  <w:endnote w:id="660">
    <w:p w14:paraId="016591DE" w14:textId="77777777" w:rsidR="00587AE4" w:rsidRPr="00D60A69" w:rsidRDefault="00587AE4" w:rsidP="00801F84">
      <w:pPr>
        <w:pStyle w:val="Endnotentext"/>
        <w:rPr>
          <w:lang w:val="en-US"/>
        </w:rPr>
      </w:pPr>
      <w:r w:rsidRPr="00D60A69">
        <w:rPr>
          <w:rStyle w:val="Ohne"/>
        </w:rPr>
        <w:endnoteRef/>
      </w:r>
      <w:r w:rsidRPr="00D60A69">
        <w:rPr>
          <w:lang w:val="en-US"/>
        </w:rPr>
        <w:t>Lewis K, Alqahtani Z, Mcintyre L, et al: The efficacy and safety of prokinetic agents in critically ill patients receiving enteral nutrition: a systematic review and meta-analysis of randomized trials. Crit Care 2016; 20:259</w:t>
      </w:r>
    </w:p>
  </w:endnote>
  <w:endnote w:id="661">
    <w:p w14:paraId="6AA79157" w14:textId="653F0CD1" w:rsidR="00EF1A9E" w:rsidRPr="00D60A69" w:rsidRDefault="00587AE4" w:rsidP="00801F84">
      <w:pPr>
        <w:pStyle w:val="Endnotentext"/>
      </w:pPr>
      <w:r w:rsidRPr="00D60A69">
        <w:rPr>
          <w:rStyle w:val="Ohne"/>
        </w:rPr>
        <w:endnoteRef/>
      </w:r>
      <w:r w:rsidRPr="00D60A69">
        <w:rPr>
          <w:rStyle w:val="Ohne"/>
          <w:lang w:val="en-US"/>
        </w:rPr>
        <w:t xml:space="preserve"> </w:t>
      </w:r>
      <w:r w:rsidRPr="00D60A69">
        <w:rPr>
          <w:lang w:val="en-US"/>
        </w:rPr>
        <w:t xml:space="preserve">FreemanBD,DixonDJ,CoopersmithCM,etal:Pharmacoepidemiology of QT-interval prolonging drug administration in critically ill patients. </w:t>
      </w:r>
      <w:r w:rsidRPr="00D60A69">
        <w:t>Pharmacoepidemiol Drug Saf 2008; 17:971–981</w:t>
      </w:r>
    </w:p>
  </w:endnote>
  <w:endnote w:id="662">
    <w:p w14:paraId="656EA126"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Fruhwald S Curr Opin Crit Care 2010, Ukleja A. Nutr Clin Pract. 2010;25:16-25</w:t>
      </w:r>
    </w:p>
  </w:endnote>
  <w:endnote w:id="663">
    <w:p w14:paraId="60292E7B"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w:t>
      </w:r>
      <w:r w:rsidRPr="00D60A69">
        <w:rPr>
          <w:lang w:val="en-US"/>
        </w:rPr>
        <w:t>Mentec H, Dupont H, Bocchetti M, et al: Upper digestive intolerance during enteral nutrition in critically ill patients: frequency, risk factors, and complications. Crit Care Med 2001; 29:1955–1961</w:t>
      </w:r>
    </w:p>
  </w:endnote>
  <w:endnote w:id="664">
    <w:p w14:paraId="26E9124E"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Zaloga GP, Marik P: Promotility agents in the intensive care unit. Crit Care Med 2000; 28:2657–2659</w:t>
      </w:r>
    </w:p>
  </w:endnote>
  <w:endnote w:id="665">
    <w:p w14:paraId="56700A35"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Tiancha H, Jiyong J, Min Y: How to Promote Bedside Placement of the Postpyloric Feeding Tube: A Network Meta-Analysis of Randomized Controlled Trials. JPEN J Parenter Enteral Nutr 2015; 39:521–530</w:t>
      </w:r>
    </w:p>
  </w:endnote>
  <w:endnote w:id="666">
    <w:p w14:paraId="23448539" w14:textId="58A30F41" w:rsidR="00587AE4" w:rsidRPr="00D60A69" w:rsidRDefault="00587AE4" w:rsidP="00801F84">
      <w:pPr>
        <w:pStyle w:val="Endnotentext"/>
        <w:rPr>
          <w:lang w:val="en-US"/>
        </w:rPr>
      </w:pPr>
      <w:r w:rsidRPr="00D60A69">
        <w:rPr>
          <w:rStyle w:val="Ohne"/>
        </w:rPr>
        <w:endnoteRef/>
      </w:r>
      <w:r w:rsidR="00EF1A9E">
        <w:rPr>
          <w:rStyle w:val="Ohne"/>
          <w:lang w:val="en-US"/>
        </w:rPr>
        <w:t xml:space="preserve"> </w:t>
      </w:r>
      <w:r w:rsidRPr="00D60A69">
        <w:rPr>
          <w:rStyle w:val="Ohne"/>
          <w:lang w:val="en-US"/>
        </w:rPr>
        <w:t>Alhazzani W, Almasoud A, Jaeschke R, et al: Small bowel feeding and risk of pneumonia in adult critically ill patients: a systematic review and meta-analysis of randomized trials. Crit Care 2013; 17:R127</w:t>
      </w:r>
    </w:p>
  </w:endnote>
  <w:endnote w:id="667">
    <w:p w14:paraId="167A9129" w14:textId="49F38AEF" w:rsidR="00EF1A9E" w:rsidRPr="00D60A69" w:rsidRDefault="00587AE4" w:rsidP="00801F84">
      <w:pPr>
        <w:pStyle w:val="Endnotentext"/>
        <w:rPr>
          <w:lang w:val="en-US"/>
        </w:rPr>
      </w:pPr>
      <w:r w:rsidRPr="00D60A69">
        <w:rPr>
          <w:rStyle w:val="Ohne"/>
        </w:rPr>
        <w:endnoteRef/>
      </w:r>
      <w:r w:rsidRPr="00D60A69">
        <w:rPr>
          <w:rStyle w:val="Ohne"/>
          <w:lang w:val="en-US"/>
        </w:rPr>
        <w:t xml:space="preserve"> Valenta J, Brodska H, Drabek T, et al: High-dose selenium substitution in sepsis: a prospective randomized clinical trial. Intensive Care Med 2011; 37:808–815</w:t>
      </w:r>
    </w:p>
  </w:endnote>
  <w:endnote w:id="668">
    <w:p w14:paraId="2C82FE5C" w14:textId="77777777" w:rsidR="00587AE4" w:rsidRPr="00D60A69" w:rsidRDefault="00587AE4" w:rsidP="00801F84">
      <w:pPr>
        <w:pStyle w:val="Endnotentext"/>
        <w:rPr>
          <w:rStyle w:val="Ohne"/>
          <w:lang w:val="en-US"/>
        </w:rPr>
      </w:pPr>
      <w:r w:rsidRPr="00D60A69">
        <w:endnoteRef/>
      </w:r>
      <w:r w:rsidRPr="00D60A69">
        <w:rPr>
          <w:lang w:val="en-US"/>
        </w:rPr>
        <w:t xml:space="preserve"> Bloos F, Trips E, Nierhaus A, Briegel J, Heyland DK, Jaschinski U, Moerer O, Weyland A, Marx G, Gründling M, Kluge S,</w:t>
      </w:r>
      <w:r w:rsidRPr="00D60A69">
        <w:rPr>
          <w:rStyle w:val="Ohne"/>
          <w:lang w:val="en-US"/>
        </w:rPr>
        <w:t xml:space="preserve"> Kaufmann I, Ott K, Quintel M, Jelschen F, Meybohm P, Rademacher S, Meier-Hellmann A, Utzolino S, Kaisers UX, Putensen C, Elke G, Ragaller M, Gerlach H, Ludewig K, Kiehntopf M, Bogatsch H, Engel C, Brunkhorst FM, Loeffler M, Reinhart K; for SepNet Critical Care Trials Group</w:t>
      </w:r>
    </w:p>
    <w:p w14:paraId="3864EC1C" w14:textId="77777777" w:rsidR="00587AE4" w:rsidRPr="00D60A69" w:rsidRDefault="00587AE4" w:rsidP="00801F84">
      <w:pPr>
        <w:pStyle w:val="Endnotentext"/>
        <w:rPr>
          <w:lang w:val="en-US"/>
        </w:rPr>
      </w:pPr>
      <w:r w:rsidRPr="00D60A69">
        <w:rPr>
          <w:rStyle w:val="Ohne"/>
          <w:lang w:val="en-US"/>
        </w:rPr>
        <w:t>Effect of Sodium Selenite Administration and Procalcitonin-Guided Therapy on Mortality in Patients With Severe Sepsis or Septic Shock: A Randomized Clinical Trial.JAMA Intern Med. 2016 Sep 1;176(9):1266-76. doi: 10.1001/jamainternmed.2016.2514</w:t>
      </w:r>
      <w:r w:rsidRPr="00D60A69" w:rsidDel="00264D62">
        <w:rPr>
          <w:rStyle w:val="Ohne"/>
          <w:lang w:val="en-US"/>
        </w:rPr>
        <w:t xml:space="preserve"> </w:t>
      </w:r>
    </w:p>
  </w:endnote>
  <w:endnote w:id="669">
    <w:p w14:paraId="12C2BC1A" w14:textId="77777777" w:rsidR="00587AE4" w:rsidRPr="00D60A69" w:rsidRDefault="00587AE4" w:rsidP="00801F84">
      <w:pPr>
        <w:pStyle w:val="Endnotentext"/>
        <w:rPr>
          <w:lang w:val="en-US"/>
        </w:rPr>
      </w:pPr>
      <w:r w:rsidRPr="00D60A69">
        <w:endnoteRef/>
      </w:r>
      <w:r w:rsidRPr="00D60A69">
        <w:rPr>
          <w:lang w:val="en-US"/>
        </w:rPr>
        <w:t xml:space="preserve"> Bloos F, Trips E, Nierhaus A, et al; for SepNet Critical Care Trials Group: Effect of Sodium Selenite Administration and</w:t>
      </w:r>
      <w:r w:rsidRPr="00D60A69">
        <w:rPr>
          <w:rStyle w:val="Ohne"/>
          <w:lang w:val="en-US"/>
        </w:rPr>
        <w:t xml:space="preserve"> Procalcitonin-Guided Therapy on Mortality in Patients With Severe Sepsis or Septic Shock: A Randomized Clinical Trial. JAMA Intern Med 2016; 176:1266–1276</w:t>
      </w:r>
    </w:p>
  </w:endnote>
  <w:endnote w:id="670">
    <w:p w14:paraId="53B6E153" w14:textId="77777777" w:rsidR="00587AE4" w:rsidRPr="00D60A69" w:rsidRDefault="00587AE4" w:rsidP="00801F84">
      <w:pPr>
        <w:pStyle w:val="Endnotentext"/>
        <w:rPr>
          <w:lang w:val="en-US"/>
        </w:rPr>
      </w:pPr>
      <w:r w:rsidRPr="00D60A69">
        <w:rPr>
          <w:rStyle w:val="Ohne"/>
        </w:rPr>
        <w:endnoteRef/>
      </w:r>
      <w:r w:rsidRPr="00D60A69">
        <w:rPr>
          <w:rStyle w:val="Ohne"/>
          <w:lang w:val="en-US"/>
        </w:rPr>
        <w:t>Marik PE, Zaloga GP: Early enteral nutrition in acutely ill patients: a systematic review. Crit Care Med 2001; 29:2264–2270</w:t>
      </w:r>
    </w:p>
  </w:endnote>
  <w:endnote w:id="671">
    <w:p w14:paraId="0417C5A9" w14:textId="6658DFA8" w:rsidR="00587AE4" w:rsidRPr="00D60A69" w:rsidRDefault="00587AE4" w:rsidP="00801F84">
      <w:pPr>
        <w:pStyle w:val="Endnotentext"/>
        <w:rPr>
          <w:lang w:val="en-US"/>
        </w:rPr>
      </w:pPr>
      <w:r w:rsidRPr="00D60A69">
        <w:rPr>
          <w:rStyle w:val="Ohne"/>
        </w:rPr>
        <w:endnoteRef/>
      </w:r>
      <w:r w:rsidRPr="00D60A69">
        <w:rPr>
          <w:rStyle w:val="Ohne"/>
          <w:lang w:val="en-US"/>
        </w:rPr>
        <w:t xml:space="preserve"> Avenell A: Glutamine in critical care: current evidence from systematic reviews. Proc Nutr Soc 2006; 65:236–241</w:t>
      </w:r>
    </w:p>
  </w:endnote>
  <w:endnote w:id="672">
    <w:p w14:paraId="4EC671EB" w14:textId="29F93153" w:rsidR="00EF1A9E" w:rsidRDefault="00EF1A9E">
      <w:pPr>
        <w:pStyle w:val="Endnotentext"/>
      </w:pPr>
      <w:r>
        <w:rPr>
          <w:rStyle w:val="Endnotenzeichen"/>
        </w:rPr>
        <w:endnoteRef/>
      </w:r>
      <w:r>
        <w:t xml:space="preserve"> </w:t>
      </w:r>
      <w:r w:rsidRPr="00EF1A9E">
        <w:t>Avenell A: Hot topics in parenteral nutrition. Current evidence and ongoing trials on the use of glutamine in critically-ill patients and patients undergoing surgery. Proc Nutr Soc 2009; 68:261–268</w:t>
      </w:r>
    </w:p>
  </w:endnote>
  <w:endnote w:id="673">
    <w:p w14:paraId="707D7559" w14:textId="48CEE0BA" w:rsidR="00EF1A9E" w:rsidRDefault="00EF1A9E">
      <w:pPr>
        <w:pStyle w:val="Endnotentext"/>
      </w:pPr>
      <w:r>
        <w:rPr>
          <w:rStyle w:val="Endnotenzeichen"/>
        </w:rPr>
        <w:endnoteRef/>
      </w:r>
      <w:r>
        <w:t xml:space="preserve"> </w:t>
      </w:r>
      <w:r w:rsidRPr="00EF1A9E">
        <w:t>Jiang H, Chen W, Hu W, et al: [The impact of glutamine-enhanced enteral nutrition on clinical outcome of patients with critical illness: a systematic review of randomized controlled trials]. Zhonghua Shao Shang Za Zhi 2009; 25:325–330</w:t>
      </w:r>
    </w:p>
  </w:endnote>
  <w:endnote w:id="674">
    <w:p w14:paraId="4CD470AA" w14:textId="6F9CAECA" w:rsidR="00EF1A9E" w:rsidRDefault="00EF1A9E">
      <w:pPr>
        <w:pStyle w:val="Endnotentext"/>
      </w:pPr>
      <w:r>
        <w:rPr>
          <w:rStyle w:val="Endnotenzeichen"/>
        </w:rPr>
        <w:endnoteRef/>
      </w:r>
      <w:r>
        <w:t xml:space="preserve"> </w:t>
      </w:r>
      <w:r w:rsidRPr="00EF1A9E">
        <w:t>Novak F, Heyland DK, Avenell A, et al: Glutamine supplementation in serious illness: a systematic review of the evidence. Crit Care Med 2002; 30:2022–2029</w:t>
      </w:r>
    </w:p>
  </w:endnote>
  <w:endnote w:id="675">
    <w:p w14:paraId="012516C2" w14:textId="43FB327B" w:rsidR="00587AE4" w:rsidRPr="00D60A69" w:rsidRDefault="00587AE4" w:rsidP="00801F84">
      <w:pPr>
        <w:pStyle w:val="Endnotentext"/>
        <w:rPr>
          <w:lang w:val="en-US"/>
        </w:rPr>
      </w:pPr>
      <w:r w:rsidRPr="00D60A69">
        <w:rPr>
          <w:rStyle w:val="Ohne"/>
        </w:rPr>
        <w:endnoteRef/>
      </w:r>
      <w:r w:rsidRPr="00D60A69">
        <w:rPr>
          <w:rStyle w:val="Ohne"/>
          <w:lang w:val="en-US"/>
        </w:rPr>
        <w:t xml:space="preserve"> Grau T, Bonet A, Miñambres E, et al; Metabolism, Nutrition Working Group, SEMICYUC, Spain: The effect of L-alanyl-L-glutamine dipeptide supplemented total parenteral nutrition on infectious morbidity and insulin sensitivity in critically ill patients. Crit Care Med 2011; 39:1263–1268</w:t>
      </w:r>
    </w:p>
  </w:endnote>
  <w:endnote w:id="676">
    <w:p w14:paraId="5E26A798" w14:textId="1C7746A1" w:rsidR="00EF1A9E" w:rsidRDefault="00EF1A9E">
      <w:pPr>
        <w:pStyle w:val="Endnotentext"/>
      </w:pPr>
      <w:r>
        <w:rPr>
          <w:rStyle w:val="Endnotenzeichen"/>
        </w:rPr>
        <w:endnoteRef/>
      </w:r>
      <w:r>
        <w:t xml:space="preserve"> </w:t>
      </w:r>
      <w:r w:rsidRPr="00EF1A9E">
        <w:t>Wang Z, Forceville X, Van Antwerpen P, et al: A large-bolus injection, but not continuous infusion of sodium selenite improves outcome in peritonitis. Shock 2009; 32:140–146</w:t>
      </w:r>
    </w:p>
  </w:endnote>
  <w:endnote w:id="677">
    <w:p w14:paraId="7C1F3FE9" w14:textId="0F716075" w:rsidR="00EF1A9E" w:rsidRDefault="00EF1A9E">
      <w:pPr>
        <w:pStyle w:val="Endnotentext"/>
      </w:pPr>
      <w:r>
        <w:rPr>
          <w:rStyle w:val="Endnotenzeichen"/>
        </w:rPr>
        <w:endnoteRef/>
      </w:r>
      <w:r>
        <w:t xml:space="preserve"> </w:t>
      </w:r>
      <w:r w:rsidRPr="00EF1A9E">
        <w:t>Wernerman J, Kirketeig T, Andersson B, et al; Scandinavian Critical Care Trials Group: Scandinavian glutamine trial: a pragmatic multicentre randomised clinical trial of intensive care unit patients. Acta Anaesthesiol Scand 2011; 55:812–818</w:t>
      </w:r>
    </w:p>
  </w:endnote>
  <w:endnote w:id="678">
    <w:p w14:paraId="3E0BF8BE" w14:textId="1BBF752F" w:rsidR="00EF1A9E" w:rsidRDefault="00EF1A9E">
      <w:pPr>
        <w:pStyle w:val="Endnotentext"/>
      </w:pPr>
      <w:r>
        <w:rPr>
          <w:rStyle w:val="Endnotenzeichen"/>
        </w:rPr>
        <w:endnoteRef/>
      </w:r>
      <w:r>
        <w:t xml:space="preserve"> </w:t>
      </w:r>
      <w:r w:rsidRPr="00EF1A9E">
        <w:t>Heyland D, Muscedere J, Wischmeyer PE, et al; Canadian Critical Care Trials Group: A randomized trial of glutamine and antioxidants in critically ill patients. N Engl J Med 2013; 368:1489–1497</w:t>
      </w:r>
    </w:p>
  </w:endnote>
  <w:endnote w:id="679">
    <w:p w14:paraId="06E6BC77"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Heyland D, Muscedere J, Wischmeyer PE, et al; Canadian Critical Care Trials Group: A randomized trial of glutamine and antioxidants in critically ill patients. N Engl J Med 2013; 368:1489–1497</w:t>
      </w:r>
    </w:p>
  </w:endnote>
  <w:endnote w:id="680">
    <w:p w14:paraId="5CD8C63F"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Beale RJ, Sherry T, Lei K, et al: Early enteral supplementation with key pharmaconutrients improves Sequential Organ Failure Assessment score in critically ill patients with sepsis: outcome of a randomized, controlled, double-blind trial. Crit Care Med 2008; 36:131–144</w:t>
      </w:r>
    </w:p>
  </w:endnote>
  <w:endnote w:id="681">
    <w:p w14:paraId="033A39E4" w14:textId="77777777" w:rsidR="00587AE4" w:rsidRPr="00D60A69" w:rsidRDefault="00587AE4" w:rsidP="00801F84">
      <w:pPr>
        <w:pStyle w:val="Endnotentext"/>
        <w:rPr>
          <w:lang w:val="en-US"/>
        </w:rPr>
      </w:pPr>
      <w:r w:rsidRPr="00D60A69">
        <w:rPr>
          <w:rStyle w:val="Ohne"/>
        </w:rPr>
        <w:endnoteRef/>
      </w:r>
      <w:r w:rsidRPr="00D60A69">
        <w:rPr>
          <w:rStyle w:val="Ohne"/>
          <w:lang w:val="en-US"/>
        </w:rPr>
        <w:t xml:space="preserve"> Fuentes-Orozco C, Anaya-Prado R, González-Ojeda A, et al: L-alanylL-glutamine-supplemented parenteral nutrition improves infectious morbidity in secondary peritonitis. Clin Nutr 2004; 23:13–21</w:t>
      </w:r>
    </w:p>
  </w:endnote>
  <w:endnote w:id="682">
    <w:p w14:paraId="7C774227" w14:textId="77777777" w:rsidR="00587AE4" w:rsidRPr="00D60A69" w:rsidRDefault="00587AE4" w:rsidP="00801F84">
      <w:pPr>
        <w:pStyle w:val="Endnotentext"/>
        <w:rPr>
          <w:lang w:val="en-US"/>
        </w:rPr>
      </w:pPr>
      <w:r w:rsidRPr="00D60A69">
        <w:endnoteRef/>
      </w:r>
      <w:r w:rsidRPr="00D60A69">
        <w:rPr>
          <w:lang w:val="en-US"/>
        </w:rPr>
        <w:t xml:space="preserve"> McRae MP</w:t>
      </w:r>
      <w:r w:rsidRPr="00D60A69">
        <w:rPr>
          <w:rStyle w:val="Ohne"/>
          <w:lang w:val="en-US"/>
        </w:rPr>
        <w:t xml:space="preserve"> Therapeutic benefits of glutamine: An Umbrella review of meta-analyses. Biomed Rep 2017; 6: 576-584</w:t>
      </w:r>
      <w:r w:rsidRPr="00D60A69" w:rsidDel="00264D62">
        <w:rPr>
          <w:rStyle w:val="Ohne"/>
          <w:lang w:val="en-US"/>
        </w:rPr>
        <w:t xml:space="preserve"> </w:t>
      </w:r>
    </w:p>
  </w:endnote>
  <w:endnote w:id="683">
    <w:p w14:paraId="0631CE54" w14:textId="77777777" w:rsidR="00587AE4" w:rsidRPr="00D60A69" w:rsidRDefault="00587AE4" w:rsidP="00801F84">
      <w:pPr>
        <w:pStyle w:val="Endnotentext"/>
        <w:rPr>
          <w:lang w:val="en-US"/>
        </w:rPr>
      </w:pPr>
      <w:r w:rsidRPr="00D60A69">
        <w:endnoteRef/>
      </w:r>
      <w:r w:rsidRPr="00D60A69">
        <w:rPr>
          <w:lang w:val="en-US"/>
        </w:rPr>
        <w:t xml:space="preserve"> Stehle P, Ellger B, Kojic D, Feuersenger A, Schneid C, Stover J, Scheiner D, Westphal M Glutamine dipeptide –</w:t>
      </w:r>
      <w:r w:rsidRPr="00D60A69">
        <w:rPr>
          <w:rStyle w:val="Ohne"/>
          <w:lang w:val="en-US"/>
        </w:rPr>
        <w:t>supplemented parenteral nutrition improves the clinical ouitcomes of critically ill patients: A systematic evaluation of randomized controlled trials. Clin Nutr ESPEN 2017; 17: 75-85</w:t>
      </w:r>
    </w:p>
  </w:endnote>
  <w:endnote w:id="684">
    <w:p w14:paraId="084C663E"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Garcia de Acilu M, Leal S, Caralt B, Roca O, Sabater J, Masclans JR: The role of omega-3 polyunsaturated fatty acids in the treatment of patients with acute respiratory distress syndrome: a clinical review. Biomed Res Int. 2015;2015:653750</w:t>
      </w:r>
    </w:p>
  </w:endnote>
  <w:endnote w:id="685">
    <w:p w14:paraId="75FB0E65"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Rice TW, Wheeler AP, Thompson BT, et al; NIH NHLBI Acute Respiratory Distress Syndrome Network of Investigators; NHLBI ARDS Clinical Trials Network: Enteral omega-3 fatty acid, gammalinolenic acid, and antioxidant supplementation in acute lung injury. JAMA 2011; 306:1574–1581</w:t>
      </w:r>
    </w:p>
  </w:endnote>
  <w:endnote w:id="686">
    <w:p w14:paraId="3B642989" w14:textId="77777777" w:rsidR="00587AE4" w:rsidRPr="00D60A69" w:rsidRDefault="00587AE4" w:rsidP="00801F84">
      <w:pPr>
        <w:pStyle w:val="Endnotentext"/>
        <w:rPr>
          <w:lang w:val="en-US"/>
        </w:rPr>
      </w:pPr>
      <w:r w:rsidRPr="00D60A69">
        <w:endnoteRef/>
      </w:r>
      <w:r w:rsidRPr="00D60A69">
        <w:rPr>
          <w:lang w:val="en-US"/>
        </w:rPr>
        <w:t xml:space="preserve"> Lu C, Sharma S</w:t>
      </w:r>
      <w:r w:rsidRPr="00D60A69">
        <w:rPr>
          <w:rStyle w:val="Ohne"/>
          <w:lang w:val="en-US"/>
        </w:rPr>
        <w:t>, McIntyre L, Rhodes A, Evans L, Almenawer S, Leduc L, Angus DC, Alhazzani W. Omega-3 supplementation in patients with sepsis: a systematic review and meta-analysis of randomized trials. Ann Intensive Care. 2017 Dec;7(1):58. doi: 10.1186/s13613-017-0282-5. Epub 2017 Jun 5 Luiking YC, Poeze M, Deutz NE Arginine infusion in patients with septic shock increases nitric oxide production without hemodynamic instability. Clin Sci (Lond) 2015; 128: 57-67</w:t>
      </w:r>
      <w:r w:rsidRPr="00D60A69" w:rsidDel="00264D62">
        <w:rPr>
          <w:rStyle w:val="Ohne"/>
          <w:lang w:val="en-US"/>
        </w:rPr>
        <w:t xml:space="preserve"> </w:t>
      </w:r>
    </w:p>
  </w:endnote>
  <w:endnote w:id="687">
    <w:p w14:paraId="0C9A3587" w14:textId="482BF7C4"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w:t>
      </w:r>
      <w:r w:rsidR="00D60A69" w:rsidRPr="00D60A69">
        <w:rPr>
          <w:lang w:val="en-US"/>
        </w:rPr>
        <w:t>Chen H, Wang S, Zhao Y, et al. Correlation analysis of omega-3 fatty acids and mortality of sepsis and sepsis-induced ARDS in adults: data from previous randomized controlled trials. Nutr J. 2018;17(1):57.</w:t>
      </w:r>
    </w:p>
  </w:endnote>
  <w:endnote w:id="688">
    <w:p w14:paraId="4AD57402" w14:textId="44D51202" w:rsidR="00E15D93" w:rsidRPr="00D60A69" w:rsidRDefault="00587AE4" w:rsidP="00801F84">
      <w:pPr>
        <w:pStyle w:val="Endnotentext"/>
        <w:rPr>
          <w:lang w:val="en-US"/>
        </w:rPr>
      </w:pPr>
      <w:r w:rsidRPr="00D60A69">
        <w:endnoteRef/>
      </w:r>
      <w:r w:rsidRPr="00D60A69">
        <w:rPr>
          <w:lang w:val="en-US"/>
        </w:rPr>
        <w:t xml:space="preserve"> Li WS, Chen ZZ,</w:t>
      </w:r>
      <w:r w:rsidRPr="00D60A69">
        <w:rPr>
          <w:rStyle w:val="Ohne"/>
          <w:lang w:val="en-US"/>
        </w:rPr>
        <w:t xml:space="preserve"> Zheng YJ, Zhong M, Ma JF, Xuan LZ, Song JQ, Lv QZ, Zhu DM. The efficacy of parenteral fish oil in critical illness patients with sepsis: a prospective, non-randomized, observational study. Asia Pac J Clin Nutr. 2018;27(2):306-312. doi: 10.6133/apjcn.032017.07</w:t>
      </w:r>
      <w:r w:rsidRPr="00D60A69" w:rsidDel="00264D62">
        <w:rPr>
          <w:rStyle w:val="Ohne"/>
          <w:lang w:val="en-US"/>
        </w:rPr>
        <w:t xml:space="preserve"> </w:t>
      </w:r>
    </w:p>
  </w:endnote>
  <w:endnote w:id="689">
    <w:p w14:paraId="24C4DA4A" w14:textId="77777777" w:rsidR="00587AE4" w:rsidRPr="00D60A69" w:rsidRDefault="00587AE4" w:rsidP="00801F84">
      <w:pPr>
        <w:pStyle w:val="Endnotentext"/>
        <w:rPr>
          <w:lang w:val="en-US"/>
        </w:rPr>
      </w:pPr>
      <w:r w:rsidRPr="00D60A69">
        <w:endnoteRef/>
      </w:r>
      <w:r w:rsidRPr="00D60A69">
        <w:rPr>
          <w:lang w:val="en-US"/>
        </w:rPr>
        <w:t xml:space="preserve"> Kreymann KG,</w:t>
      </w:r>
      <w:r w:rsidRPr="00D60A69">
        <w:rPr>
          <w:rStyle w:val="Ohne"/>
          <w:lang w:val="en-US"/>
        </w:rPr>
        <w:t xml:space="preserve"> Heyland DK, de Heer G, Elke G Intravenous fish oil in critically ill and surgical patients – Historical remarks and critical appraisal. Clin Nutr 2017</w:t>
      </w:r>
      <w:r w:rsidRPr="00D60A69" w:rsidDel="00264D62">
        <w:rPr>
          <w:rStyle w:val="Ohne"/>
          <w:lang w:val="en-US"/>
        </w:rPr>
        <w:t xml:space="preserve"> </w:t>
      </w:r>
    </w:p>
  </w:endnote>
  <w:endnote w:id="690">
    <w:p w14:paraId="56F0E7ED" w14:textId="77777777" w:rsidR="00587AE4" w:rsidRPr="00D60A69" w:rsidRDefault="00587AE4" w:rsidP="00801F84">
      <w:pPr>
        <w:pStyle w:val="Endnotentext"/>
        <w:rPr>
          <w:lang w:val="en-US"/>
        </w:rPr>
      </w:pPr>
      <w:r w:rsidRPr="00D60A69">
        <w:rPr>
          <w:rStyle w:val="Ohne"/>
        </w:rPr>
        <w:endnoteRef/>
      </w:r>
      <w:r w:rsidRPr="00D60A69">
        <w:rPr>
          <w:rStyle w:val="Hyperlink7"/>
        </w:rPr>
        <w:t xml:space="preserve"> </w:t>
      </w:r>
      <w:r w:rsidRPr="00D60A69">
        <w:rPr>
          <w:rStyle w:val="Ohne"/>
          <w:lang w:val="en-US"/>
        </w:rPr>
        <w:t>White DB, Engelberg RA, Wenrich MD, et al: The language of prognostication in intensive care units. Med Decis Making 2010; 30:76–83</w:t>
      </w:r>
    </w:p>
  </w:endnote>
  <w:endnote w:id="691">
    <w:p w14:paraId="72FE4CC1" w14:textId="77777777" w:rsidR="00587AE4" w:rsidRPr="00D60A69" w:rsidRDefault="00587AE4" w:rsidP="00801F84">
      <w:pPr>
        <w:pStyle w:val="Endnotentext"/>
        <w:rPr>
          <w:lang w:val="en-US"/>
        </w:rPr>
      </w:pPr>
      <w:r w:rsidRPr="00D60A69">
        <w:rPr>
          <w:rStyle w:val="Ohne"/>
        </w:rPr>
        <w:endnoteRef/>
      </w:r>
      <w:r w:rsidRPr="00D60A69">
        <w:rPr>
          <w:rStyle w:val="Hyperlink7"/>
        </w:rPr>
        <w:t xml:space="preserve"> </w:t>
      </w:r>
      <w:r w:rsidRPr="00D60A69">
        <w:rPr>
          <w:rStyle w:val="Ohne"/>
          <w:lang w:val="en-US"/>
        </w:rPr>
        <w:t>Chiarchiaro J, Buddadhumaruk P, Arnold RM, et al: Quality of com-munication in the ICU and surrogate’s understanding of prognosis. Crit Care Med 2015; 43:542–548</w:t>
      </w:r>
    </w:p>
  </w:endnote>
  <w:endnote w:id="692">
    <w:p w14:paraId="20D38A44" w14:textId="77777777" w:rsidR="00587AE4" w:rsidRPr="00D60A69" w:rsidRDefault="00587AE4" w:rsidP="00801F84">
      <w:pPr>
        <w:pStyle w:val="Endnotentext"/>
        <w:rPr>
          <w:lang w:val="en-US"/>
        </w:rPr>
      </w:pPr>
      <w:r w:rsidRPr="00D60A69">
        <w:rPr>
          <w:rStyle w:val="Ohne"/>
        </w:rPr>
        <w:endnoteRef/>
      </w:r>
      <w:r w:rsidRPr="00D60A69">
        <w:rPr>
          <w:rStyle w:val="Hyperlink7"/>
        </w:rPr>
        <w:t xml:space="preserve"> </w:t>
      </w:r>
      <w:r w:rsidRPr="00D60A69">
        <w:rPr>
          <w:rStyle w:val="Ohne"/>
          <w:lang w:val="en-US"/>
        </w:rPr>
        <w:t>Downar J, You JJ, Bagshaw SM, et al; Canadian Critical Care Trials Group: Nonbeneficial treatment Canada: definitions, causes, and potential solutions from the perspective of healthcare practitioners*. Crit Care Med 2015; 43:270–281</w:t>
      </w:r>
    </w:p>
  </w:endnote>
  <w:endnote w:id="693">
    <w:p w14:paraId="44270280" w14:textId="77777777" w:rsidR="00587AE4" w:rsidRPr="00D60A69" w:rsidRDefault="00587AE4" w:rsidP="00801F84">
      <w:pPr>
        <w:pStyle w:val="Endnotentext"/>
        <w:rPr>
          <w:lang w:val="en-US"/>
        </w:rPr>
      </w:pPr>
      <w:r w:rsidRPr="00D60A69">
        <w:rPr>
          <w:rStyle w:val="Ohne"/>
        </w:rPr>
        <w:endnoteRef/>
      </w:r>
      <w:r w:rsidRPr="00D60A69">
        <w:rPr>
          <w:rStyle w:val="Hyperlink7"/>
        </w:rPr>
        <w:t xml:space="preserve"> </w:t>
      </w:r>
      <w:r w:rsidRPr="00D60A69">
        <w:rPr>
          <w:rStyle w:val="Ohne"/>
          <w:lang w:val="en-US"/>
        </w:rPr>
        <w:t>Nelson JE, Curtis JR, Mulkerin C, et al; Improving Palliative Care in the ICU (IPAL-ICU) Project Advisory Board: Choosing and using screening criteria for palliative care consultation in the ICU: a report from the Improving Palliative Care in the ICU (IPAL-ICU) Advisory Board. Crit Care Med 2013; 41:2318–2327</w:t>
      </w:r>
    </w:p>
  </w:endnote>
  <w:endnote w:id="694">
    <w:p w14:paraId="2797BC59" w14:textId="77777777" w:rsidR="00587AE4" w:rsidRPr="00D60A69" w:rsidRDefault="00587AE4" w:rsidP="00801F84">
      <w:pPr>
        <w:pStyle w:val="Endnotentext"/>
        <w:rPr>
          <w:lang w:val="en-US"/>
        </w:rPr>
      </w:pPr>
      <w:r w:rsidRPr="00D60A69">
        <w:rPr>
          <w:rStyle w:val="Ohne"/>
        </w:rPr>
        <w:endnoteRef/>
      </w:r>
      <w:r w:rsidRPr="00D60A69">
        <w:rPr>
          <w:rStyle w:val="Hyperlink7"/>
        </w:rPr>
        <w:t xml:space="preserve"> </w:t>
      </w:r>
      <w:r w:rsidRPr="00D60A69">
        <w:rPr>
          <w:rStyle w:val="Ohne"/>
          <w:lang w:val="en-US"/>
        </w:rPr>
        <w:t>Detering KM, Hancock AD, Reade MC, et al: The impact of advance care planning on end of life care in elderly patients: randomised con trolled trial. BMJ 2010; 340:c1345</w:t>
      </w:r>
    </w:p>
  </w:endnote>
  <w:endnote w:id="695">
    <w:p w14:paraId="03215FA1" w14:textId="77777777" w:rsidR="00587AE4" w:rsidRPr="00D60A69" w:rsidRDefault="00587AE4" w:rsidP="00801F84">
      <w:pPr>
        <w:pStyle w:val="Endnotentext"/>
        <w:rPr>
          <w:lang w:val="en-US"/>
        </w:rPr>
      </w:pPr>
      <w:r w:rsidRPr="00D60A69">
        <w:rPr>
          <w:rStyle w:val="Ohne"/>
        </w:rPr>
        <w:endnoteRef/>
      </w:r>
      <w:r w:rsidRPr="00D60A69">
        <w:rPr>
          <w:rStyle w:val="Hyperlink7"/>
        </w:rPr>
        <w:t xml:space="preserve"> </w:t>
      </w:r>
      <w:r w:rsidRPr="00D60A69">
        <w:rPr>
          <w:rStyle w:val="Ohne"/>
          <w:lang w:val="en-US"/>
        </w:rPr>
        <w:t>Scheunemann LP, McDevitt M, Carson SS, et al: Randomized, con trolled trials of interventions to improve communication in intensive care: a systematic review. Chest 2011; 139:543–554</w:t>
      </w:r>
    </w:p>
  </w:endnote>
  <w:endnote w:id="696">
    <w:p w14:paraId="65D3EF14" w14:textId="77777777" w:rsidR="00587AE4" w:rsidRPr="00D60A69" w:rsidRDefault="00587AE4" w:rsidP="00801F84">
      <w:pPr>
        <w:pStyle w:val="Endnotentext"/>
        <w:rPr>
          <w:lang w:val="en-US"/>
        </w:rPr>
      </w:pPr>
      <w:r w:rsidRPr="00D60A69">
        <w:rPr>
          <w:rStyle w:val="Ohne"/>
        </w:rPr>
        <w:endnoteRef/>
      </w:r>
      <w:r w:rsidRPr="00D60A69">
        <w:rPr>
          <w:rStyle w:val="Hyperlink7"/>
        </w:rPr>
        <w:t xml:space="preserve"> </w:t>
      </w:r>
      <w:r w:rsidRPr="00D60A69">
        <w:rPr>
          <w:rStyle w:val="Ohne"/>
          <w:lang w:val="en-US"/>
        </w:rPr>
        <w:t>Bosslet GT, Pope TM, Rubenfeld GD, et al; American Thoracic Society ad hoc Committee on Futile and Potentially Inappropriate Treatment; American Thoracic Society; American Association for Critical Care Nurses; American College of Chest Physicians; European Society for Intensive Care Medicine; Society of Critical Care: An Official ATS/AACN/ACCP/ESICM/SCCM Policy Statement: Responding to Requests for Potentially Inappropriate Treatments in Intensive Care Units. Am J Respir Crit Care Med 2015; 191:1318–1330</w:t>
      </w:r>
    </w:p>
  </w:endnote>
  <w:endnote w:id="697">
    <w:p w14:paraId="0E87C236" w14:textId="77777777" w:rsidR="00587AE4" w:rsidRPr="00D60A69" w:rsidRDefault="00587AE4" w:rsidP="00801F84">
      <w:pPr>
        <w:pStyle w:val="Endnotentext"/>
        <w:rPr>
          <w:lang w:val="en-US"/>
        </w:rPr>
      </w:pPr>
      <w:r w:rsidRPr="00D60A69">
        <w:rPr>
          <w:rStyle w:val="Ohne"/>
        </w:rPr>
        <w:endnoteRef/>
      </w:r>
      <w:r w:rsidRPr="00D60A69">
        <w:rPr>
          <w:rStyle w:val="Hyperlink7"/>
        </w:rPr>
        <w:t xml:space="preserve"> </w:t>
      </w:r>
      <w:r w:rsidRPr="00D60A69">
        <w:rPr>
          <w:rStyle w:val="Ohne"/>
          <w:lang w:val="en-US"/>
        </w:rPr>
        <w:t>Kon AA, Davidson JE, Morrison W, et al; American College of Critical Care Medicine; American Thoracic Society: Shared Decision Making in ICUs: An American College of Critical Care Medicine and American Thoracic Society Policy Statement. Crit Care Med 2016; 44:188–201</w:t>
      </w:r>
    </w:p>
  </w:endnote>
  <w:endnote w:id="698">
    <w:p w14:paraId="6AB3A2D1" w14:textId="344E95BA" w:rsidR="00587AE4" w:rsidRPr="00D60A69" w:rsidRDefault="00587AE4" w:rsidP="00801F84">
      <w:pPr>
        <w:pStyle w:val="Endnotentext"/>
        <w:rPr>
          <w:lang w:val="en-US"/>
        </w:rPr>
      </w:pPr>
      <w:r w:rsidRPr="00D60A69">
        <w:rPr>
          <w:rStyle w:val="Ohne"/>
        </w:rPr>
        <w:endnoteRef/>
      </w:r>
      <w:r w:rsidRPr="00D60A69">
        <w:rPr>
          <w:rStyle w:val="Hyperlink7"/>
        </w:rPr>
        <w:t xml:space="preserve"> </w:t>
      </w:r>
      <w:r w:rsidRPr="00D60A69">
        <w:rPr>
          <w:rStyle w:val="Ohne"/>
          <w:lang w:val="en-US"/>
        </w:rPr>
        <w:t>Aslakson R, Cheng J, Vollenweider D, et al: Evidence-based pallia tive care in the intensive care unit: a systematic review of interven tions. J Palliat Med 2014; 17:219–235</w:t>
      </w:r>
    </w:p>
  </w:endnote>
  <w:endnote w:id="699">
    <w:p w14:paraId="087A1BF3" w14:textId="77777777" w:rsidR="00587AE4" w:rsidRPr="00D60A69" w:rsidRDefault="00587AE4" w:rsidP="00801F84">
      <w:pPr>
        <w:pStyle w:val="Endnotentext"/>
        <w:rPr>
          <w:lang w:val="en-US"/>
        </w:rPr>
      </w:pPr>
      <w:r w:rsidRPr="00D60A69">
        <w:rPr>
          <w:rStyle w:val="Ohne"/>
        </w:rPr>
        <w:endnoteRef/>
      </w:r>
      <w:r w:rsidRPr="00D60A69">
        <w:rPr>
          <w:rStyle w:val="Hyperlink7"/>
        </w:rPr>
        <w:t xml:space="preserve"> </w:t>
      </w:r>
      <w:r w:rsidRPr="00D60A69">
        <w:rPr>
          <w:rStyle w:val="Ohne"/>
          <w:lang w:val="en-US"/>
        </w:rPr>
        <w:t>Schulz V, Novick RJ: The distinct role of palliative care in the sur gical intensive care unit. Semin Cardiothorac Vasc Anesth 2013; 17:240–248</w:t>
      </w:r>
    </w:p>
  </w:endnote>
  <w:endnote w:id="700">
    <w:p w14:paraId="4F8EDB98" w14:textId="77777777" w:rsidR="00587AE4" w:rsidRPr="00D60A69" w:rsidRDefault="00587AE4" w:rsidP="00801F84">
      <w:pPr>
        <w:pStyle w:val="Endnotentext"/>
        <w:rPr>
          <w:lang w:val="en-US"/>
        </w:rPr>
      </w:pPr>
      <w:r w:rsidRPr="00D60A69">
        <w:rPr>
          <w:rStyle w:val="Ohne"/>
        </w:rPr>
        <w:endnoteRef/>
      </w:r>
      <w:r w:rsidRPr="00D60A69">
        <w:rPr>
          <w:rStyle w:val="Hyperlink7"/>
        </w:rPr>
        <w:t xml:space="preserve"> </w:t>
      </w:r>
      <w:r w:rsidRPr="00D60A69">
        <w:rPr>
          <w:rStyle w:val="Ohne"/>
          <w:lang w:val="en-US"/>
        </w:rPr>
        <w:t>Khandelwal N, Kross EK, Engelberg RA, et al: Estimating the effect of palliative care interventions and advance care planning on ICU utilization: a systematic review. Crit Care Med 2015; 43:1102–1111</w:t>
      </w:r>
    </w:p>
  </w:endnote>
  <w:endnote w:id="701">
    <w:p w14:paraId="026D2109" w14:textId="1641EDA3" w:rsidR="00EF1A9E" w:rsidRPr="00D60A69" w:rsidRDefault="00587AE4" w:rsidP="00801F84">
      <w:pPr>
        <w:pStyle w:val="Endnotentext"/>
        <w:rPr>
          <w:lang w:val="en-US"/>
        </w:rPr>
      </w:pPr>
      <w:r w:rsidRPr="00D60A69">
        <w:rPr>
          <w:rStyle w:val="Ohne"/>
        </w:rPr>
        <w:endnoteRef/>
      </w:r>
      <w:r w:rsidRPr="00D60A69">
        <w:rPr>
          <w:rStyle w:val="Hyperlink7"/>
        </w:rPr>
        <w:t xml:space="preserve"> </w:t>
      </w:r>
      <w:r w:rsidRPr="00D60A69">
        <w:rPr>
          <w:rStyle w:val="Ohne"/>
          <w:lang w:val="en-US"/>
        </w:rPr>
        <w:t>DeCato TW, Engelberg RA, Downey L, et al: Hospital variation and temporal trends in palliative and end-of-life care in the ICU. Crit Care Med 2013; 41:1405–1411</w:t>
      </w:r>
    </w:p>
  </w:endnote>
  <w:endnote w:id="702">
    <w:p w14:paraId="15D93473" w14:textId="77777777" w:rsidR="00587AE4" w:rsidRPr="00D60A69" w:rsidRDefault="00587AE4" w:rsidP="00801F84">
      <w:pPr>
        <w:pStyle w:val="Endnotentext"/>
        <w:rPr>
          <w:lang w:val="en-US"/>
        </w:rPr>
      </w:pPr>
      <w:r w:rsidRPr="00D60A69">
        <w:rPr>
          <w:rStyle w:val="Ohne"/>
        </w:rPr>
        <w:endnoteRef/>
      </w:r>
      <w:r w:rsidRPr="00D60A69">
        <w:rPr>
          <w:rStyle w:val="Hyperlink7"/>
        </w:rPr>
        <w:t xml:space="preserve"> </w:t>
      </w:r>
      <w:r w:rsidRPr="00D60A69">
        <w:rPr>
          <w:rStyle w:val="Ohne"/>
          <w:lang w:val="en-US"/>
        </w:rPr>
        <w:t>Sprung CL, Truog RD, Curtis JR, et al: Seeking worldwide profes sional consensus on the principles of end-of-life care for the critically ill. The Consensus for Worldwide End-of-Life Practice for Patients in Intensive Care Units (WELPICUS) study. Am J Respir Crit Care Med 2014; 190:855–866</w:t>
      </w:r>
    </w:p>
  </w:endnote>
  <w:endnote w:id="703">
    <w:p w14:paraId="48BDE4F0" w14:textId="77777777" w:rsidR="00587AE4" w:rsidRPr="00D60A69" w:rsidRDefault="00587AE4" w:rsidP="00801F84">
      <w:pPr>
        <w:pStyle w:val="Endnotentext"/>
        <w:rPr>
          <w:lang w:val="en-US"/>
        </w:rPr>
      </w:pPr>
      <w:r w:rsidRPr="00D60A69">
        <w:rPr>
          <w:rStyle w:val="Ohne"/>
        </w:rPr>
        <w:endnoteRef/>
      </w:r>
      <w:r w:rsidRPr="00D60A69">
        <w:rPr>
          <w:rStyle w:val="Hyperlink7"/>
        </w:rPr>
        <w:t xml:space="preserve"> </w:t>
      </w:r>
      <w:r w:rsidRPr="00D60A69">
        <w:rPr>
          <w:rStyle w:val="Ohne"/>
          <w:lang w:val="en-US"/>
        </w:rPr>
        <w:t xml:space="preserve">Davidson JE: Family presence on rounds in neonatal, pediat ric, and adult intensive care units. Ann Am Thorac Soc 2013; 10:152–156; </w:t>
      </w:r>
    </w:p>
  </w:endnote>
  <w:endnote w:id="704">
    <w:p w14:paraId="380497C4" w14:textId="77777777" w:rsidR="00587AE4" w:rsidRPr="00D60A69" w:rsidRDefault="00587AE4" w:rsidP="00801F84">
      <w:pPr>
        <w:pStyle w:val="Endnotentext"/>
        <w:rPr>
          <w:lang w:val="en-US"/>
        </w:rPr>
      </w:pPr>
      <w:r w:rsidRPr="00D60A69">
        <w:rPr>
          <w:rStyle w:val="Ohne"/>
        </w:rPr>
        <w:endnoteRef/>
      </w:r>
      <w:r w:rsidRPr="00D60A69">
        <w:rPr>
          <w:rStyle w:val="Hyperlink7"/>
        </w:rPr>
        <w:t xml:space="preserve"> </w:t>
      </w:r>
      <w:r w:rsidRPr="00D60A69">
        <w:rPr>
          <w:rStyle w:val="Ohne"/>
          <w:lang w:val="en-US"/>
        </w:rPr>
        <w:t>Flanders SA, Strasen JH: Review of evidence about family pres ence during resuscitation. Crit Care Nurs Clin North Am 2014; 26:533–550</w:t>
      </w:r>
    </w:p>
  </w:endnote>
  <w:endnote w:id="705">
    <w:p w14:paraId="233F061C" w14:textId="77777777" w:rsidR="00587AE4" w:rsidRPr="00D60A69" w:rsidRDefault="00587AE4" w:rsidP="00801F84">
      <w:pPr>
        <w:pStyle w:val="Endnotentext"/>
        <w:rPr>
          <w:lang w:val="en-US"/>
        </w:rPr>
      </w:pPr>
      <w:r w:rsidRPr="00D60A69">
        <w:rPr>
          <w:rStyle w:val="Ohne"/>
        </w:rPr>
        <w:endnoteRef/>
      </w:r>
      <w:r w:rsidRPr="00D60A69">
        <w:rPr>
          <w:rStyle w:val="Hyperlink7"/>
        </w:rPr>
        <w:t xml:space="preserve"> </w:t>
      </w:r>
      <w:r w:rsidRPr="00D60A69">
        <w:rPr>
          <w:rStyle w:val="Ohne"/>
          <w:lang w:val="en-US"/>
        </w:rPr>
        <w:t>Oczkowski SJ, Mazzetti I, Cupido C, et al: The offering of family presence during resuscitation: a systematic review and meta-analy sis. J Intensive Care 2015; 3:41</w:t>
      </w:r>
    </w:p>
  </w:endnote>
  <w:endnote w:id="706">
    <w:p w14:paraId="43DA13B9" w14:textId="77777777" w:rsidR="00587AE4" w:rsidRPr="00D60A69" w:rsidRDefault="00587AE4" w:rsidP="00801F84">
      <w:pPr>
        <w:pStyle w:val="Endnotentext"/>
        <w:rPr>
          <w:lang w:val="en-US"/>
        </w:rPr>
      </w:pPr>
      <w:r w:rsidRPr="00D60A69">
        <w:rPr>
          <w:rStyle w:val="Ohne"/>
        </w:rPr>
        <w:endnoteRef/>
      </w:r>
      <w:r w:rsidRPr="00D60A69">
        <w:rPr>
          <w:rStyle w:val="Hyperlink7"/>
        </w:rPr>
        <w:t xml:space="preserve"> </w:t>
      </w:r>
      <w:r w:rsidRPr="00D60A69">
        <w:rPr>
          <w:rStyle w:val="Ohne"/>
          <w:lang w:val="en-US"/>
        </w:rPr>
        <w:t>Oczkowski SJ, Mazzetti I, Cupido C, et al; Canadian Critical Care Society: Family presence during resuscitation: A Canadian Critical Care Society position paper. Can Respir J 2015; 22:201–205vv</w:t>
      </w:r>
    </w:p>
  </w:endnote>
  <w:endnote w:id="707">
    <w:p w14:paraId="203378D9"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Heyland DK, Hopman W, Coo H, Tranmer J, McColl MA. Long-term health-related quality of life in survivors of sepsis.</w:t>
      </w:r>
    </w:p>
    <w:p w14:paraId="2878ECFE" w14:textId="1A229F64" w:rsidR="00587AE4" w:rsidRPr="00D60A69" w:rsidRDefault="00587AE4" w:rsidP="00801F84">
      <w:pPr>
        <w:pStyle w:val="Endnotentext"/>
        <w:rPr>
          <w:lang w:val="en-US"/>
        </w:rPr>
      </w:pPr>
      <w:r w:rsidRPr="00D60A69">
        <w:rPr>
          <w:lang w:val="en-US"/>
        </w:rPr>
        <w:t>Short Form 36: a valid and reliable measure of health-related quality of life. Crit Care Med 2000;28(11):3599-605.</w:t>
      </w:r>
    </w:p>
  </w:endnote>
  <w:endnote w:id="708">
    <w:p w14:paraId="74F7FFA3" w14:textId="77777777" w:rsidR="00D60A69" w:rsidRPr="00D60A69" w:rsidRDefault="00D60A69" w:rsidP="00D60A69">
      <w:pPr>
        <w:pStyle w:val="Endnotentext"/>
      </w:pPr>
      <w:r w:rsidRPr="00D60A69">
        <w:rPr>
          <w:rStyle w:val="Endnotenzeichen"/>
        </w:rPr>
        <w:endnoteRef/>
      </w:r>
      <w:r w:rsidRPr="00D60A69">
        <w:t xml:space="preserve"> Korosec Jagodic H, Jagodic K, Podbregar M. Long-term outcome and quality of life of patients treated in surgical</w:t>
      </w:r>
    </w:p>
    <w:p w14:paraId="42148CCD" w14:textId="0823D854" w:rsidR="00D60A69" w:rsidRPr="00D60A69" w:rsidRDefault="00D60A69" w:rsidP="00D60A69">
      <w:pPr>
        <w:pStyle w:val="Endnotentext"/>
      </w:pPr>
      <w:r w:rsidRPr="00D60A69">
        <w:t>intensive care: a comparison between sepsis and trauma. Crit Care 2006;10(5):R134</w:t>
      </w:r>
    </w:p>
  </w:endnote>
  <w:endnote w:id="709">
    <w:p w14:paraId="5CCBFB66" w14:textId="579A0162" w:rsidR="00D60A69" w:rsidRPr="00D60A69" w:rsidRDefault="00D60A69" w:rsidP="00D60A69">
      <w:pPr>
        <w:pStyle w:val="Endnotentext"/>
      </w:pPr>
      <w:r w:rsidRPr="00D60A69">
        <w:rPr>
          <w:rStyle w:val="Endnotenzeichen"/>
        </w:rPr>
        <w:endnoteRef/>
      </w:r>
      <w:r w:rsidRPr="00D60A69">
        <w:t xml:space="preserve"> Granja C, Dias C, Costa-Pereira A, Sarmento A. Quality of life of survivors from severe sepsis and septic shock may be</w:t>
      </w:r>
    </w:p>
    <w:p w14:paraId="762130C1" w14:textId="1878514C" w:rsidR="00D60A69" w:rsidRPr="00D60A69" w:rsidRDefault="00D60A69" w:rsidP="00D60A69">
      <w:pPr>
        <w:pStyle w:val="Endnotentext"/>
      </w:pPr>
      <w:r w:rsidRPr="00D60A69">
        <w:t>similar to that of others who survive critical illness. Crit Care 2004;8(2):R91-8.</w:t>
      </w:r>
    </w:p>
  </w:endnote>
  <w:endnote w:id="710">
    <w:p w14:paraId="2896E4F5" w14:textId="78CADA13" w:rsidR="00587AE4" w:rsidRPr="00D60A69" w:rsidRDefault="00587AE4" w:rsidP="00801F84">
      <w:pPr>
        <w:pStyle w:val="Endnotentext"/>
        <w:rPr>
          <w:lang w:val="pl-PL"/>
        </w:rPr>
      </w:pPr>
      <w:r w:rsidRPr="00D60A69">
        <w:rPr>
          <w:rStyle w:val="Endnotenzeichen"/>
          <w:vertAlign w:val="baseline"/>
        </w:rPr>
        <w:endnoteRef/>
      </w:r>
      <w:r w:rsidRPr="00D60A69">
        <w:rPr>
          <w:lang w:val="en-US"/>
        </w:rPr>
        <w:t xml:space="preserve"> Bolton CF, Gilbert JJ, Hahn AF, Sibbald WJ. Polyneuropathy in critically ill patients. </w:t>
      </w:r>
      <w:r w:rsidRPr="00D60A69">
        <w:rPr>
          <w:lang w:val="pl-PL"/>
        </w:rPr>
        <w:t>J Neurol Neurosurg Psychiatry 1984;47(11):1223-31.</w:t>
      </w:r>
    </w:p>
  </w:endnote>
  <w:endnote w:id="711">
    <w:p w14:paraId="3FDA4479"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pl-PL"/>
        </w:rPr>
        <w:t xml:space="preserve"> Tepper M, Rakic S, Haas JA, Woittiez AJ. </w:t>
      </w:r>
      <w:r w:rsidRPr="00D60A69">
        <w:rPr>
          <w:lang w:val="en-US"/>
        </w:rPr>
        <w:t>Incidence and onset of critical illness polyneuropathy in patients with septic</w:t>
      </w:r>
    </w:p>
    <w:p w14:paraId="3381BC03" w14:textId="44431B9D" w:rsidR="00587AE4" w:rsidRDefault="00587AE4" w:rsidP="00801F84">
      <w:pPr>
        <w:pStyle w:val="Endnotentext"/>
        <w:rPr>
          <w:lang w:val="en-US"/>
        </w:rPr>
      </w:pPr>
      <w:r w:rsidRPr="00D60A69">
        <w:rPr>
          <w:lang w:val="en-US"/>
        </w:rPr>
        <w:t>shock. Neth J Med 2000;56(6):211-4.</w:t>
      </w:r>
    </w:p>
    <w:p w14:paraId="5D873C03" w14:textId="0A84FAFA" w:rsidR="00E15D93" w:rsidRDefault="00E15D93" w:rsidP="00801F84">
      <w:pPr>
        <w:pStyle w:val="Endnotentext"/>
        <w:rPr>
          <w:lang w:val="en-US"/>
        </w:rPr>
      </w:pPr>
    </w:p>
    <w:p w14:paraId="2A9D0E81" w14:textId="77777777" w:rsidR="00E15D93" w:rsidRPr="00D60A69" w:rsidRDefault="00E15D93" w:rsidP="00801F84">
      <w:pPr>
        <w:pStyle w:val="Endnotentext"/>
        <w:rPr>
          <w:lang w:val="en-US"/>
        </w:rPr>
      </w:pPr>
    </w:p>
  </w:endnote>
  <w:endnote w:id="712">
    <w:p w14:paraId="21C9DD72" w14:textId="4FC17778" w:rsidR="00D60A69" w:rsidRPr="00D60A69" w:rsidRDefault="00D60A69">
      <w:pPr>
        <w:pStyle w:val="Endnotentext"/>
      </w:pPr>
      <w:r w:rsidRPr="00D60A69">
        <w:rPr>
          <w:rStyle w:val="Endnotenzeichen"/>
        </w:rPr>
        <w:endnoteRef/>
      </w:r>
      <w:r w:rsidRPr="00D60A69">
        <w:t xml:space="preserve"> Davydow DS, Gifford JM, Desai SV, Bienvenu OJ, Needham DM. Depression in general intensive care unit survivors: a systematic review. Intensive Care Med 2009;35(5):796-809.</w:t>
      </w:r>
    </w:p>
  </w:endnote>
  <w:endnote w:id="713">
    <w:p w14:paraId="12D90965" w14:textId="653DD5E3" w:rsidR="00587AE4" w:rsidRPr="00D60A69" w:rsidRDefault="00587AE4" w:rsidP="00801F84">
      <w:pPr>
        <w:pStyle w:val="Endnotentext"/>
      </w:pPr>
      <w:r w:rsidRPr="00D60A69">
        <w:rPr>
          <w:rStyle w:val="Endnotenzeichen"/>
          <w:vertAlign w:val="baseline"/>
        </w:rPr>
        <w:endnoteRef/>
      </w:r>
      <w:r w:rsidRPr="00D60A69">
        <w:rPr>
          <w:lang w:val="en-US"/>
        </w:rPr>
        <w:t xml:space="preserve"> Schelling G. Post-traumatic stress disorder in somatic disease: lessons from critically ill patients. </w:t>
      </w:r>
      <w:r w:rsidRPr="00D60A69">
        <w:t>Prog Brain Res2008;167:229-37.</w:t>
      </w:r>
    </w:p>
  </w:endnote>
  <w:endnote w:id="714">
    <w:p w14:paraId="2B4A1E9E" w14:textId="77777777" w:rsidR="00587AE4" w:rsidRPr="00D60A69" w:rsidRDefault="00587AE4" w:rsidP="00801F84">
      <w:pPr>
        <w:pStyle w:val="Endnotentext"/>
      </w:pPr>
      <w:r w:rsidRPr="00D60A69">
        <w:rPr>
          <w:rStyle w:val="Endnotenzeichen"/>
          <w:vertAlign w:val="baseline"/>
        </w:rPr>
        <w:endnoteRef/>
      </w:r>
      <w:r w:rsidRPr="00D60A69">
        <w:t xml:space="preserve"> Mehlhorn J, Freytag A, Schmidt K, et al. Crit Care Med.2014;42(5):1263-1271</w:t>
      </w:r>
    </w:p>
  </w:endnote>
  <w:endnote w:id="715">
    <w:p w14:paraId="55854C58" w14:textId="77777777" w:rsidR="00587AE4" w:rsidRPr="00D60A69" w:rsidRDefault="00587AE4" w:rsidP="00801F84">
      <w:pPr>
        <w:pStyle w:val="Endnotentext"/>
        <w:rPr>
          <w:lang w:val="en-US"/>
        </w:rPr>
      </w:pPr>
      <w:r w:rsidRPr="00D60A69">
        <w:rPr>
          <w:rStyle w:val="Endnotenzeichen"/>
          <w:vertAlign w:val="baseline"/>
        </w:rPr>
        <w:endnoteRef/>
      </w:r>
      <w:r w:rsidRPr="00D60A69">
        <w:rPr>
          <w:lang w:val="en-US"/>
        </w:rPr>
        <w:t xml:space="preserve"> Graf J, Doig GS, Cook DJ, Vincent JL, Sibbald WJ. Randomized, controlled clinical trials in sepsis: has methodologicalquality improved over time? Crit Care Med 2002;30(2):461-72.</w:t>
      </w:r>
    </w:p>
  </w:endnote>
  <w:endnote w:id="716">
    <w:p w14:paraId="75CEA79A" w14:textId="79172ED8" w:rsidR="00587AE4" w:rsidRPr="00D60A69" w:rsidRDefault="00587AE4" w:rsidP="00B83447">
      <w:pPr>
        <w:pStyle w:val="Endnotentext"/>
        <w:rPr>
          <w:lang w:val="en-US"/>
        </w:rPr>
      </w:pPr>
      <w:r w:rsidRPr="00D60A69">
        <w:rPr>
          <w:rStyle w:val="Endnotenzeichen"/>
          <w:rFonts w:cs="Arial"/>
        </w:rPr>
        <w:endnoteRef/>
      </w:r>
      <w:r w:rsidRPr="00D60A69">
        <w:rPr>
          <w:rFonts w:cs="Arial"/>
          <w:lang w:val="en-US"/>
        </w:rPr>
        <w:t xml:space="preserve"> </w:t>
      </w:r>
      <w:r w:rsidR="00EF1A9E" w:rsidRPr="00EF1A9E">
        <w:rPr>
          <w:rFonts w:cs="Arial"/>
          <w:lang w:val="en-US"/>
        </w:rPr>
        <w:t xml:space="preserve">Prescott HC, Angus DC. Enhancing Recovery From Sepsis: A </w:t>
      </w:r>
      <w:r w:rsidR="00EF1A9E">
        <w:rPr>
          <w:rFonts w:cs="Arial"/>
          <w:lang w:val="en-US"/>
        </w:rPr>
        <w:t>Review. JAMA. 2018;319(1):62-75</w:t>
      </w:r>
      <w:r w:rsidRPr="00D60A69">
        <w:rPr>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70267"/>
      <w:docPartObj>
        <w:docPartGallery w:val="Page Numbers (Bottom of Page)"/>
        <w:docPartUnique/>
      </w:docPartObj>
    </w:sdtPr>
    <w:sdtEndPr/>
    <w:sdtContent>
      <w:p w14:paraId="7D618A71" w14:textId="644D3765" w:rsidR="00587AE4" w:rsidRDefault="00587AE4">
        <w:pPr>
          <w:pStyle w:val="Fuzeile"/>
          <w:jc w:val="right"/>
        </w:pPr>
        <w:r>
          <w:fldChar w:fldCharType="begin"/>
        </w:r>
        <w:r>
          <w:instrText>PAGE   \* MERGEFORMAT</w:instrText>
        </w:r>
        <w:r>
          <w:fldChar w:fldCharType="separate"/>
        </w:r>
        <w:r w:rsidR="0006628F">
          <w:rPr>
            <w:noProof/>
          </w:rPr>
          <w:t>2</w:t>
        </w:r>
        <w:r>
          <w:fldChar w:fldCharType="end"/>
        </w:r>
      </w:p>
    </w:sdtContent>
  </w:sdt>
  <w:p w14:paraId="220912FB" w14:textId="77777777" w:rsidR="00587AE4" w:rsidRDefault="00587AE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36EB1" w14:textId="1F65F439" w:rsidR="00587AE4" w:rsidRDefault="00587AE4" w:rsidP="001102A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6628F">
      <w:rPr>
        <w:rStyle w:val="Seitenzahl"/>
        <w:noProof/>
      </w:rPr>
      <w:t>126</w:t>
    </w:r>
    <w:r>
      <w:rPr>
        <w:rStyle w:val="Seitenzahl"/>
      </w:rPr>
      <w:fldChar w:fldCharType="end"/>
    </w:r>
  </w:p>
  <w:sdt>
    <w:sdtPr>
      <w:id w:val="804970944"/>
      <w:docPartObj>
        <w:docPartGallery w:val="Page Numbers (Bottom of Page)"/>
        <w:docPartUnique/>
      </w:docPartObj>
    </w:sdtPr>
    <w:sdtEndPr/>
    <w:sdtContent>
      <w:p w14:paraId="0F5885A9" w14:textId="05F98A1B" w:rsidR="00587AE4" w:rsidRDefault="00CC0421" w:rsidP="00EE4C03">
        <w:pPr>
          <w:pStyle w:val="Fuzeile"/>
          <w:ind w:right="360"/>
          <w:jc w:val="right"/>
        </w:pPr>
      </w:p>
    </w:sdtContent>
  </w:sdt>
  <w:p w14:paraId="520C5BC5" w14:textId="77777777" w:rsidR="00587AE4" w:rsidRDefault="00587AE4">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07E3E" w14:textId="77777777" w:rsidR="00CC0421" w:rsidRDefault="00CC0421">
      <w:pPr>
        <w:spacing w:after="0" w:line="240" w:lineRule="auto"/>
      </w:pPr>
      <w:r>
        <w:separator/>
      </w:r>
    </w:p>
  </w:footnote>
  <w:footnote w:type="continuationSeparator" w:id="0">
    <w:p w14:paraId="43517171" w14:textId="77777777" w:rsidR="00CC0421" w:rsidRDefault="00CC0421">
      <w:pPr>
        <w:spacing w:after="0" w:line="240" w:lineRule="auto"/>
      </w:pPr>
      <w:r>
        <w:continuationSeparator/>
      </w:r>
    </w:p>
  </w:footnote>
  <w:footnote w:id="1">
    <w:p w14:paraId="5FCF71EE" w14:textId="77777777" w:rsidR="00587AE4" w:rsidRPr="00B26F79" w:rsidRDefault="00587AE4">
      <w:pPr>
        <w:pStyle w:val="Funotentext"/>
        <w:rPr>
          <w:rFonts w:ascii="Cambria" w:hAnsi="Cambria"/>
        </w:rPr>
      </w:pPr>
      <w:r>
        <w:rPr>
          <w:rStyle w:val="Funotenzeichen"/>
        </w:rPr>
        <w:footnoteRef/>
      </w:r>
      <w:r>
        <w:t xml:space="preserve"> </w:t>
      </w:r>
      <w:r w:rsidRPr="00B26F79">
        <w:rPr>
          <w:rFonts w:ascii="Cambria" w:hAnsi="Cambria"/>
        </w:rPr>
        <w:t>Erstgenannt sind die Leiter der Autorengruppen.</w:t>
      </w:r>
    </w:p>
  </w:footnote>
  <w:footnote w:id="2">
    <w:p w14:paraId="3452B232" w14:textId="77777777" w:rsidR="00587AE4" w:rsidRDefault="00587AE4">
      <w:pPr>
        <w:pStyle w:val="Funotentext"/>
      </w:pPr>
      <w:r>
        <w:rPr>
          <w:rStyle w:val="Funotenzeichen"/>
        </w:rPr>
        <w:footnoteRef/>
      </w:r>
      <w:r>
        <w:t xml:space="preserve"> </w:t>
      </w:r>
      <w:r w:rsidRPr="00B26F79">
        <w:rPr>
          <w:rFonts w:ascii="Cambria" w:hAnsi="Cambria" w:cs="Arial"/>
        </w:rPr>
        <w:t xml:space="preserve">Der Begriff </w:t>
      </w:r>
      <w:r w:rsidRPr="00B26F79">
        <w:rPr>
          <w:rFonts w:ascii="Cambria" w:hAnsi="Cambria" w:cs="Arial"/>
          <w:i/>
          <w:iCs/>
        </w:rPr>
        <w:t>initial resuscitation</w:t>
      </w:r>
      <w:r w:rsidRPr="00B26F79">
        <w:rPr>
          <w:rFonts w:ascii="Cambria" w:hAnsi="Cambria" w:cs="Arial"/>
          <w:iCs/>
        </w:rPr>
        <w:t xml:space="preserve"> </w:t>
      </w:r>
      <w:r w:rsidRPr="00B26F79">
        <w:rPr>
          <w:rFonts w:ascii="Cambria" w:hAnsi="Cambria" w:cs="Arial"/>
        </w:rPr>
        <w:t>aus der SSC-Leitlinie wird im Kapitel A mit</w:t>
      </w:r>
      <w:r w:rsidRPr="00B26F79">
        <w:rPr>
          <w:rFonts w:ascii="Cambria" w:hAnsi="Cambria" w:cs="Arial"/>
          <w:iCs/>
        </w:rPr>
        <w:t xml:space="preserve"> hämodynamischer Stabilisierung </w:t>
      </w:r>
      <w:r w:rsidRPr="00B26F79">
        <w:rPr>
          <w:rFonts w:ascii="Cambria" w:hAnsi="Cambria" w:cs="Arial"/>
        </w:rPr>
        <w:t>übersetzt.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85923" w14:textId="77777777" w:rsidR="00587AE4" w:rsidRDefault="00587AE4">
    <w:pPr>
      <w:pStyle w:val="Kopf-undFuzeile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766F9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75081EF0"/>
    <w:lvl w:ilvl="0">
      <w:start w:val="1"/>
      <w:numFmt w:val="bullet"/>
      <w:pStyle w:val="Aufzhlungszeichen1"/>
      <w:lvlText w:val=""/>
      <w:lvlJc w:val="left"/>
      <w:pPr>
        <w:tabs>
          <w:tab w:val="num" w:pos="360"/>
        </w:tabs>
        <w:ind w:left="360" w:hanging="360"/>
      </w:pPr>
      <w:rPr>
        <w:rFonts w:ascii="Symbol" w:hAnsi="Symbol" w:hint="default"/>
      </w:rPr>
    </w:lvl>
  </w:abstractNum>
  <w:abstractNum w:abstractNumId="2">
    <w:nsid w:val="014F5DFD"/>
    <w:multiLevelType w:val="hybridMultilevel"/>
    <w:tmpl w:val="3E8E338C"/>
    <w:lvl w:ilvl="0" w:tplc="2A4020EC">
      <w:numFmt w:val="bullet"/>
      <w:lvlText w:val="•"/>
      <w:lvlJc w:val="left"/>
      <w:pPr>
        <w:ind w:left="652" w:hanging="360"/>
      </w:pPr>
      <w:rPr>
        <w:rFonts w:ascii="Arial" w:eastAsiaTheme="minorHAnsi" w:hAnsi="Arial" w:cs="Arial" w:hint="default"/>
      </w:rPr>
    </w:lvl>
    <w:lvl w:ilvl="1" w:tplc="035AF7C4">
      <w:numFmt w:val="bullet"/>
      <w:lvlText w:val="-"/>
      <w:lvlJc w:val="left"/>
      <w:pPr>
        <w:ind w:left="1372" w:hanging="360"/>
      </w:pPr>
      <w:rPr>
        <w:rFonts w:ascii="Arial" w:eastAsiaTheme="minorHAnsi" w:hAnsi="Arial" w:cs="Arial" w:hint="default"/>
      </w:rPr>
    </w:lvl>
    <w:lvl w:ilvl="2" w:tplc="04070005" w:tentative="1">
      <w:start w:val="1"/>
      <w:numFmt w:val="bullet"/>
      <w:lvlText w:val=""/>
      <w:lvlJc w:val="left"/>
      <w:pPr>
        <w:ind w:left="2092" w:hanging="360"/>
      </w:pPr>
      <w:rPr>
        <w:rFonts w:ascii="Wingdings" w:hAnsi="Wingdings" w:hint="default"/>
      </w:rPr>
    </w:lvl>
    <w:lvl w:ilvl="3" w:tplc="04070001" w:tentative="1">
      <w:start w:val="1"/>
      <w:numFmt w:val="bullet"/>
      <w:lvlText w:val=""/>
      <w:lvlJc w:val="left"/>
      <w:pPr>
        <w:ind w:left="2812" w:hanging="360"/>
      </w:pPr>
      <w:rPr>
        <w:rFonts w:ascii="Symbol" w:hAnsi="Symbol" w:hint="default"/>
      </w:rPr>
    </w:lvl>
    <w:lvl w:ilvl="4" w:tplc="04070003" w:tentative="1">
      <w:start w:val="1"/>
      <w:numFmt w:val="bullet"/>
      <w:lvlText w:val="o"/>
      <w:lvlJc w:val="left"/>
      <w:pPr>
        <w:ind w:left="3532" w:hanging="360"/>
      </w:pPr>
      <w:rPr>
        <w:rFonts w:ascii="Courier New" w:hAnsi="Courier New" w:cs="Courier New" w:hint="default"/>
      </w:rPr>
    </w:lvl>
    <w:lvl w:ilvl="5" w:tplc="04070005" w:tentative="1">
      <w:start w:val="1"/>
      <w:numFmt w:val="bullet"/>
      <w:lvlText w:val=""/>
      <w:lvlJc w:val="left"/>
      <w:pPr>
        <w:ind w:left="4252" w:hanging="360"/>
      </w:pPr>
      <w:rPr>
        <w:rFonts w:ascii="Wingdings" w:hAnsi="Wingdings" w:hint="default"/>
      </w:rPr>
    </w:lvl>
    <w:lvl w:ilvl="6" w:tplc="04070001" w:tentative="1">
      <w:start w:val="1"/>
      <w:numFmt w:val="bullet"/>
      <w:lvlText w:val=""/>
      <w:lvlJc w:val="left"/>
      <w:pPr>
        <w:ind w:left="4972" w:hanging="360"/>
      </w:pPr>
      <w:rPr>
        <w:rFonts w:ascii="Symbol" w:hAnsi="Symbol" w:hint="default"/>
      </w:rPr>
    </w:lvl>
    <w:lvl w:ilvl="7" w:tplc="04070003" w:tentative="1">
      <w:start w:val="1"/>
      <w:numFmt w:val="bullet"/>
      <w:lvlText w:val="o"/>
      <w:lvlJc w:val="left"/>
      <w:pPr>
        <w:ind w:left="5692" w:hanging="360"/>
      </w:pPr>
      <w:rPr>
        <w:rFonts w:ascii="Courier New" w:hAnsi="Courier New" w:cs="Courier New" w:hint="default"/>
      </w:rPr>
    </w:lvl>
    <w:lvl w:ilvl="8" w:tplc="04070005" w:tentative="1">
      <w:start w:val="1"/>
      <w:numFmt w:val="bullet"/>
      <w:lvlText w:val=""/>
      <w:lvlJc w:val="left"/>
      <w:pPr>
        <w:ind w:left="6412" w:hanging="360"/>
      </w:pPr>
      <w:rPr>
        <w:rFonts w:ascii="Wingdings" w:hAnsi="Wingdings" w:hint="default"/>
      </w:rPr>
    </w:lvl>
  </w:abstractNum>
  <w:abstractNum w:abstractNumId="3">
    <w:nsid w:val="017C0F15"/>
    <w:multiLevelType w:val="hybridMultilevel"/>
    <w:tmpl w:val="30F802D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68550F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768414D"/>
    <w:multiLevelType w:val="multilevel"/>
    <w:tmpl w:val="F07C66EE"/>
    <w:lvl w:ilvl="0">
      <w:start w:val="537"/>
      <w:numFmt w:val="decimal"/>
      <w:lvlText w:val="%1."/>
      <w:lvlJc w:val="left"/>
      <w:pPr>
        <w:tabs>
          <w:tab w:val="decimal" w:pos="432"/>
        </w:tabs>
        <w:ind w:left="720" w:firstLine="0"/>
      </w:pPr>
      <w:rPr>
        <w:rFonts w:ascii="Arial" w:eastAsia="Arial" w:hAnsi="Arial"/>
        <w:strike w:val="0"/>
        <w:dstrike w:val="0"/>
        <w:color w:val="000000"/>
        <w:spacing w:val="0"/>
        <w:w w:val="100"/>
        <w:sz w:val="15"/>
        <w:u w:val="none"/>
        <w:effect w:val="none"/>
        <w:vertAlign w:val="baseli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95A743D"/>
    <w:multiLevelType w:val="hybridMultilevel"/>
    <w:tmpl w:val="241CBE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09E0762D"/>
    <w:multiLevelType w:val="multilevel"/>
    <w:tmpl w:val="B972FD0A"/>
    <w:lvl w:ilvl="0">
      <w:start w:val="174"/>
      <w:numFmt w:val="decimal"/>
      <w:lvlText w:val="%1."/>
      <w:lvlJc w:val="left"/>
      <w:pPr>
        <w:tabs>
          <w:tab w:val="decimal" w:pos="432"/>
        </w:tabs>
        <w:ind w:left="720"/>
      </w:pPr>
      <w:rPr>
        <w:rFonts w:ascii="Arial" w:eastAsia="Arial" w:hAnsi="Arial"/>
        <w:strike w:val="0"/>
        <w:color w:val="000000"/>
        <w:spacing w:val="0"/>
        <w:w w:val="100"/>
        <w:sz w:val="15"/>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C439DA"/>
    <w:multiLevelType w:val="hybridMultilevel"/>
    <w:tmpl w:val="43129026"/>
    <w:lvl w:ilvl="0" w:tplc="FFFFFFFF">
      <w:start w:val="1"/>
      <w:numFmt w:val="bullet"/>
      <w:lvlText w:val=""/>
      <w:lvlJc w:val="left"/>
      <w:pPr>
        <w:ind w:left="2520" w:hanging="360"/>
      </w:pPr>
      <w:rPr>
        <w:rFonts w:ascii="Wingdings" w:hAnsi="Wingdings" w:hint="default"/>
        <w:strike w:val="0"/>
        <w:color w:val="auto"/>
        <w:sz w:val="24"/>
        <w:szCs w:val="24"/>
        <w:vertAlign w:val="baseline"/>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9">
    <w:nsid w:val="0B8647DC"/>
    <w:multiLevelType w:val="hybridMultilevel"/>
    <w:tmpl w:val="831A037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0CAE2A69"/>
    <w:multiLevelType w:val="hybridMultilevel"/>
    <w:tmpl w:val="8B9697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0E4E663C"/>
    <w:multiLevelType w:val="hybridMultilevel"/>
    <w:tmpl w:val="6BCAB41E"/>
    <w:lvl w:ilvl="0" w:tplc="6F4C519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0F0D1675"/>
    <w:multiLevelType w:val="hybridMultilevel"/>
    <w:tmpl w:val="01987E08"/>
    <w:lvl w:ilvl="0" w:tplc="35F8B1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0FA7256B"/>
    <w:multiLevelType w:val="hybridMultilevel"/>
    <w:tmpl w:val="D29E76DC"/>
    <w:lvl w:ilvl="0" w:tplc="B0509C18">
      <w:start w:val="1"/>
      <w:numFmt w:val="decimal"/>
      <w:lvlText w:val="%1."/>
      <w:lvlJc w:val="left"/>
      <w:pPr>
        <w:ind w:left="360" w:hanging="360"/>
      </w:pPr>
      <w:rPr>
        <w:rFonts w:ascii="Calibri" w:hAnsi="Calibri" w:cs="Calibri"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nsid w:val="0FFE36A3"/>
    <w:multiLevelType w:val="multilevel"/>
    <w:tmpl w:val="7AF8E9AE"/>
    <w:lvl w:ilvl="0">
      <w:start w:val="96"/>
      <w:numFmt w:val="decimal"/>
      <w:lvlText w:val="%1."/>
      <w:lvlJc w:val="left"/>
      <w:pPr>
        <w:tabs>
          <w:tab w:val="decimal" w:pos="360"/>
        </w:tabs>
        <w:ind w:left="720"/>
      </w:pPr>
      <w:rPr>
        <w:rFonts w:ascii="Arial" w:eastAsia="Arial" w:hAnsi="Arial"/>
        <w:strike w:val="0"/>
        <w:color w:val="000000"/>
        <w:spacing w:val="0"/>
        <w:w w:val="100"/>
        <w:sz w:val="15"/>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0DF5B3B"/>
    <w:multiLevelType w:val="hybridMultilevel"/>
    <w:tmpl w:val="3E8002D2"/>
    <w:lvl w:ilvl="0" w:tplc="A86CAD8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13A83663"/>
    <w:multiLevelType w:val="hybridMultilevel"/>
    <w:tmpl w:val="3ABEF8B2"/>
    <w:numStyleLink w:val="ImportierterStil3"/>
  </w:abstractNum>
  <w:abstractNum w:abstractNumId="17">
    <w:nsid w:val="15B27A9A"/>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16945D32"/>
    <w:multiLevelType w:val="hybridMultilevel"/>
    <w:tmpl w:val="B1F0C0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1AC52790"/>
    <w:multiLevelType w:val="hybridMultilevel"/>
    <w:tmpl w:val="E952AC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1BA54169"/>
    <w:multiLevelType w:val="hybridMultilevel"/>
    <w:tmpl w:val="FC54C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1C797676"/>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1E2A5BC6"/>
    <w:multiLevelType w:val="multilevel"/>
    <w:tmpl w:val="BA8647F0"/>
    <w:lvl w:ilvl="0">
      <w:start w:val="1"/>
      <w:numFmt w:val="decimal"/>
      <w:lvlText w:val="%1."/>
      <w:lvlJc w:val="left"/>
      <w:pPr>
        <w:ind w:left="3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48" w:hanging="5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304" w:hanging="8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48" w:hanging="10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592" w:hanging="11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736" w:hanging="1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88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2024" w:hanging="15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1EAA1C5B"/>
    <w:multiLevelType w:val="multilevel"/>
    <w:tmpl w:val="0D68CFF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1ED47388"/>
    <w:multiLevelType w:val="hybridMultilevel"/>
    <w:tmpl w:val="64AC8624"/>
    <w:numStyleLink w:val="ImportierterStil4"/>
  </w:abstractNum>
  <w:abstractNum w:abstractNumId="25">
    <w:nsid w:val="1EFC7022"/>
    <w:multiLevelType w:val="hybridMultilevel"/>
    <w:tmpl w:val="E58E0C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225D138F"/>
    <w:multiLevelType w:val="multilevel"/>
    <w:tmpl w:val="2D5C74B8"/>
    <w:lvl w:ilvl="0">
      <w:start w:val="581"/>
      <w:numFmt w:val="decimal"/>
      <w:lvlText w:val="%1."/>
      <w:lvlJc w:val="left"/>
      <w:pPr>
        <w:tabs>
          <w:tab w:val="decimal" w:pos="432"/>
        </w:tabs>
        <w:ind w:left="720" w:firstLine="0"/>
      </w:pPr>
      <w:rPr>
        <w:rFonts w:ascii="Arial" w:eastAsia="Arial" w:hAnsi="Arial"/>
        <w:strike w:val="0"/>
        <w:dstrike w:val="0"/>
        <w:color w:val="000000"/>
        <w:spacing w:val="6"/>
        <w:w w:val="100"/>
        <w:sz w:val="15"/>
        <w:u w:val="none"/>
        <w:effect w:val="none"/>
        <w:vertAlign w:val="baseli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24A16929"/>
    <w:multiLevelType w:val="hybridMultilevel"/>
    <w:tmpl w:val="0874BA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2595752F"/>
    <w:multiLevelType w:val="multilevel"/>
    <w:tmpl w:val="EC84302A"/>
    <w:numStyleLink w:val="ImportierterStil1"/>
  </w:abstractNum>
  <w:abstractNum w:abstractNumId="29">
    <w:nsid w:val="27191345"/>
    <w:multiLevelType w:val="hybridMultilevel"/>
    <w:tmpl w:val="D548B384"/>
    <w:lvl w:ilvl="0" w:tplc="2A4020EC">
      <w:numFmt w:val="bullet"/>
      <w:lvlText w:val="•"/>
      <w:lvlJc w:val="left"/>
      <w:pPr>
        <w:ind w:left="652"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283073EE"/>
    <w:multiLevelType w:val="hybridMultilevel"/>
    <w:tmpl w:val="1AF81C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28E1704F"/>
    <w:multiLevelType w:val="hybridMultilevel"/>
    <w:tmpl w:val="B1F0C0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2A46079E"/>
    <w:multiLevelType w:val="hybridMultilevel"/>
    <w:tmpl w:val="D64A5B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2C3938CF"/>
    <w:multiLevelType w:val="hybridMultilevel"/>
    <w:tmpl w:val="1598D2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2CC37AD0"/>
    <w:multiLevelType w:val="hybridMultilevel"/>
    <w:tmpl w:val="A47815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2D280AB6"/>
    <w:multiLevelType w:val="hybridMultilevel"/>
    <w:tmpl w:val="950A2492"/>
    <w:lvl w:ilvl="0" w:tplc="F7B818C4">
      <w:start w:val="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2DC21EFB"/>
    <w:multiLevelType w:val="multilevel"/>
    <w:tmpl w:val="704ECD5E"/>
    <w:lvl w:ilvl="0">
      <w:start w:val="136"/>
      <w:numFmt w:val="decimal"/>
      <w:lvlText w:val="%1."/>
      <w:lvlJc w:val="left"/>
      <w:pPr>
        <w:tabs>
          <w:tab w:val="decimal" w:pos="288"/>
        </w:tabs>
        <w:ind w:left="720"/>
      </w:pPr>
      <w:rPr>
        <w:rFonts w:ascii="Arial" w:eastAsia="Arial" w:hAnsi="Arial"/>
        <w:strike w:val="0"/>
        <w:color w:val="000000"/>
        <w:spacing w:val="0"/>
        <w:w w:val="100"/>
        <w:sz w:val="15"/>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4375A25"/>
    <w:multiLevelType w:val="hybridMultilevel"/>
    <w:tmpl w:val="B1F0C0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349A32E3"/>
    <w:multiLevelType w:val="hybridMultilevel"/>
    <w:tmpl w:val="BDDC4C2C"/>
    <w:lvl w:ilvl="0" w:tplc="7B9C8E3A">
      <w:start w:val="20"/>
      <w:numFmt w:val="bullet"/>
      <w:lvlText w:val="-"/>
      <w:lvlJc w:val="left"/>
      <w:pPr>
        <w:ind w:left="720" w:hanging="360"/>
      </w:pPr>
      <w:rPr>
        <w:rFonts w:ascii="Calibri" w:eastAsia="Arial"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373B18D2"/>
    <w:multiLevelType w:val="hybridMultilevel"/>
    <w:tmpl w:val="BAACF956"/>
    <w:lvl w:ilvl="0" w:tplc="0407000F">
      <w:start w:val="1"/>
      <w:numFmt w:val="decimal"/>
      <w:pStyle w:val="Aufzhlungszeichen"/>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nsid w:val="391636A4"/>
    <w:multiLevelType w:val="multilevel"/>
    <w:tmpl w:val="F0EAFACC"/>
    <w:lvl w:ilvl="0">
      <w:start w:val="512"/>
      <w:numFmt w:val="decimal"/>
      <w:lvlText w:val="%1."/>
      <w:lvlJc w:val="left"/>
      <w:pPr>
        <w:tabs>
          <w:tab w:val="num" w:pos="432"/>
        </w:tabs>
        <w:ind w:left="720" w:firstLine="0"/>
      </w:pPr>
      <w:rPr>
        <w:rFonts w:ascii="Arial" w:eastAsia="Arial" w:hAnsi="Arial" w:hint="default"/>
        <w:strike w:val="0"/>
        <w:color w:val="000000"/>
        <w:spacing w:val="0"/>
        <w:w w:val="100"/>
        <w:sz w:val="15"/>
        <w:vertAlign w:val="baseline"/>
        <w:lang w:val="de-D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nsid w:val="396A508E"/>
    <w:multiLevelType w:val="hybridMultilevel"/>
    <w:tmpl w:val="6ED6A9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39C568D2"/>
    <w:multiLevelType w:val="hybridMultilevel"/>
    <w:tmpl w:val="2D3CAFA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3AEA6B49"/>
    <w:multiLevelType w:val="hybridMultilevel"/>
    <w:tmpl w:val="3C46D374"/>
    <w:lvl w:ilvl="0" w:tplc="04070001">
      <w:start w:val="1"/>
      <w:numFmt w:val="bullet"/>
      <w:lvlText w:val=""/>
      <w:lvlJc w:val="left"/>
      <w:pPr>
        <w:ind w:left="999" w:hanging="360"/>
      </w:pPr>
      <w:rPr>
        <w:rFonts w:ascii="Symbol" w:hAnsi="Symbol" w:hint="default"/>
      </w:rPr>
    </w:lvl>
    <w:lvl w:ilvl="1" w:tplc="04070003" w:tentative="1">
      <w:start w:val="1"/>
      <w:numFmt w:val="bullet"/>
      <w:lvlText w:val="o"/>
      <w:lvlJc w:val="left"/>
      <w:pPr>
        <w:ind w:left="1719" w:hanging="360"/>
      </w:pPr>
      <w:rPr>
        <w:rFonts w:ascii="Courier New" w:hAnsi="Courier New" w:cs="Courier New" w:hint="default"/>
      </w:rPr>
    </w:lvl>
    <w:lvl w:ilvl="2" w:tplc="04070005" w:tentative="1">
      <w:start w:val="1"/>
      <w:numFmt w:val="bullet"/>
      <w:lvlText w:val=""/>
      <w:lvlJc w:val="left"/>
      <w:pPr>
        <w:ind w:left="2439" w:hanging="360"/>
      </w:pPr>
      <w:rPr>
        <w:rFonts w:ascii="Wingdings" w:hAnsi="Wingdings" w:hint="default"/>
      </w:rPr>
    </w:lvl>
    <w:lvl w:ilvl="3" w:tplc="04070001" w:tentative="1">
      <w:start w:val="1"/>
      <w:numFmt w:val="bullet"/>
      <w:lvlText w:val=""/>
      <w:lvlJc w:val="left"/>
      <w:pPr>
        <w:ind w:left="3159" w:hanging="360"/>
      </w:pPr>
      <w:rPr>
        <w:rFonts w:ascii="Symbol" w:hAnsi="Symbol" w:hint="default"/>
      </w:rPr>
    </w:lvl>
    <w:lvl w:ilvl="4" w:tplc="04070003" w:tentative="1">
      <w:start w:val="1"/>
      <w:numFmt w:val="bullet"/>
      <w:lvlText w:val="o"/>
      <w:lvlJc w:val="left"/>
      <w:pPr>
        <w:ind w:left="3879" w:hanging="360"/>
      </w:pPr>
      <w:rPr>
        <w:rFonts w:ascii="Courier New" w:hAnsi="Courier New" w:cs="Courier New" w:hint="default"/>
      </w:rPr>
    </w:lvl>
    <w:lvl w:ilvl="5" w:tplc="04070005" w:tentative="1">
      <w:start w:val="1"/>
      <w:numFmt w:val="bullet"/>
      <w:lvlText w:val=""/>
      <w:lvlJc w:val="left"/>
      <w:pPr>
        <w:ind w:left="4599" w:hanging="360"/>
      </w:pPr>
      <w:rPr>
        <w:rFonts w:ascii="Wingdings" w:hAnsi="Wingdings" w:hint="default"/>
      </w:rPr>
    </w:lvl>
    <w:lvl w:ilvl="6" w:tplc="04070001" w:tentative="1">
      <w:start w:val="1"/>
      <w:numFmt w:val="bullet"/>
      <w:lvlText w:val=""/>
      <w:lvlJc w:val="left"/>
      <w:pPr>
        <w:ind w:left="5319" w:hanging="360"/>
      </w:pPr>
      <w:rPr>
        <w:rFonts w:ascii="Symbol" w:hAnsi="Symbol" w:hint="default"/>
      </w:rPr>
    </w:lvl>
    <w:lvl w:ilvl="7" w:tplc="04070003" w:tentative="1">
      <w:start w:val="1"/>
      <w:numFmt w:val="bullet"/>
      <w:lvlText w:val="o"/>
      <w:lvlJc w:val="left"/>
      <w:pPr>
        <w:ind w:left="6039" w:hanging="360"/>
      </w:pPr>
      <w:rPr>
        <w:rFonts w:ascii="Courier New" w:hAnsi="Courier New" w:cs="Courier New" w:hint="default"/>
      </w:rPr>
    </w:lvl>
    <w:lvl w:ilvl="8" w:tplc="04070005" w:tentative="1">
      <w:start w:val="1"/>
      <w:numFmt w:val="bullet"/>
      <w:lvlText w:val=""/>
      <w:lvlJc w:val="left"/>
      <w:pPr>
        <w:ind w:left="6759" w:hanging="360"/>
      </w:pPr>
      <w:rPr>
        <w:rFonts w:ascii="Wingdings" w:hAnsi="Wingdings" w:hint="default"/>
      </w:rPr>
    </w:lvl>
  </w:abstractNum>
  <w:abstractNum w:abstractNumId="44">
    <w:nsid w:val="3B817407"/>
    <w:multiLevelType w:val="hybridMultilevel"/>
    <w:tmpl w:val="23DE83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nsid w:val="41047A17"/>
    <w:multiLevelType w:val="hybridMultilevel"/>
    <w:tmpl w:val="29307CC2"/>
    <w:lvl w:ilvl="0" w:tplc="2A4020EC">
      <w:numFmt w:val="bullet"/>
      <w:lvlText w:val="•"/>
      <w:lvlJc w:val="left"/>
      <w:pPr>
        <w:ind w:left="652"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nsid w:val="4A2C45F6"/>
    <w:multiLevelType w:val="hybridMultilevel"/>
    <w:tmpl w:val="06CAC91C"/>
    <w:lvl w:ilvl="0" w:tplc="007837F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nsid w:val="4B7B00DB"/>
    <w:multiLevelType w:val="multilevel"/>
    <w:tmpl w:val="019400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nsid w:val="4C0345FD"/>
    <w:multiLevelType w:val="hybridMultilevel"/>
    <w:tmpl w:val="496AD2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nsid w:val="4C4963B5"/>
    <w:multiLevelType w:val="hybridMultilevel"/>
    <w:tmpl w:val="D1A06EEE"/>
    <w:lvl w:ilvl="0" w:tplc="2A4020EC">
      <w:numFmt w:val="bullet"/>
      <w:lvlText w:val="•"/>
      <w:lvlJc w:val="left"/>
      <w:pPr>
        <w:ind w:left="652"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nsid w:val="4D671AFB"/>
    <w:multiLevelType w:val="hybridMultilevel"/>
    <w:tmpl w:val="F40E610C"/>
    <w:lvl w:ilvl="0" w:tplc="CD5E4240">
      <w:start w:val="1"/>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1">
    <w:nsid w:val="50FE57C1"/>
    <w:multiLevelType w:val="multilevel"/>
    <w:tmpl w:val="DCBCC3D2"/>
    <w:lvl w:ilvl="0">
      <w:start w:val="1"/>
      <w:numFmt w:val="decimal"/>
      <w:lvlText w:val="%1"/>
      <w:lvlJc w:val="left"/>
      <w:pPr>
        <w:ind w:left="432" w:hanging="432"/>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ind w:left="720" w:hanging="72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ind w:left="864" w:hanging="864"/>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ind w:left="1008" w:hanging="1008"/>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lvlText w:val="%1.%2.%3.%4.%5.%6"/>
      <w:lvlJc w:val="left"/>
      <w:pPr>
        <w:ind w:left="1152" w:hanging="1152"/>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berschrift7"/>
      <w:lvlText w:val="%1.%2.%3.%4.%5.%6.%7"/>
      <w:lvlJc w:val="left"/>
      <w:pPr>
        <w:ind w:left="1296" w:hanging="1296"/>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berschrift8"/>
      <w:lvlText w:val="%1.%2.%3.%4.%5.%6.%7.%8"/>
      <w:lvlJc w:val="left"/>
      <w:pPr>
        <w:ind w:left="1440" w:hanging="144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berschrift9"/>
      <w:lvlText w:val="%1.%2.%3.%4.%5.%6.%7.%8.%9"/>
      <w:lvlJc w:val="left"/>
      <w:pPr>
        <w:ind w:left="1584" w:hanging="1584"/>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nsid w:val="524C7128"/>
    <w:multiLevelType w:val="multilevel"/>
    <w:tmpl w:val="EC84302A"/>
    <w:styleLink w:val="ImportierterStil1"/>
    <w:lvl w:ilvl="0">
      <w:start w:val="1"/>
      <w:numFmt w:val="decimal"/>
      <w:lvlText w:val="%1."/>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96" w:hanging="12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584" w:hanging="15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nsid w:val="535C4057"/>
    <w:multiLevelType w:val="singleLevel"/>
    <w:tmpl w:val="1CF404D2"/>
    <w:lvl w:ilvl="0">
      <w:start w:val="73"/>
      <w:numFmt w:val="decimal"/>
      <w:lvlText w:val="%1."/>
      <w:lvlJc w:val="left"/>
      <w:pPr>
        <w:tabs>
          <w:tab w:val="num" w:pos="720"/>
        </w:tabs>
        <w:ind w:left="720" w:hanging="720"/>
      </w:pPr>
      <w:rPr>
        <w:rFonts w:cs="Times New Roman" w:hint="default"/>
      </w:rPr>
    </w:lvl>
  </w:abstractNum>
  <w:abstractNum w:abstractNumId="54">
    <w:nsid w:val="53BB76FA"/>
    <w:multiLevelType w:val="hybridMultilevel"/>
    <w:tmpl w:val="5EB6F4E0"/>
    <w:lvl w:ilvl="0" w:tplc="AA2ABB48">
      <w:start w:val="6"/>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60F47A6"/>
    <w:multiLevelType w:val="multilevel"/>
    <w:tmpl w:val="BA8647F0"/>
    <w:lvl w:ilvl="0">
      <w:start w:val="1"/>
      <w:numFmt w:val="decimal"/>
      <w:lvlText w:val="%1."/>
      <w:lvlJc w:val="left"/>
      <w:pPr>
        <w:ind w:left="3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48" w:hanging="5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304" w:hanging="8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48" w:hanging="10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592" w:hanging="11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736" w:hanging="1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88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2024" w:hanging="15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nsid w:val="56B47E74"/>
    <w:multiLevelType w:val="hybridMultilevel"/>
    <w:tmpl w:val="2D52E82C"/>
    <w:lvl w:ilvl="0" w:tplc="FFFFFFFF">
      <w:start w:val="1"/>
      <w:numFmt w:val="bullet"/>
      <w:lvlText w:val=""/>
      <w:lvlJc w:val="left"/>
      <w:pPr>
        <w:tabs>
          <w:tab w:val="num" w:pos="1800"/>
        </w:tabs>
        <w:ind w:left="1800" w:hanging="360"/>
      </w:pPr>
      <w:rPr>
        <w:rFonts w:ascii="Wingdings" w:hAnsi="Wingdings" w:hint="default"/>
        <w:strike w:val="0"/>
        <w:color w:val="auto"/>
        <w:sz w:val="24"/>
        <w:szCs w:val="24"/>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57744535"/>
    <w:multiLevelType w:val="hybridMultilevel"/>
    <w:tmpl w:val="A078C1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nsid w:val="5BBA31EF"/>
    <w:multiLevelType w:val="hybridMultilevel"/>
    <w:tmpl w:val="B186D3BC"/>
    <w:lvl w:ilvl="0" w:tplc="2A4020EC">
      <w:numFmt w:val="bullet"/>
      <w:lvlText w:val="•"/>
      <w:lvlJc w:val="left"/>
      <w:pPr>
        <w:ind w:left="1361" w:hanging="360"/>
      </w:pPr>
      <w:rPr>
        <w:rFonts w:ascii="Arial" w:eastAsiaTheme="minorHAnsi" w:hAnsi="Arial" w:cs="Aria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59">
    <w:nsid w:val="5D000906"/>
    <w:multiLevelType w:val="multilevel"/>
    <w:tmpl w:val="FE06EE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nsid w:val="5D2F22DA"/>
    <w:multiLevelType w:val="hybridMultilevel"/>
    <w:tmpl w:val="9760D194"/>
    <w:numStyleLink w:val="ImportierterStil2"/>
  </w:abstractNum>
  <w:abstractNum w:abstractNumId="61">
    <w:nsid w:val="5D3B623E"/>
    <w:multiLevelType w:val="hybridMultilevel"/>
    <w:tmpl w:val="5FCC8D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nsid w:val="5E8F6B30"/>
    <w:multiLevelType w:val="hybridMultilevel"/>
    <w:tmpl w:val="4F8C25A4"/>
    <w:lvl w:ilvl="0" w:tplc="E8163FB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nsid w:val="5EF52F1B"/>
    <w:multiLevelType w:val="hybridMultilevel"/>
    <w:tmpl w:val="9AFC573E"/>
    <w:lvl w:ilvl="0" w:tplc="2A4020EC">
      <w:numFmt w:val="bullet"/>
      <w:lvlText w:val="•"/>
      <w:lvlJc w:val="left"/>
      <w:pPr>
        <w:ind w:left="1082" w:hanging="360"/>
      </w:pPr>
      <w:rPr>
        <w:rFonts w:ascii="Arial" w:eastAsiaTheme="minorHAnsi" w:hAnsi="Arial" w:cs="Arial" w:hint="default"/>
      </w:rPr>
    </w:lvl>
    <w:lvl w:ilvl="1" w:tplc="04070003" w:tentative="1">
      <w:start w:val="1"/>
      <w:numFmt w:val="bullet"/>
      <w:lvlText w:val="o"/>
      <w:lvlJc w:val="left"/>
      <w:pPr>
        <w:ind w:left="1870" w:hanging="360"/>
      </w:pPr>
      <w:rPr>
        <w:rFonts w:ascii="Courier New" w:hAnsi="Courier New" w:cs="Courier New" w:hint="default"/>
      </w:rPr>
    </w:lvl>
    <w:lvl w:ilvl="2" w:tplc="04070005" w:tentative="1">
      <w:start w:val="1"/>
      <w:numFmt w:val="bullet"/>
      <w:lvlText w:val=""/>
      <w:lvlJc w:val="left"/>
      <w:pPr>
        <w:ind w:left="2590" w:hanging="360"/>
      </w:pPr>
      <w:rPr>
        <w:rFonts w:ascii="Wingdings" w:hAnsi="Wingdings" w:hint="default"/>
      </w:rPr>
    </w:lvl>
    <w:lvl w:ilvl="3" w:tplc="04070001" w:tentative="1">
      <w:start w:val="1"/>
      <w:numFmt w:val="bullet"/>
      <w:lvlText w:val=""/>
      <w:lvlJc w:val="left"/>
      <w:pPr>
        <w:ind w:left="3310" w:hanging="360"/>
      </w:pPr>
      <w:rPr>
        <w:rFonts w:ascii="Symbol" w:hAnsi="Symbol" w:hint="default"/>
      </w:rPr>
    </w:lvl>
    <w:lvl w:ilvl="4" w:tplc="04070003" w:tentative="1">
      <w:start w:val="1"/>
      <w:numFmt w:val="bullet"/>
      <w:lvlText w:val="o"/>
      <w:lvlJc w:val="left"/>
      <w:pPr>
        <w:ind w:left="4030" w:hanging="360"/>
      </w:pPr>
      <w:rPr>
        <w:rFonts w:ascii="Courier New" w:hAnsi="Courier New" w:cs="Courier New" w:hint="default"/>
      </w:rPr>
    </w:lvl>
    <w:lvl w:ilvl="5" w:tplc="04070005" w:tentative="1">
      <w:start w:val="1"/>
      <w:numFmt w:val="bullet"/>
      <w:lvlText w:val=""/>
      <w:lvlJc w:val="left"/>
      <w:pPr>
        <w:ind w:left="4750" w:hanging="360"/>
      </w:pPr>
      <w:rPr>
        <w:rFonts w:ascii="Wingdings" w:hAnsi="Wingdings" w:hint="default"/>
      </w:rPr>
    </w:lvl>
    <w:lvl w:ilvl="6" w:tplc="04070001" w:tentative="1">
      <w:start w:val="1"/>
      <w:numFmt w:val="bullet"/>
      <w:lvlText w:val=""/>
      <w:lvlJc w:val="left"/>
      <w:pPr>
        <w:ind w:left="5470" w:hanging="360"/>
      </w:pPr>
      <w:rPr>
        <w:rFonts w:ascii="Symbol" w:hAnsi="Symbol" w:hint="default"/>
      </w:rPr>
    </w:lvl>
    <w:lvl w:ilvl="7" w:tplc="04070003" w:tentative="1">
      <w:start w:val="1"/>
      <w:numFmt w:val="bullet"/>
      <w:lvlText w:val="o"/>
      <w:lvlJc w:val="left"/>
      <w:pPr>
        <w:ind w:left="6190" w:hanging="360"/>
      </w:pPr>
      <w:rPr>
        <w:rFonts w:ascii="Courier New" w:hAnsi="Courier New" w:cs="Courier New" w:hint="default"/>
      </w:rPr>
    </w:lvl>
    <w:lvl w:ilvl="8" w:tplc="04070005" w:tentative="1">
      <w:start w:val="1"/>
      <w:numFmt w:val="bullet"/>
      <w:lvlText w:val=""/>
      <w:lvlJc w:val="left"/>
      <w:pPr>
        <w:ind w:left="6910" w:hanging="360"/>
      </w:pPr>
      <w:rPr>
        <w:rFonts w:ascii="Wingdings" w:hAnsi="Wingdings" w:hint="default"/>
      </w:rPr>
    </w:lvl>
  </w:abstractNum>
  <w:abstractNum w:abstractNumId="64">
    <w:nsid w:val="5F8C4B57"/>
    <w:multiLevelType w:val="hybridMultilevel"/>
    <w:tmpl w:val="21BA2446"/>
    <w:lvl w:ilvl="0" w:tplc="2A4020EC">
      <w:numFmt w:val="bullet"/>
      <w:lvlText w:val="•"/>
      <w:lvlJc w:val="left"/>
      <w:pPr>
        <w:ind w:left="794" w:hanging="360"/>
      </w:pPr>
      <w:rPr>
        <w:rFonts w:ascii="Arial" w:eastAsiaTheme="minorHAnsi" w:hAnsi="Arial" w:cs="Aria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65">
    <w:nsid w:val="613041EF"/>
    <w:multiLevelType w:val="hybridMultilevel"/>
    <w:tmpl w:val="541049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nsid w:val="62175554"/>
    <w:multiLevelType w:val="multilevel"/>
    <w:tmpl w:val="765ADC58"/>
    <w:lvl w:ilvl="0">
      <w:start w:val="17"/>
      <w:numFmt w:val="decimal"/>
      <w:lvlText w:val="%1."/>
      <w:lvlJc w:val="left"/>
      <w:pPr>
        <w:tabs>
          <w:tab w:val="decimal" w:pos="288"/>
        </w:tabs>
        <w:ind w:left="720"/>
      </w:pPr>
      <w:rPr>
        <w:rFonts w:ascii="Arial" w:eastAsia="Arial" w:hAnsi="Arial"/>
        <w:strike w:val="0"/>
        <w:color w:val="000000"/>
        <w:spacing w:val="0"/>
        <w:w w:val="100"/>
        <w:sz w:val="15"/>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66E528A"/>
    <w:multiLevelType w:val="hybridMultilevel"/>
    <w:tmpl w:val="9760D194"/>
    <w:styleLink w:val="ImportierterStil2"/>
    <w:lvl w:ilvl="0" w:tplc="D5F6B53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C47E68">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2095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B0810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CE193E">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3201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D2FE8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D05428">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C482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nsid w:val="66F7554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A28467A"/>
    <w:multiLevelType w:val="multilevel"/>
    <w:tmpl w:val="DA6877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nsid w:val="6CED1290"/>
    <w:multiLevelType w:val="multilevel"/>
    <w:tmpl w:val="B0C401CA"/>
    <w:lvl w:ilvl="0">
      <w:start w:val="2"/>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1">
    <w:nsid w:val="6F6954E2"/>
    <w:multiLevelType w:val="multilevel"/>
    <w:tmpl w:val="72DE4C3A"/>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2">
    <w:nsid w:val="71E3564E"/>
    <w:multiLevelType w:val="hybridMultilevel"/>
    <w:tmpl w:val="64AC8624"/>
    <w:styleLink w:val="ImportierterStil4"/>
    <w:lvl w:ilvl="0" w:tplc="ACD84DC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AE884C">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B04E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0C71D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FE5048">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0C82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E615C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EC94C4">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3083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nsid w:val="72A16309"/>
    <w:multiLevelType w:val="hybridMultilevel"/>
    <w:tmpl w:val="50509BE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nsid w:val="72E455CA"/>
    <w:multiLevelType w:val="hybridMultilevel"/>
    <w:tmpl w:val="F82E8E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5">
    <w:nsid w:val="746344F4"/>
    <w:multiLevelType w:val="hybridMultilevel"/>
    <w:tmpl w:val="162862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6">
    <w:nsid w:val="74E43207"/>
    <w:multiLevelType w:val="hybridMultilevel"/>
    <w:tmpl w:val="2DC2C1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nsid w:val="75C25633"/>
    <w:multiLevelType w:val="hybridMultilevel"/>
    <w:tmpl w:val="87B0DE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8">
    <w:nsid w:val="7714105E"/>
    <w:multiLevelType w:val="hybridMultilevel"/>
    <w:tmpl w:val="3ABEF8B2"/>
    <w:styleLink w:val="ImportierterStil3"/>
    <w:lvl w:ilvl="0" w:tplc="5978C81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AE9D24">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123E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A8A21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6A23B8">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F207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2CDAB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6CBD4E">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0ABA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nsid w:val="77B76EF4"/>
    <w:multiLevelType w:val="multilevel"/>
    <w:tmpl w:val="B1664866"/>
    <w:lvl w:ilvl="0">
      <w:start w:val="210"/>
      <w:numFmt w:val="decimal"/>
      <w:lvlText w:val="%1."/>
      <w:lvlJc w:val="left"/>
      <w:pPr>
        <w:tabs>
          <w:tab w:val="decimal" w:pos="432"/>
        </w:tabs>
        <w:ind w:left="720"/>
      </w:pPr>
      <w:rPr>
        <w:rFonts w:ascii="Arial" w:eastAsia="Arial" w:hAnsi="Arial"/>
        <w:strike w:val="0"/>
        <w:color w:val="000000"/>
        <w:spacing w:val="0"/>
        <w:w w:val="100"/>
        <w:sz w:val="15"/>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8D14BD1"/>
    <w:multiLevelType w:val="hybridMultilevel"/>
    <w:tmpl w:val="ADDA0774"/>
    <w:styleLink w:val="ImportierterStil5"/>
    <w:lvl w:ilvl="0" w:tplc="3AECCE2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FAABF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92357A">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08BB2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70521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8CFC7E">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106F9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1462A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62CD92">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nsid w:val="7DA90A55"/>
    <w:multiLevelType w:val="hybridMultilevel"/>
    <w:tmpl w:val="ADDA0774"/>
    <w:numStyleLink w:val="ImportierterStil5"/>
  </w:abstractNum>
  <w:num w:numId="1">
    <w:abstractNumId w:val="22"/>
  </w:num>
  <w:num w:numId="2">
    <w:abstractNumId w:val="22"/>
    <w:lvlOverride w:ilvl="0">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69" w:hanging="6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10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23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364" w:hanging="9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496" w:hanging="10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628" w:hanging="11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760" w:hanging="1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892" w:hanging="145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22"/>
    <w:lvlOverride w:ilvl="0">
      <w:startOverride w:val="1"/>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8"/>
      <w:lvl w:ilvl="1">
        <w:start w:val="8"/>
        <w:numFmt w:val="decimal"/>
        <w:lvlText w:val="%1.%2."/>
        <w:lvlJc w:val="left"/>
        <w:pPr>
          <w:ind w:left="869" w:hanging="6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352" w:hanging="1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484"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61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748" w:hanging="5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88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01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144" w:hanging="92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2"/>
    <w:lvlOverride w:ilvl="0">
      <w:startOverride w:val="1"/>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69" w:hanging="6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110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23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364" w:hanging="9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496" w:hanging="10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628" w:hanging="11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760" w:hanging="1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892" w:hanging="145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22"/>
    <w:lvlOverride w:ilvl="0">
      <w:startOverride w:val="1"/>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9"/>
      <w:lvl w:ilvl="1">
        <w:start w:val="9"/>
        <w:numFmt w:val="decimal"/>
        <w:lvlText w:val="%1.%2."/>
        <w:lvlJc w:val="left"/>
        <w:pPr>
          <w:ind w:left="869" w:hanging="6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10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23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364" w:hanging="9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496" w:hanging="10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628" w:hanging="11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760" w:hanging="1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892" w:hanging="145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22"/>
    <w:lvlOverride w:ilvl="0">
      <w:startOverride w:val="2"/>
    </w:lvlOverride>
  </w:num>
  <w:num w:numId="7">
    <w:abstractNumId w:val="22"/>
    <w:lvlOverride w:ilvl="0">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92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364"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50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65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79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9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084" w:hanging="8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228" w:hanging="10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22"/>
    <w:lvlOverride w:ilvl="1">
      <w:startOverride w:val="2"/>
    </w:lvlOverride>
  </w:num>
  <w:num w:numId="9">
    <w:abstractNumId w:val="22"/>
    <w:lvlOverride w:ilvl="2">
      <w:startOverride w:val="2"/>
    </w:lvlOverride>
  </w:num>
  <w:num w:numId="10">
    <w:abstractNumId w:val="22"/>
    <w:lvlOverride w:ilvl="2">
      <w:startOverride w:val="4"/>
    </w:lvlOverride>
  </w:num>
  <w:num w:numId="11">
    <w:abstractNumId w:val="22"/>
    <w:lvlOverride w:ilvl="1">
      <w:startOverride w:val="14"/>
    </w:lvlOverride>
  </w:num>
  <w:num w:numId="12">
    <w:abstractNumId w:val="22"/>
    <w:lvlOverride w:ilvl="0">
      <w:startOverride w:val="9"/>
    </w:lvlOverride>
  </w:num>
  <w:num w:numId="13">
    <w:abstractNumId w:val="22"/>
    <w:lvlOverride w:ilvl="0">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69" w:hanging="6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304" w:hanging="8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448" w:hanging="10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592" w:hanging="1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736" w:hanging="1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88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2024" w:hanging="15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22"/>
    <w:lvlOverride w:ilvl="0">
      <w:startOverride w:val="1"/>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69" w:hanging="6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1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304" w:hanging="8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448" w:hanging="10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592" w:hanging="1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736" w:hanging="1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88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2024" w:hanging="15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22"/>
    <w:lvlOverride w:ilvl="1">
      <w:startOverride w:val="2"/>
    </w:lvlOverride>
  </w:num>
  <w:num w:numId="16">
    <w:abstractNumId w:val="22"/>
    <w:lvlOverride w:ilvl="1">
      <w:startOverride w:val="3"/>
    </w:lvlOverride>
  </w:num>
  <w:num w:numId="17">
    <w:abstractNumId w:val="22"/>
    <w:lvlOverride w:ilvl="1">
      <w:startOverride w:val="4"/>
    </w:lvlOverride>
  </w:num>
  <w:num w:numId="18">
    <w:abstractNumId w:val="22"/>
    <w:lvlOverride w:ilvl="1">
      <w:startOverride w:val="5"/>
    </w:lvlOverride>
  </w:num>
  <w:num w:numId="19">
    <w:abstractNumId w:val="22"/>
    <w:lvlOverride w:ilvl="1">
      <w:startOverride w:val="6"/>
    </w:lvlOverride>
  </w:num>
  <w:num w:numId="20">
    <w:abstractNumId w:val="22"/>
    <w:lvlOverride w:ilvl="1">
      <w:startOverride w:val="7"/>
    </w:lvlOverride>
  </w:num>
  <w:num w:numId="21">
    <w:abstractNumId w:val="22"/>
    <w:lvlOverride w:ilvl="1">
      <w:startOverride w:val="8"/>
    </w:lvlOverride>
  </w:num>
  <w:num w:numId="22">
    <w:abstractNumId w:val="22"/>
    <w:lvlOverride w:ilvl="1">
      <w:startOverride w:val="9"/>
    </w:lvlOverride>
  </w:num>
  <w:num w:numId="23">
    <w:abstractNumId w:val="22"/>
    <w:lvlOverride w:ilvl="1">
      <w:startOverride w:val="10"/>
    </w:lvlOverride>
  </w:num>
  <w:num w:numId="24">
    <w:abstractNumId w:val="22"/>
    <w:lvlOverride w:ilvl="1">
      <w:startOverride w:val="11"/>
    </w:lvlOverride>
  </w:num>
  <w:num w:numId="25">
    <w:abstractNumId w:val="22"/>
    <w:lvlOverride w:ilvl="1">
      <w:startOverride w:val="12"/>
    </w:lvlOverride>
  </w:num>
  <w:num w:numId="26">
    <w:abstractNumId w:val="22"/>
    <w:lvlOverride w:ilvl="1">
      <w:startOverride w:val="13"/>
    </w:lvlOverride>
  </w:num>
  <w:num w:numId="27">
    <w:abstractNumId w:val="22"/>
    <w:lvlOverride w:ilvl="1">
      <w:startOverride w:val="14"/>
    </w:lvlOverride>
  </w:num>
  <w:num w:numId="28">
    <w:abstractNumId w:val="22"/>
    <w:lvlOverride w:ilvl="1">
      <w:startOverride w:val="15"/>
    </w:lvlOverride>
  </w:num>
  <w:num w:numId="29">
    <w:abstractNumId w:val="22"/>
    <w:lvlOverride w:ilvl="1">
      <w:startOverride w:val="16"/>
    </w:lvlOverride>
  </w:num>
  <w:num w:numId="30">
    <w:abstractNumId w:val="22"/>
    <w:lvlOverride w:ilvl="1">
      <w:startOverride w:val="17"/>
    </w:lvlOverride>
  </w:num>
  <w:num w:numId="31">
    <w:abstractNumId w:val="22"/>
    <w:lvlOverride w:ilvl="1">
      <w:startOverride w:val="18"/>
    </w:lvlOverride>
  </w:num>
  <w:num w:numId="32">
    <w:abstractNumId w:val="22"/>
    <w:lvlOverride w:ilvl="1">
      <w:startOverride w:val="19"/>
    </w:lvlOverride>
  </w:num>
  <w:num w:numId="33">
    <w:abstractNumId w:val="22"/>
    <w:lvlOverride w:ilvl="1">
      <w:startOverride w:val="20"/>
    </w:lvlOverride>
  </w:num>
  <w:num w:numId="34">
    <w:abstractNumId w:val="22"/>
    <w:lvlOverride w:ilvl="1">
      <w:startOverride w:val="21"/>
    </w:lvlOverride>
  </w:num>
  <w:num w:numId="35">
    <w:abstractNumId w:val="22"/>
    <w:lvlOverride w:ilvl="0">
      <w:startOverride w:val="10"/>
    </w:lvlOverride>
  </w:num>
  <w:num w:numId="36">
    <w:abstractNumId w:val="52"/>
  </w:num>
  <w:num w:numId="37">
    <w:abstractNumId w:val="51"/>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pStyle w:val="berschrift3"/>
        <w:lvlText w:val="%1.%2.%3"/>
        <w:lvlJc w:val="left"/>
        <w:pPr>
          <w:ind w:left="720" w:hanging="720"/>
        </w:pPr>
      </w:lvl>
    </w:lvlOverride>
    <w:lvlOverride w:ilvl="3">
      <w:lvl w:ilvl="3">
        <w:start w:val="1"/>
        <w:numFmt w:val="decimal"/>
        <w:pStyle w:val="berschrift4"/>
        <w:lvlText w:val="%1.%2.%3.%4"/>
        <w:lvlJc w:val="left"/>
        <w:pPr>
          <w:ind w:left="864" w:hanging="864"/>
        </w:pPr>
      </w:lvl>
    </w:lvlOverride>
    <w:lvlOverride w:ilvl="4">
      <w:lvl w:ilvl="4">
        <w:start w:val="1"/>
        <w:numFmt w:val="decimal"/>
        <w:pStyle w:val="berschrift5"/>
        <w:lvlText w:val="%1.%2.%3.%4.%5"/>
        <w:lvlJc w:val="left"/>
        <w:pPr>
          <w:ind w:left="1008" w:hanging="1008"/>
        </w:pPr>
      </w:lvl>
    </w:lvlOverride>
    <w:lvlOverride w:ilvl="5">
      <w:lvl w:ilvl="5">
        <w:start w:val="1"/>
        <w:numFmt w:val="decimal"/>
        <w:pStyle w:val="berschrift6"/>
        <w:lvlText w:val="%1.%2.%3.%4.%5.%6"/>
        <w:lvlJc w:val="left"/>
        <w:pPr>
          <w:ind w:left="1152" w:hanging="1152"/>
        </w:pPr>
      </w:lvl>
    </w:lvlOverride>
    <w:lvlOverride w:ilvl="6">
      <w:lvl w:ilvl="6">
        <w:start w:val="1"/>
        <w:numFmt w:val="decimal"/>
        <w:pStyle w:val="berschrift7"/>
        <w:lvlText w:val="%1.%2.%3.%4.%5.%6.%7"/>
        <w:lvlJc w:val="left"/>
        <w:pPr>
          <w:ind w:left="1296" w:hanging="1296"/>
        </w:pPr>
      </w:lvl>
    </w:lvlOverride>
    <w:lvlOverride w:ilvl="7">
      <w:lvl w:ilvl="7">
        <w:start w:val="1"/>
        <w:numFmt w:val="decimal"/>
        <w:pStyle w:val="berschrift8"/>
        <w:lvlText w:val="%1.%2.%3.%4.%5.%6.%7.%8"/>
        <w:lvlJc w:val="left"/>
        <w:pPr>
          <w:ind w:left="1440" w:hanging="1440"/>
        </w:pPr>
      </w:lvl>
    </w:lvlOverride>
    <w:lvlOverride w:ilvl="8">
      <w:lvl w:ilvl="8">
        <w:start w:val="1"/>
        <w:numFmt w:val="decimal"/>
        <w:pStyle w:val="berschrift9"/>
        <w:lvlText w:val="%1.%2.%3.%4.%5.%6.%7.%8.%9"/>
        <w:lvlJc w:val="left"/>
        <w:pPr>
          <w:ind w:left="1584" w:hanging="1584"/>
        </w:pPr>
      </w:lvl>
    </w:lvlOverride>
  </w:num>
  <w:num w:numId="38">
    <w:abstractNumId w:val="51"/>
    <w:lvlOverride w:ilvl="0">
      <w:lvl w:ilvl="0">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pStyle w:val="berschrift3"/>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pStyle w:val="berschrift4"/>
        <w:lvlText w:val="%1.%2.%3.%4."/>
        <w:lvlJc w:val="left"/>
        <w:pPr>
          <w:ind w:left="864" w:hanging="8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pStyle w:val="berschrift5"/>
        <w:suff w:val="nothing"/>
        <w:lvlText w:val="%1.%2.%3.%4.%5."/>
        <w:lvlJc w:val="left"/>
        <w:pPr>
          <w:ind w:left="1008" w:hanging="10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pStyle w:val="berschrift6"/>
        <w:suff w:val="nothing"/>
        <w:lvlText w:val="%1.%2.%3.%4.%5.%6."/>
        <w:lvlJc w:val="left"/>
        <w:pPr>
          <w:ind w:left="1152" w:hanging="115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pStyle w:val="berschrift7"/>
        <w:suff w:val="nothing"/>
        <w:lvlText w:val="%1.%2.%3.%4.%5.%6.%7."/>
        <w:lvlJc w:val="left"/>
        <w:pPr>
          <w:ind w:left="1296" w:hanging="12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pStyle w:val="berschrift8"/>
        <w:suff w:val="nothing"/>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pStyle w:val="berschrift9"/>
        <w:suff w:val="nothing"/>
        <w:lvlText w:val="%1.%2.%3.%4.%5.%6.%7.%8.%9."/>
        <w:lvlJc w:val="left"/>
        <w:pPr>
          <w:ind w:left="1584" w:hanging="158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9">
    <w:abstractNumId w:val="67"/>
  </w:num>
  <w:num w:numId="40">
    <w:abstractNumId w:val="60"/>
  </w:num>
  <w:num w:numId="41">
    <w:abstractNumId w:val="78"/>
  </w:num>
  <w:num w:numId="42">
    <w:abstractNumId w:val="16"/>
  </w:num>
  <w:num w:numId="43">
    <w:abstractNumId w:val="72"/>
  </w:num>
  <w:num w:numId="44">
    <w:abstractNumId w:val="24"/>
  </w:num>
  <w:num w:numId="45">
    <w:abstractNumId w:val="51"/>
    <w:lvlOverride w:ilvl="0">
      <w:lvl w:ilvl="0">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pStyle w:val="berschrift3"/>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pStyle w:val="berschrift4"/>
        <w:lvlText w:val="%1.%2.%3.%4."/>
        <w:lvlJc w:val="left"/>
        <w:pPr>
          <w:ind w:left="864" w:hanging="8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pStyle w:val="berschrift5"/>
        <w:lvlText w:val="%1.%2.%3.%4.%5."/>
        <w:lvlJc w:val="left"/>
        <w:pPr>
          <w:ind w:left="1008" w:hanging="10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pStyle w:val="berschrift6"/>
        <w:lvlText w:val="%1.%2.%3.%4.%5.%6."/>
        <w:lvlJc w:val="left"/>
        <w:pPr>
          <w:ind w:left="1152" w:hanging="115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pStyle w:val="berschrift7"/>
        <w:lvlText w:val="%1.%2.%3.%4.%5.%6.%7."/>
        <w:lvlJc w:val="left"/>
        <w:pPr>
          <w:ind w:left="1296" w:hanging="12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pStyle w:val="berschrift8"/>
        <w:suff w:val="nothing"/>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pStyle w:val="berschrift9"/>
        <w:suff w:val="nothing"/>
        <w:lvlText w:val="%1.%2.%3.%4.%5.%6.%7.%8.%9."/>
        <w:lvlJc w:val="left"/>
        <w:pPr>
          <w:ind w:left="1584" w:hanging="158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6">
    <w:abstractNumId w:val="51"/>
    <w:lvlOverride w:ilvl="0">
      <w:startOverride w:val="1"/>
      <w:lvl w:ilvl="0">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pStyle w:val="berschrift3"/>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pStyle w:val="berschrift4"/>
        <w:lvlText w:val="%1.%2.%3.%4."/>
        <w:lvlJc w:val="left"/>
        <w:pPr>
          <w:ind w:left="864" w:hanging="8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pStyle w:val="berschrift5"/>
        <w:suff w:val="nothing"/>
        <w:lvlText w:val="%1.%2.%3.%4.%5."/>
        <w:lvlJc w:val="left"/>
        <w:pPr>
          <w:ind w:left="1008" w:hanging="10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pStyle w:val="berschrift6"/>
        <w:suff w:val="nothing"/>
        <w:lvlText w:val="%1.%2.%3.%4.%5.%6."/>
        <w:lvlJc w:val="left"/>
        <w:pPr>
          <w:ind w:left="1152" w:hanging="115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pStyle w:val="berschrift7"/>
        <w:suff w:val="nothing"/>
        <w:lvlText w:val="%1.%2.%3.%4.%5.%6.%7."/>
        <w:lvlJc w:val="left"/>
        <w:pPr>
          <w:ind w:left="1296" w:hanging="12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pStyle w:val="berschrift8"/>
        <w:suff w:val="nothing"/>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pStyle w:val="berschrift9"/>
        <w:suff w:val="nothing"/>
        <w:lvlText w:val="%1.%2.%3.%4.%5.%6.%7.%8.%9."/>
        <w:lvlJc w:val="left"/>
        <w:pPr>
          <w:ind w:left="1584" w:hanging="158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7">
    <w:abstractNumId w:val="51"/>
    <w:lvlOverride w:ilvl="0">
      <w:startOverride w:val="1"/>
      <w:lvl w:ilvl="0">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9"/>
      <w:lvl w:ilvl="1">
        <w:start w:val="9"/>
        <w:numFmt w:val="decimal"/>
        <w:lvlText w:val="%1.%2."/>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pStyle w:val="berschrift3"/>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pStyle w:val="berschrift4"/>
        <w:lvlText w:val="%1.%2.%3.%4."/>
        <w:lvlJc w:val="left"/>
        <w:pPr>
          <w:ind w:left="864" w:hanging="8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pStyle w:val="berschrift5"/>
        <w:suff w:val="nothing"/>
        <w:lvlText w:val="%1.%2.%3.%4.%5."/>
        <w:lvlJc w:val="left"/>
        <w:pPr>
          <w:ind w:left="1008" w:hanging="10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pStyle w:val="berschrift6"/>
        <w:suff w:val="nothing"/>
        <w:lvlText w:val="%1.%2.%3.%4.%5.%6."/>
        <w:lvlJc w:val="left"/>
        <w:pPr>
          <w:ind w:left="1152" w:hanging="115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pStyle w:val="berschrift7"/>
        <w:suff w:val="nothing"/>
        <w:lvlText w:val="%1.%2.%3.%4.%5.%6.%7."/>
        <w:lvlJc w:val="left"/>
        <w:pPr>
          <w:ind w:left="1296" w:hanging="12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pStyle w:val="berschrift8"/>
        <w:suff w:val="nothing"/>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pStyle w:val="berschrift9"/>
        <w:suff w:val="nothing"/>
        <w:lvlText w:val="%1.%2.%3.%4.%5.%6.%7.%8.%9."/>
        <w:lvlJc w:val="left"/>
        <w:pPr>
          <w:ind w:left="1584" w:hanging="158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8">
    <w:abstractNumId w:val="51"/>
    <w:lvlOverride w:ilvl="0">
      <w:startOverride w:val="2"/>
    </w:lvlOverride>
  </w:num>
  <w:num w:numId="49">
    <w:abstractNumId w:val="51"/>
    <w:lvlOverride w:ilvl="0">
      <w:lvl w:ilvl="0">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pStyle w:val="berschrift3"/>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pStyle w:val="berschrift4"/>
        <w:suff w:val="nothing"/>
        <w:lvlText w:val="%1.%2.%3.%4."/>
        <w:lvlJc w:val="left"/>
        <w:pPr>
          <w:ind w:left="864" w:hanging="8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pStyle w:val="berschrift5"/>
        <w:suff w:val="nothing"/>
        <w:lvlText w:val="%1.%2.%3.%4.%5."/>
        <w:lvlJc w:val="left"/>
        <w:pPr>
          <w:ind w:left="1008" w:hanging="10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pStyle w:val="berschrift6"/>
        <w:suff w:val="nothing"/>
        <w:lvlText w:val="%1.%2.%3.%4.%5.%6."/>
        <w:lvlJc w:val="left"/>
        <w:pPr>
          <w:ind w:left="1152" w:hanging="115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pStyle w:val="berschrift7"/>
        <w:suff w:val="nothing"/>
        <w:lvlText w:val="%1.%2.%3.%4.%5.%6.%7."/>
        <w:lvlJc w:val="left"/>
        <w:pPr>
          <w:ind w:left="1296" w:hanging="12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pStyle w:val="berschrift8"/>
        <w:suff w:val="nothing"/>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pStyle w:val="berschrift9"/>
        <w:suff w:val="nothing"/>
        <w:lvlText w:val="%1.%2.%3.%4.%5.%6.%7.%8.%9."/>
        <w:lvlJc w:val="left"/>
        <w:pPr>
          <w:ind w:left="1584" w:hanging="158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0">
    <w:abstractNumId w:val="51"/>
    <w:lvlOverride w:ilvl="0">
      <w:lvl w:ilvl="0">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pStyle w:val="berschrift3"/>
        <w:lvlText w:val="%1.%2.%3."/>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pStyle w:val="berschrift4"/>
        <w:lvlText w:val="%1.%2.%3.%4."/>
        <w:lvlJc w:val="left"/>
        <w:pPr>
          <w:ind w:left="79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pStyle w:val="berschrift5"/>
        <w:suff w:val="nothing"/>
        <w:lvlText w:val="%1.%2.%3.%4.%5."/>
        <w:lvlJc w:val="left"/>
        <w:pPr>
          <w:ind w:left="924" w:hanging="9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pStyle w:val="berschrift6"/>
        <w:suff w:val="nothing"/>
        <w:lvlText w:val="%1.%2.%3.%4.%5.%6."/>
        <w:lvlJc w:val="left"/>
        <w:pPr>
          <w:ind w:left="1056" w:hanging="10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pStyle w:val="berschrift7"/>
        <w:suff w:val="nothing"/>
        <w:lvlText w:val="%1.%2.%3.%4.%5.%6.%7."/>
        <w:lvlJc w:val="left"/>
        <w:pPr>
          <w:ind w:left="1188" w:hanging="11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pStyle w:val="berschrift8"/>
        <w:suff w:val="nothing"/>
        <w:lvlText w:val="%1.%2.%3.%4.%5.%6.%7.%8."/>
        <w:lvlJc w:val="left"/>
        <w:pPr>
          <w:ind w:left="1320" w:hanging="1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pStyle w:val="berschrift9"/>
        <w:suff w:val="nothing"/>
        <w:lvlText w:val="%1.%2.%3.%4.%5.%6.%7.%8.%9."/>
        <w:lvlJc w:val="left"/>
        <w:pPr>
          <w:ind w:left="1452" w:hanging="145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abstractNumId w:val="51"/>
    <w:lvlOverride w:ilvl="0">
      <w:startOverride w:val="1"/>
      <w:lvl w:ilvl="0">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pStyle w:val="berschrift3"/>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pStyle w:val="berschrift4"/>
        <w:lvlText w:val="%1.%2.%3.%4."/>
        <w:lvlJc w:val="left"/>
        <w:pPr>
          <w:ind w:left="864" w:hanging="8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pStyle w:val="berschrift5"/>
        <w:suff w:val="nothing"/>
        <w:lvlText w:val="%1.%2.%3.%4.%5."/>
        <w:lvlJc w:val="left"/>
        <w:pPr>
          <w:ind w:left="1008" w:hanging="10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pStyle w:val="berschrift6"/>
        <w:suff w:val="nothing"/>
        <w:lvlText w:val="%1.%2.%3.%4.%5.%6."/>
        <w:lvlJc w:val="left"/>
        <w:pPr>
          <w:ind w:left="1152" w:hanging="115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pStyle w:val="berschrift7"/>
        <w:suff w:val="nothing"/>
        <w:lvlText w:val="%1.%2.%3.%4.%5.%6.%7."/>
        <w:lvlJc w:val="left"/>
        <w:pPr>
          <w:ind w:left="1296" w:hanging="12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pStyle w:val="berschrift8"/>
        <w:suff w:val="nothing"/>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pStyle w:val="berschrift9"/>
        <w:suff w:val="nothing"/>
        <w:lvlText w:val="%1.%2.%3.%4.%5.%6.%7.%8.%9."/>
        <w:lvlJc w:val="left"/>
        <w:pPr>
          <w:ind w:left="1584" w:hanging="158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2">
    <w:abstractNumId w:val="51"/>
    <w:lvlOverride w:ilvl="0">
      <w:lvl w:ilvl="0">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pStyle w:val="berschrift3"/>
        <w:suff w:val="nothing"/>
        <w:lvlText w:val="%1.%2.%3."/>
        <w:lvlJc w:val="left"/>
        <w:pPr>
          <w:ind w:left="144" w:hanging="1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pStyle w:val="berschrift4"/>
        <w:suff w:val="nothing"/>
        <w:lvlText w:val="%1.%2.%3.%4."/>
        <w:lvlJc w:val="left"/>
        <w:pPr>
          <w:ind w:left="288" w:hanging="28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pStyle w:val="berschrift5"/>
        <w:suff w:val="nothing"/>
        <w:lvlText w:val="%1.%2.%3.%4.%5."/>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pStyle w:val="berschrift6"/>
        <w:suff w:val="nothing"/>
        <w:lvlText w:val="%1.%2.%3.%4.%5.%6."/>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pStyle w:val="berschrift7"/>
        <w:suff w:val="nothing"/>
        <w:lvlText w:val="%1.%2.%3.%4.%5.%6.%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pStyle w:val="berschrift8"/>
        <w:suff w:val="nothing"/>
        <w:lvlText w:val="%1.%2.%3.%4.%5.%6.%7.%8."/>
        <w:lvlJc w:val="left"/>
        <w:pPr>
          <w:ind w:left="864" w:hanging="8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pStyle w:val="berschrift9"/>
        <w:suff w:val="nothing"/>
        <w:lvlText w:val="%1.%2.%3.%4.%5.%6.%7.%8.%9."/>
        <w:lvlJc w:val="left"/>
        <w:pPr>
          <w:ind w:left="1008" w:hanging="100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3">
    <w:abstractNumId w:val="51"/>
    <w:lvlOverride w:ilvl="1">
      <w:startOverride w:val="2"/>
    </w:lvlOverride>
  </w:num>
  <w:num w:numId="54">
    <w:abstractNumId w:val="51"/>
    <w:lvlOverride w:ilvl="2">
      <w:startOverride w:val="2"/>
    </w:lvlOverride>
  </w:num>
  <w:num w:numId="55">
    <w:abstractNumId w:val="51"/>
    <w:lvlOverride w:ilvl="2">
      <w:startOverride w:val="4"/>
    </w:lvlOverride>
  </w:num>
  <w:num w:numId="56">
    <w:abstractNumId w:val="51"/>
    <w:lvlOverride w:ilvl="1">
      <w:startOverride w:val="13"/>
    </w:lvlOverride>
  </w:num>
  <w:num w:numId="57">
    <w:abstractNumId w:val="51"/>
    <w:lvlOverride w:ilvl="1">
      <w:startOverride w:val="14"/>
    </w:lvlOverride>
  </w:num>
  <w:num w:numId="58">
    <w:abstractNumId w:val="51"/>
  </w:num>
  <w:num w:numId="59">
    <w:abstractNumId w:val="51"/>
    <w:lvlOverride w:ilvl="0">
      <w:lvl w:ilvl="0">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pStyle w:val="berschrift3"/>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pStyle w:val="berschrift4"/>
        <w:lvlText w:val="%1.%2.%3.%4."/>
        <w:lvlJc w:val="left"/>
        <w:pPr>
          <w:ind w:left="864" w:hanging="8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pStyle w:val="berschrift5"/>
        <w:lvlText w:val="%1.%2.%3.%4.%5."/>
        <w:lvlJc w:val="left"/>
        <w:pPr>
          <w:ind w:left="1008" w:hanging="10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pStyle w:val="berschrift6"/>
        <w:lvlText w:val="%1.%2.%3.%4.%5.%6."/>
        <w:lvlJc w:val="left"/>
        <w:pPr>
          <w:ind w:left="1152" w:hanging="1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pStyle w:val="berschrift7"/>
        <w:lvlText w:val="%1.%2.%3.%4.%5.%6.%7."/>
        <w:lvlJc w:val="left"/>
        <w:pPr>
          <w:ind w:left="1296" w:hanging="1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pStyle w:val="berschrift8"/>
        <w:lvlText w:val="%1.%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pStyle w:val="berschrift9"/>
        <w:lvlText w:val="%1.%2.%3.%4.%5.%6.%7.%8.%9."/>
        <w:lvlJc w:val="left"/>
        <w:pPr>
          <w:ind w:left="1584" w:hanging="15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0">
    <w:abstractNumId w:val="51"/>
    <w:lvlOverride w:ilvl="0">
      <w:startOverride w:val="1"/>
      <w:lvl w:ilvl="0">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pStyle w:val="berschrift3"/>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pStyle w:val="berschrift4"/>
        <w:lvlText w:val="%1.%2.%3.%4."/>
        <w:lvlJc w:val="left"/>
        <w:pPr>
          <w:ind w:left="864" w:hanging="8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pStyle w:val="berschrift5"/>
        <w:lvlText w:val="%1.%2.%3.%4.%5."/>
        <w:lvlJc w:val="left"/>
        <w:pPr>
          <w:ind w:left="1008" w:hanging="10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pStyle w:val="berschrift6"/>
        <w:lvlText w:val="%1.%2.%3.%4.%5.%6."/>
        <w:lvlJc w:val="left"/>
        <w:pPr>
          <w:ind w:left="1152" w:hanging="1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pStyle w:val="berschrift7"/>
        <w:lvlText w:val="%1.%2.%3.%4.%5.%6.%7."/>
        <w:lvlJc w:val="left"/>
        <w:pPr>
          <w:ind w:left="1296" w:hanging="1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pStyle w:val="berschrift8"/>
        <w:lvlText w:val="%1.%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pStyle w:val="berschrift9"/>
        <w:lvlText w:val="%1.%2.%3.%4.%5.%6.%7.%8.%9."/>
        <w:lvlJc w:val="left"/>
        <w:pPr>
          <w:ind w:left="1584" w:hanging="15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1">
    <w:abstractNumId w:val="51"/>
    <w:lvlOverride w:ilvl="1">
      <w:startOverride w:val="2"/>
    </w:lvlOverride>
  </w:num>
  <w:num w:numId="62">
    <w:abstractNumId w:val="51"/>
    <w:lvlOverride w:ilvl="1">
      <w:startOverride w:val="3"/>
    </w:lvlOverride>
  </w:num>
  <w:num w:numId="63">
    <w:abstractNumId w:val="51"/>
    <w:lvlOverride w:ilvl="1">
      <w:startOverride w:val="4"/>
    </w:lvlOverride>
  </w:num>
  <w:num w:numId="64">
    <w:abstractNumId w:val="51"/>
    <w:lvlOverride w:ilvl="1">
      <w:startOverride w:val="5"/>
    </w:lvlOverride>
  </w:num>
  <w:num w:numId="65">
    <w:abstractNumId w:val="51"/>
    <w:lvlOverride w:ilvl="1">
      <w:startOverride w:val="6"/>
    </w:lvlOverride>
  </w:num>
  <w:num w:numId="66">
    <w:abstractNumId w:val="51"/>
    <w:lvlOverride w:ilvl="1">
      <w:startOverride w:val="7"/>
    </w:lvlOverride>
  </w:num>
  <w:num w:numId="67">
    <w:abstractNumId w:val="51"/>
    <w:lvlOverride w:ilvl="1">
      <w:startOverride w:val="8"/>
    </w:lvlOverride>
  </w:num>
  <w:num w:numId="68">
    <w:abstractNumId w:val="51"/>
    <w:lvlOverride w:ilvl="1">
      <w:startOverride w:val="9"/>
    </w:lvlOverride>
  </w:num>
  <w:num w:numId="69">
    <w:abstractNumId w:val="51"/>
    <w:lvlOverride w:ilvl="1">
      <w:startOverride w:val="10"/>
    </w:lvlOverride>
  </w:num>
  <w:num w:numId="70">
    <w:abstractNumId w:val="51"/>
    <w:lvlOverride w:ilvl="1">
      <w:startOverride w:val="11"/>
    </w:lvlOverride>
  </w:num>
  <w:num w:numId="71">
    <w:abstractNumId w:val="51"/>
    <w:lvlOverride w:ilvl="1">
      <w:startOverride w:val="12"/>
    </w:lvlOverride>
  </w:num>
  <w:num w:numId="72">
    <w:abstractNumId w:val="51"/>
    <w:lvlOverride w:ilvl="1">
      <w:startOverride w:val="13"/>
    </w:lvlOverride>
  </w:num>
  <w:num w:numId="73">
    <w:abstractNumId w:val="51"/>
    <w:lvlOverride w:ilvl="1">
      <w:startOverride w:val="14"/>
    </w:lvlOverride>
  </w:num>
  <w:num w:numId="74">
    <w:abstractNumId w:val="51"/>
    <w:lvlOverride w:ilvl="1">
      <w:startOverride w:val="15"/>
    </w:lvlOverride>
  </w:num>
  <w:num w:numId="75">
    <w:abstractNumId w:val="51"/>
    <w:lvlOverride w:ilvl="1">
      <w:startOverride w:val="16"/>
    </w:lvlOverride>
  </w:num>
  <w:num w:numId="76">
    <w:abstractNumId w:val="51"/>
    <w:lvlOverride w:ilvl="1">
      <w:startOverride w:val="17"/>
    </w:lvlOverride>
  </w:num>
  <w:num w:numId="77">
    <w:abstractNumId w:val="51"/>
    <w:lvlOverride w:ilvl="1">
      <w:startOverride w:val="18"/>
    </w:lvlOverride>
  </w:num>
  <w:num w:numId="78">
    <w:abstractNumId w:val="51"/>
    <w:lvlOverride w:ilvl="1">
      <w:startOverride w:val="19"/>
    </w:lvlOverride>
  </w:num>
  <w:num w:numId="79">
    <w:abstractNumId w:val="80"/>
  </w:num>
  <w:num w:numId="80">
    <w:abstractNumId w:val="81"/>
  </w:num>
  <w:num w:numId="81">
    <w:abstractNumId w:val="81"/>
    <w:lvlOverride w:ilvl="0">
      <w:lvl w:ilvl="0" w:tplc="FE883ABE">
        <w:start w:val="1"/>
        <w:numFmt w:val="decimal"/>
        <w:lvlText w:val="%1."/>
        <w:lvlJc w:val="left"/>
        <w:pPr>
          <w:ind w:left="70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B1C4520">
        <w:start w:val="1"/>
        <w:numFmt w:val="lowerLetter"/>
        <w:lvlText w:val="%2."/>
        <w:lvlJc w:val="left"/>
        <w:pPr>
          <w:ind w:left="142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ECAEAB2">
        <w:start w:val="1"/>
        <w:numFmt w:val="lowerRoman"/>
        <w:lvlText w:val="%3."/>
        <w:lvlJc w:val="left"/>
        <w:pPr>
          <w:ind w:left="2148"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F06D508">
        <w:start w:val="1"/>
        <w:numFmt w:val="decimal"/>
        <w:lvlText w:val="%4."/>
        <w:lvlJc w:val="left"/>
        <w:pPr>
          <w:ind w:left="286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AD0E2CC">
        <w:start w:val="1"/>
        <w:numFmt w:val="lowerLetter"/>
        <w:lvlText w:val="%5."/>
        <w:lvlJc w:val="left"/>
        <w:pPr>
          <w:ind w:left="358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C92FC3C">
        <w:start w:val="1"/>
        <w:numFmt w:val="lowerRoman"/>
        <w:lvlText w:val="%6."/>
        <w:lvlJc w:val="left"/>
        <w:pPr>
          <w:ind w:left="4308"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AE82FEA">
        <w:start w:val="1"/>
        <w:numFmt w:val="decimal"/>
        <w:lvlText w:val="%7."/>
        <w:lvlJc w:val="left"/>
        <w:pPr>
          <w:ind w:left="502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B5888D2">
        <w:start w:val="1"/>
        <w:numFmt w:val="lowerLetter"/>
        <w:lvlText w:val="%8."/>
        <w:lvlJc w:val="left"/>
        <w:pPr>
          <w:ind w:left="574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0000DA8">
        <w:start w:val="1"/>
        <w:numFmt w:val="lowerRoman"/>
        <w:lvlText w:val="%9."/>
        <w:lvlJc w:val="left"/>
        <w:pPr>
          <w:ind w:left="6468"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2">
    <w:abstractNumId w:val="51"/>
    <w:lvlOverride w:ilvl="1">
      <w:startOverride w:val="20"/>
    </w:lvlOverride>
  </w:num>
  <w:num w:numId="83">
    <w:abstractNumId w:val="51"/>
    <w:lvlOverride w:ilvl="1">
      <w:startOverride w:val="21"/>
    </w:lvlOverride>
  </w:num>
  <w:num w:numId="84">
    <w:abstractNumId w:val="51"/>
    <w:lvlOverride w:ilvl="0">
      <w:startOverride w:val="10"/>
    </w:lvlOverride>
  </w:num>
  <w:num w:numId="85">
    <w:abstractNumId w:val="32"/>
  </w:num>
  <w:num w:numId="86">
    <w:abstractNumId w:val="6"/>
  </w:num>
  <w:num w:numId="87">
    <w:abstractNumId w:val="34"/>
  </w:num>
  <w:num w:numId="88">
    <w:abstractNumId w:val="15"/>
  </w:num>
  <w:num w:numId="89">
    <w:abstractNumId w:val="28"/>
  </w:num>
  <w:num w:numId="90">
    <w:abstractNumId w:val="19"/>
  </w:num>
  <w:num w:numId="91">
    <w:abstractNumId w:val="33"/>
  </w:num>
  <w:num w:numId="92">
    <w:abstractNumId w:val="74"/>
  </w:num>
  <w:num w:numId="93">
    <w:abstractNumId w:val="44"/>
  </w:num>
  <w:num w:numId="94">
    <w:abstractNumId w:val="10"/>
  </w:num>
  <w:num w:numId="95">
    <w:abstractNumId w:val="4"/>
  </w:num>
  <w:num w:numId="96">
    <w:abstractNumId w:val="59"/>
  </w:num>
  <w:num w:numId="97">
    <w:abstractNumId w:val="21"/>
  </w:num>
  <w:num w:numId="98">
    <w:abstractNumId w:val="17"/>
  </w:num>
  <w:num w:numId="99">
    <w:abstractNumId w:val="55"/>
  </w:num>
  <w:num w:numId="100">
    <w:abstractNumId w:val="68"/>
  </w:num>
  <w:num w:numId="101">
    <w:abstractNumId w:val="14"/>
  </w:num>
  <w:num w:numId="102">
    <w:abstractNumId w:val="36"/>
  </w:num>
  <w:num w:numId="103">
    <w:abstractNumId w:val="7"/>
  </w:num>
  <w:num w:numId="104">
    <w:abstractNumId w:val="66"/>
  </w:num>
  <w:num w:numId="105">
    <w:abstractNumId w:val="79"/>
  </w:num>
  <w:num w:numId="106">
    <w:abstractNumId w:val="5"/>
    <w:lvlOverride w:ilvl="0">
      <w:startOverride w:val="537"/>
    </w:lvlOverride>
    <w:lvlOverride w:ilvl="1"/>
    <w:lvlOverride w:ilvl="2"/>
    <w:lvlOverride w:ilvl="3"/>
    <w:lvlOverride w:ilvl="4"/>
    <w:lvlOverride w:ilvl="5"/>
    <w:lvlOverride w:ilvl="6"/>
    <w:lvlOverride w:ilvl="7"/>
    <w:lvlOverride w:ilvl="8"/>
  </w:num>
  <w:num w:numId="107">
    <w:abstractNumId w:val="26"/>
    <w:lvlOverride w:ilvl="0">
      <w:startOverride w:val="581"/>
    </w:lvlOverride>
    <w:lvlOverride w:ilvl="1"/>
    <w:lvlOverride w:ilvl="2"/>
    <w:lvlOverride w:ilvl="3"/>
    <w:lvlOverride w:ilvl="4"/>
    <w:lvlOverride w:ilvl="5"/>
    <w:lvlOverride w:ilvl="6"/>
    <w:lvlOverride w:ilvl="7"/>
    <w:lvlOverride w:ilvl="8"/>
  </w:num>
  <w:num w:numId="108">
    <w:abstractNumId w:val="75"/>
  </w:num>
  <w:num w:numId="109">
    <w:abstractNumId w:val="39"/>
  </w:num>
  <w:num w:numId="110">
    <w:abstractNumId w:val="48"/>
  </w:num>
  <w:num w:numId="111">
    <w:abstractNumId w:val="71"/>
  </w:num>
  <w:num w:numId="112">
    <w:abstractNumId w:val="70"/>
  </w:num>
  <w:num w:numId="113">
    <w:abstractNumId w:val="20"/>
  </w:num>
  <w:num w:numId="114">
    <w:abstractNumId w:val="54"/>
  </w:num>
  <w:num w:numId="115">
    <w:abstractNumId w:val="25"/>
  </w:num>
  <w:num w:numId="116">
    <w:abstractNumId w:val="18"/>
  </w:num>
  <w:num w:numId="117">
    <w:abstractNumId w:val="13"/>
  </w:num>
  <w:num w:numId="118">
    <w:abstractNumId w:val="53"/>
  </w:num>
  <w:num w:numId="119">
    <w:abstractNumId w:val="38"/>
  </w:num>
  <w:num w:numId="120">
    <w:abstractNumId w:val="37"/>
  </w:num>
  <w:num w:numId="121">
    <w:abstractNumId w:val="0"/>
  </w:num>
  <w:num w:numId="122">
    <w:abstractNumId w:val="62"/>
  </w:num>
  <w:num w:numId="123">
    <w:abstractNumId w:val="41"/>
  </w:num>
  <w:num w:numId="124">
    <w:abstractNumId w:val="31"/>
  </w:num>
  <w:num w:numId="125">
    <w:abstractNumId w:val="12"/>
  </w:num>
  <w:num w:numId="126">
    <w:abstractNumId w:val="1"/>
  </w:num>
  <w:num w:numId="127">
    <w:abstractNumId w:val="35"/>
  </w:num>
  <w:num w:numId="128">
    <w:abstractNumId w:val="8"/>
  </w:num>
  <w:num w:numId="129">
    <w:abstractNumId w:val="40"/>
  </w:num>
  <w:num w:numId="130">
    <w:abstractNumId w:val="43"/>
  </w:num>
  <w:num w:numId="131">
    <w:abstractNumId w:val="2"/>
  </w:num>
  <w:num w:numId="132">
    <w:abstractNumId w:val="64"/>
  </w:num>
  <w:num w:numId="133">
    <w:abstractNumId w:val="63"/>
  </w:num>
  <w:num w:numId="134">
    <w:abstractNumId w:val="49"/>
  </w:num>
  <w:num w:numId="135">
    <w:abstractNumId w:val="58"/>
  </w:num>
  <w:num w:numId="136">
    <w:abstractNumId w:val="45"/>
  </w:num>
  <w:num w:numId="137">
    <w:abstractNumId w:val="29"/>
  </w:num>
  <w:num w:numId="138">
    <w:abstractNumId w:val="57"/>
  </w:num>
  <w:num w:numId="139">
    <w:abstractNumId w:val="11"/>
  </w:num>
  <w:num w:numId="140">
    <w:abstractNumId w:val="56"/>
  </w:num>
  <w:num w:numId="141">
    <w:abstractNumId w:val="69"/>
  </w:num>
  <w:num w:numId="142">
    <w:abstractNumId w:val="23"/>
  </w:num>
  <w:num w:numId="143">
    <w:abstractNumId w:val="73"/>
  </w:num>
  <w:num w:numId="144">
    <w:abstractNumId w:val="42"/>
  </w:num>
  <w:num w:numId="145">
    <w:abstractNumId w:val="47"/>
  </w:num>
  <w:num w:numId="146">
    <w:abstractNumId w:val="9"/>
  </w:num>
  <w:num w:numId="147">
    <w:abstractNumId w:val="46"/>
  </w:num>
  <w:num w:numId="148">
    <w:abstractNumId w:val="50"/>
  </w:num>
  <w:num w:numId="149">
    <w:abstractNumId w:val="76"/>
  </w:num>
  <w:num w:numId="150">
    <w:abstractNumId w:val="61"/>
  </w:num>
  <w:num w:numId="151">
    <w:abstractNumId w:val="30"/>
  </w:num>
  <w:num w:numId="152">
    <w:abstractNumId w:val="65"/>
  </w:num>
  <w:num w:numId="153">
    <w:abstractNumId w:val="77"/>
  </w:num>
  <w:num w:numId="154">
    <w:abstractNumId w:val="3"/>
  </w:num>
  <w:num w:numId="155">
    <w:abstractNumId w:val="27"/>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869"/>
    <w:rsid w:val="00021D61"/>
    <w:rsid w:val="00023D2D"/>
    <w:rsid w:val="00042ABE"/>
    <w:rsid w:val="00053DCD"/>
    <w:rsid w:val="00064141"/>
    <w:rsid w:val="0006628F"/>
    <w:rsid w:val="000806BD"/>
    <w:rsid w:val="000970C7"/>
    <w:rsid w:val="00097E0F"/>
    <w:rsid w:val="000A612E"/>
    <w:rsid w:val="000A7FF7"/>
    <w:rsid w:val="000B0E25"/>
    <w:rsid w:val="000B123F"/>
    <w:rsid w:val="000B573D"/>
    <w:rsid w:val="000D1CC1"/>
    <w:rsid w:val="000D1D5C"/>
    <w:rsid w:val="000D5D0F"/>
    <w:rsid w:val="000F0DC9"/>
    <w:rsid w:val="000F7416"/>
    <w:rsid w:val="00102E54"/>
    <w:rsid w:val="001071AF"/>
    <w:rsid w:val="001102AF"/>
    <w:rsid w:val="00114B74"/>
    <w:rsid w:val="001337CD"/>
    <w:rsid w:val="001373EF"/>
    <w:rsid w:val="00156F8E"/>
    <w:rsid w:val="00157279"/>
    <w:rsid w:val="00170302"/>
    <w:rsid w:val="00182D07"/>
    <w:rsid w:val="00185864"/>
    <w:rsid w:val="001A10F5"/>
    <w:rsid w:val="001A283B"/>
    <w:rsid w:val="001A2A1C"/>
    <w:rsid w:val="001A410D"/>
    <w:rsid w:val="001A58EF"/>
    <w:rsid w:val="001A7D11"/>
    <w:rsid w:val="001C2123"/>
    <w:rsid w:val="001C7DC2"/>
    <w:rsid w:val="001F17FF"/>
    <w:rsid w:val="001F6734"/>
    <w:rsid w:val="00205DF9"/>
    <w:rsid w:val="00207748"/>
    <w:rsid w:val="00210184"/>
    <w:rsid w:val="00212F49"/>
    <w:rsid w:val="002208D2"/>
    <w:rsid w:val="00227D40"/>
    <w:rsid w:val="0023510F"/>
    <w:rsid w:val="00235ACC"/>
    <w:rsid w:val="0024733A"/>
    <w:rsid w:val="00253538"/>
    <w:rsid w:val="0025726E"/>
    <w:rsid w:val="0026112E"/>
    <w:rsid w:val="00264D62"/>
    <w:rsid w:val="00274770"/>
    <w:rsid w:val="0028539B"/>
    <w:rsid w:val="002A6D64"/>
    <w:rsid w:val="002B00F6"/>
    <w:rsid w:val="002B1061"/>
    <w:rsid w:val="002C1989"/>
    <w:rsid w:val="002C4D04"/>
    <w:rsid w:val="002D410F"/>
    <w:rsid w:val="002D4611"/>
    <w:rsid w:val="002D4FA2"/>
    <w:rsid w:val="002D5031"/>
    <w:rsid w:val="002E2E42"/>
    <w:rsid w:val="002E3D1C"/>
    <w:rsid w:val="002E5526"/>
    <w:rsid w:val="002F33B3"/>
    <w:rsid w:val="002F3CDA"/>
    <w:rsid w:val="002F45A2"/>
    <w:rsid w:val="002F45C9"/>
    <w:rsid w:val="00303768"/>
    <w:rsid w:val="0031161F"/>
    <w:rsid w:val="003124F9"/>
    <w:rsid w:val="00323A20"/>
    <w:rsid w:val="00324AF5"/>
    <w:rsid w:val="00334AF5"/>
    <w:rsid w:val="00342FB3"/>
    <w:rsid w:val="003502F5"/>
    <w:rsid w:val="00350C18"/>
    <w:rsid w:val="00353CC0"/>
    <w:rsid w:val="00363BF5"/>
    <w:rsid w:val="00372715"/>
    <w:rsid w:val="00380546"/>
    <w:rsid w:val="00385EF9"/>
    <w:rsid w:val="003938B6"/>
    <w:rsid w:val="003946F8"/>
    <w:rsid w:val="003A045F"/>
    <w:rsid w:val="003A33A8"/>
    <w:rsid w:val="003B1537"/>
    <w:rsid w:val="003D6773"/>
    <w:rsid w:val="003F3327"/>
    <w:rsid w:val="003F7F50"/>
    <w:rsid w:val="00410B2E"/>
    <w:rsid w:val="004130E0"/>
    <w:rsid w:val="00413F6A"/>
    <w:rsid w:val="00417FB0"/>
    <w:rsid w:val="00420A45"/>
    <w:rsid w:val="00424276"/>
    <w:rsid w:val="00425C8A"/>
    <w:rsid w:val="00430319"/>
    <w:rsid w:val="00436842"/>
    <w:rsid w:val="00444F90"/>
    <w:rsid w:val="004454B6"/>
    <w:rsid w:val="00447357"/>
    <w:rsid w:val="0044792B"/>
    <w:rsid w:val="00450FED"/>
    <w:rsid w:val="004516B4"/>
    <w:rsid w:val="00460284"/>
    <w:rsid w:val="00460A5E"/>
    <w:rsid w:val="00473D99"/>
    <w:rsid w:val="004834EA"/>
    <w:rsid w:val="00483B64"/>
    <w:rsid w:val="004955B8"/>
    <w:rsid w:val="004A09F8"/>
    <w:rsid w:val="004A16B7"/>
    <w:rsid w:val="004B2425"/>
    <w:rsid w:val="004B63CB"/>
    <w:rsid w:val="004C05FB"/>
    <w:rsid w:val="004D2D19"/>
    <w:rsid w:val="004E1161"/>
    <w:rsid w:val="004E514F"/>
    <w:rsid w:val="004F2F4B"/>
    <w:rsid w:val="004F680D"/>
    <w:rsid w:val="00501402"/>
    <w:rsid w:val="00515F25"/>
    <w:rsid w:val="00524587"/>
    <w:rsid w:val="00530F72"/>
    <w:rsid w:val="00537477"/>
    <w:rsid w:val="005454B0"/>
    <w:rsid w:val="00567851"/>
    <w:rsid w:val="00587AE4"/>
    <w:rsid w:val="0059021D"/>
    <w:rsid w:val="005956DD"/>
    <w:rsid w:val="00597171"/>
    <w:rsid w:val="005A5CC5"/>
    <w:rsid w:val="005C2679"/>
    <w:rsid w:val="005C6578"/>
    <w:rsid w:val="005D02C5"/>
    <w:rsid w:val="005D2A57"/>
    <w:rsid w:val="005D6525"/>
    <w:rsid w:val="005D6740"/>
    <w:rsid w:val="005E3853"/>
    <w:rsid w:val="005F0E2B"/>
    <w:rsid w:val="006146C2"/>
    <w:rsid w:val="006335DB"/>
    <w:rsid w:val="006350C4"/>
    <w:rsid w:val="006452C9"/>
    <w:rsid w:val="0065363F"/>
    <w:rsid w:val="00653696"/>
    <w:rsid w:val="00654F0A"/>
    <w:rsid w:val="00665775"/>
    <w:rsid w:val="00671ECA"/>
    <w:rsid w:val="006825F9"/>
    <w:rsid w:val="006839E0"/>
    <w:rsid w:val="00691581"/>
    <w:rsid w:val="00691AFD"/>
    <w:rsid w:val="00693B3D"/>
    <w:rsid w:val="00697D78"/>
    <w:rsid w:val="006A1708"/>
    <w:rsid w:val="006A789A"/>
    <w:rsid w:val="006B0C6C"/>
    <w:rsid w:val="006B2B71"/>
    <w:rsid w:val="006B612F"/>
    <w:rsid w:val="006F0117"/>
    <w:rsid w:val="006F3A00"/>
    <w:rsid w:val="006F3E1D"/>
    <w:rsid w:val="00701487"/>
    <w:rsid w:val="00705719"/>
    <w:rsid w:val="00721B02"/>
    <w:rsid w:val="0072513D"/>
    <w:rsid w:val="00730249"/>
    <w:rsid w:val="00733C29"/>
    <w:rsid w:val="00733E27"/>
    <w:rsid w:val="007460CA"/>
    <w:rsid w:val="0074741F"/>
    <w:rsid w:val="007631F8"/>
    <w:rsid w:val="00765BCB"/>
    <w:rsid w:val="00770727"/>
    <w:rsid w:val="007722E3"/>
    <w:rsid w:val="00773ECC"/>
    <w:rsid w:val="0078135D"/>
    <w:rsid w:val="007829CF"/>
    <w:rsid w:val="007918F1"/>
    <w:rsid w:val="00795920"/>
    <w:rsid w:val="007A2AE7"/>
    <w:rsid w:val="007A4486"/>
    <w:rsid w:val="007B235C"/>
    <w:rsid w:val="007D05FE"/>
    <w:rsid w:val="007D0AD3"/>
    <w:rsid w:val="007F1FD2"/>
    <w:rsid w:val="007F79FC"/>
    <w:rsid w:val="00801F84"/>
    <w:rsid w:val="008027E6"/>
    <w:rsid w:val="00816C96"/>
    <w:rsid w:val="00823254"/>
    <w:rsid w:val="00825534"/>
    <w:rsid w:val="00831E8E"/>
    <w:rsid w:val="00862036"/>
    <w:rsid w:val="0087062E"/>
    <w:rsid w:val="00880FF9"/>
    <w:rsid w:val="00883D7A"/>
    <w:rsid w:val="008855A5"/>
    <w:rsid w:val="008866CD"/>
    <w:rsid w:val="008879A7"/>
    <w:rsid w:val="008962B5"/>
    <w:rsid w:val="008A1E53"/>
    <w:rsid w:val="008A59B0"/>
    <w:rsid w:val="008B1A6E"/>
    <w:rsid w:val="008B1ECA"/>
    <w:rsid w:val="008C0F5E"/>
    <w:rsid w:val="008C2262"/>
    <w:rsid w:val="008D02F0"/>
    <w:rsid w:val="008F4337"/>
    <w:rsid w:val="0090588E"/>
    <w:rsid w:val="0091423B"/>
    <w:rsid w:val="009159D7"/>
    <w:rsid w:val="0092028B"/>
    <w:rsid w:val="00921CA2"/>
    <w:rsid w:val="00923DD6"/>
    <w:rsid w:val="0093150A"/>
    <w:rsid w:val="00932944"/>
    <w:rsid w:val="00945DF8"/>
    <w:rsid w:val="00963061"/>
    <w:rsid w:val="009631DE"/>
    <w:rsid w:val="00973E1F"/>
    <w:rsid w:val="0098074B"/>
    <w:rsid w:val="00983EA6"/>
    <w:rsid w:val="009A298D"/>
    <w:rsid w:val="009A3126"/>
    <w:rsid w:val="009A5131"/>
    <w:rsid w:val="009A6109"/>
    <w:rsid w:val="009B56A0"/>
    <w:rsid w:val="009C0D28"/>
    <w:rsid w:val="009C299C"/>
    <w:rsid w:val="009C711D"/>
    <w:rsid w:val="009D06D4"/>
    <w:rsid w:val="009E19D1"/>
    <w:rsid w:val="009F1AC3"/>
    <w:rsid w:val="00A01869"/>
    <w:rsid w:val="00A057F3"/>
    <w:rsid w:val="00A07814"/>
    <w:rsid w:val="00A24632"/>
    <w:rsid w:val="00A277FD"/>
    <w:rsid w:val="00A6092E"/>
    <w:rsid w:val="00A62324"/>
    <w:rsid w:val="00A63FD8"/>
    <w:rsid w:val="00A70A21"/>
    <w:rsid w:val="00A70DB7"/>
    <w:rsid w:val="00A75792"/>
    <w:rsid w:val="00A958AD"/>
    <w:rsid w:val="00AA180D"/>
    <w:rsid w:val="00AB088C"/>
    <w:rsid w:val="00AC0413"/>
    <w:rsid w:val="00AE0618"/>
    <w:rsid w:val="00AE5EF4"/>
    <w:rsid w:val="00AF07E3"/>
    <w:rsid w:val="00B06955"/>
    <w:rsid w:val="00B0710B"/>
    <w:rsid w:val="00B2005D"/>
    <w:rsid w:val="00B20D2B"/>
    <w:rsid w:val="00B230DC"/>
    <w:rsid w:val="00B25848"/>
    <w:rsid w:val="00B2592F"/>
    <w:rsid w:val="00B26F79"/>
    <w:rsid w:val="00B2739A"/>
    <w:rsid w:val="00B47A5A"/>
    <w:rsid w:val="00B50A2D"/>
    <w:rsid w:val="00B55C88"/>
    <w:rsid w:val="00B625A3"/>
    <w:rsid w:val="00B66C90"/>
    <w:rsid w:val="00B733B3"/>
    <w:rsid w:val="00B749F8"/>
    <w:rsid w:val="00B74B93"/>
    <w:rsid w:val="00B7508E"/>
    <w:rsid w:val="00B757D2"/>
    <w:rsid w:val="00B778DD"/>
    <w:rsid w:val="00B83447"/>
    <w:rsid w:val="00B97D89"/>
    <w:rsid w:val="00BC67BC"/>
    <w:rsid w:val="00BD59E6"/>
    <w:rsid w:val="00BE49F6"/>
    <w:rsid w:val="00BE73B8"/>
    <w:rsid w:val="00BF7786"/>
    <w:rsid w:val="00C00D88"/>
    <w:rsid w:val="00C15D9A"/>
    <w:rsid w:val="00C40CAE"/>
    <w:rsid w:val="00C52165"/>
    <w:rsid w:val="00C525F7"/>
    <w:rsid w:val="00C547D1"/>
    <w:rsid w:val="00C61823"/>
    <w:rsid w:val="00C63F62"/>
    <w:rsid w:val="00C6460F"/>
    <w:rsid w:val="00C706F2"/>
    <w:rsid w:val="00C7250E"/>
    <w:rsid w:val="00C73A70"/>
    <w:rsid w:val="00C77BBA"/>
    <w:rsid w:val="00C82C43"/>
    <w:rsid w:val="00C94C56"/>
    <w:rsid w:val="00CA0B30"/>
    <w:rsid w:val="00CA4E36"/>
    <w:rsid w:val="00CA68C5"/>
    <w:rsid w:val="00CB26D4"/>
    <w:rsid w:val="00CB3020"/>
    <w:rsid w:val="00CC0421"/>
    <w:rsid w:val="00CC6511"/>
    <w:rsid w:val="00CD7390"/>
    <w:rsid w:val="00CE1578"/>
    <w:rsid w:val="00CF59DE"/>
    <w:rsid w:val="00D00070"/>
    <w:rsid w:val="00D02931"/>
    <w:rsid w:val="00D159AF"/>
    <w:rsid w:val="00D22FA5"/>
    <w:rsid w:val="00D33DBB"/>
    <w:rsid w:val="00D35967"/>
    <w:rsid w:val="00D4500F"/>
    <w:rsid w:val="00D556FD"/>
    <w:rsid w:val="00D60A69"/>
    <w:rsid w:val="00D6123B"/>
    <w:rsid w:val="00D61705"/>
    <w:rsid w:val="00D66E2A"/>
    <w:rsid w:val="00D71FFE"/>
    <w:rsid w:val="00D731E8"/>
    <w:rsid w:val="00D750D8"/>
    <w:rsid w:val="00D84DD3"/>
    <w:rsid w:val="00DA3A66"/>
    <w:rsid w:val="00DA5CC2"/>
    <w:rsid w:val="00DA768A"/>
    <w:rsid w:val="00DC0668"/>
    <w:rsid w:val="00DC1B68"/>
    <w:rsid w:val="00DC3984"/>
    <w:rsid w:val="00DC4B69"/>
    <w:rsid w:val="00DE1290"/>
    <w:rsid w:val="00DE1FD9"/>
    <w:rsid w:val="00DE2D0A"/>
    <w:rsid w:val="00DE5DCA"/>
    <w:rsid w:val="00E00332"/>
    <w:rsid w:val="00E00DD5"/>
    <w:rsid w:val="00E03772"/>
    <w:rsid w:val="00E04750"/>
    <w:rsid w:val="00E04BCC"/>
    <w:rsid w:val="00E06C25"/>
    <w:rsid w:val="00E11869"/>
    <w:rsid w:val="00E1341C"/>
    <w:rsid w:val="00E15D93"/>
    <w:rsid w:val="00E342EE"/>
    <w:rsid w:val="00E35D7C"/>
    <w:rsid w:val="00E3644E"/>
    <w:rsid w:val="00E51AB1"/>
    <w:rsid w:val="00E55298"/>
    <w:rsid w:val="00E553A5"/>
    <w:rsid w:val="00E569D2"/>
    <w:rsid w:val="00E62CA5"/>
    <w:rsid w:val="00E71280"/>
    <w:rsid w:val="00E80388"/>
    <w:rsid w:val="00E83B02"/>
    <w:rsid w:val="00E873A9"/>
    <w:rsid w:val="00EA4023"/>
    <w:rsid w:val="00EA6A30"/>
    <w:rsid w:val="00EB3D26"/>
    <w:rsid w:val="00EB5244"/>
    <w:rsid w:val="00EC0A8B"/>
    <w:rsid w:val="00EC35D6"/>
    <w:rsid w:val="00EC3DBA"/>
    <w:rsid w:val="00EC4A42"/>
    <w:rsid w:val="00ED3ADB"/>
    <w:rsid w:val="00EE2803"/>
    <w:rsid w:val="00EE4C03"/>
    <w:rsid w:val="00EE710E"/>
    <w:rsid w:val="00EF12F9"/>
    <w:rsid w:val="00EF1A9E"/>
    <w:rsid w:val="00EF74D9"/>
    <w:rsid w:val="00F065E2"/>
    <w:rsid w:val="00F124B2"/>
    <w:rsid w:val="00F31FDD"/>
    <w:rsid w:val="00F3781D"/>
    <w:rsid w:val="00F41E95"/>
    <w:rsid w:val="00F61E75"/>
    <w:rsid w:val="00F65C3A"/>
    <w:rsid w:val="00F73592"/>
    <w:rsid w:val="00F939EE"/>
    <w:rsid w:val="00FA2A03"/>
    <w:rsid w:val="00FB0844"/>
    <w:rsid w:val="00FB33A2"/>
    <w:rsid w:val="00FB5B41"/>
    <w:rsid w:val="00FC467C"/>
    <w:rsid w:val="00FC5CA1"/>
    <w:rsid w:val="00FD0618"/>
    <w:rsid w:val="00FD6DB1"/>
    <w:rsid w:val="00FE0ED2"/>
    <w:rsid w:val="00FE6927"/>
    <w:rsid w:val="00FF440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C0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berschrift1">
    <w:name w:val="heading 1"/>
    <w:next w:val="Standard"/>
    <w:link w:val="berschrift1Zchn"/>
    <w:uiPriority w:val="9"/>
    <w:qFormat/>
    <w:rsid w:val="00691AFD"/>
    <w:pPr>
      <w:keepNext/>
      <w:keepLines/>
      <w:spacing w:before="480" w:line="276" w:lineRule="auto"/>
      <w:outlineLvl w:val="0"/>
    </w:pPr>
    <w:rPr>
      <w:rFonts w:ascii="Cambria" w:eastAsia="Cambria" w:hAnsi="Cambria" w:cs="Arial"/>
      <w:color w:val="365F91"/>
      <w:u w:color="365F91"/>
    </w:rPr>
  </w:style>
  <w:style w:type="paragraph" w:styleId="berschrift2">
    <w:name w:val="heading 2"/>
    <w:next w:val="Standard"/>
    <w:link w:val="berschrift2Zchn"/>
    <w:autoRedefine/>
    <w:uiPriority w:val="9"/>
    <w:qFormat/>
    <w:rsid w:val="00537477"/>
    <w:pPr>
      <w:keepNext/>
      <w:keepLines/>
      <w:spacing w:before="200" w:line="276" w:lineRule="auto"/>
      <w:ind w:left="360"/>
      <w:outlineLvl w:val="1"/>
    </w:pPr>
    <w:rPr>
      <w:rFonts w:ascii="Cambria" w:eastAsia="Calibri" w:hAnsi="Cambria" w:cs="Arial"/>
      <w:b/>
      <w:color w:val="000000"/>
      <w:u w:color="000000"/>
      <w14:textOutline w14:w="0" w14:cap="flat" w14:cmpd="sng" w14:algn="ctr">
        <w14:noFill/>
        <w14:prstDash w14:val="solid"/>
        <w14:bevel/>
      </w14:textOutline>
    </w:rPr>
  </w:style>
  <w:style w:type="paragraph" w:styleId="berschrift3">
    <w:name w:val="heading 3"/>
    <w:next w:val="Standard"/>
    <w:link w:val="berschrift3Zchn"/>
    <w:uiPriority w:val="9"/>
    <w:qFormat/>
    <w:rsid w:val="00342FB3"/>
    <w:pPr>
      <w:keepNext/>
      <w:keepLines/>
      <w:numPr>
        <w:ilvl w:val="2"/>
        <w:numId w:val="58"/>
      </w:numPr>
      <w:spacing w:before="200" w:line="276" w:lineRule="auto"/>
      <w:outlineLvl w:val="2"/>
    </w:pPr>
    <w:rPr>
      <w:rFonts w:ascii="Arial" w:eastAsia="Cambria" w:hAnsi="Arial" w:cs="Arial"/>
      <w:color w:val="4F81BD"/>
      <w:sz w:val="24"/>
      <w:szCs w:val="24"/>
      <w:u w:color="4F81BD"/>
      <w:lang w:val="en-US"/>
    </w:rPr>
  </w:style>
  <w:style w:type="paragraph" w:styleId="berschrift4">
    <w:name w:val="heading 4"/>
    <w:basedOn w:val="Standard"/>
    <w:next w:val="Standard"/>
    <w:link w:val="berschrift4Zchn"/>
    <w:uiPriority w:val="9"/>
    <w:unhideWhenUsed/>
    <w:qFormat/>
    <w:rsid w:val="007722E3"/>
    <w:pPr>
      <w:keepNext/>
      <w:keepLines/>
      <w:numPr>
        <w:ilvl w:val="3"/>
        <w:numId w:val="58"/>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7722E3"/>
    <w:pPr>
      <w:keepNext/>
      <w:keepLines/>
      <w:numPr>
        <w:ilvl w:val="4"/>
        <w:numId w:val="58"/>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7722E3"/>
    <w:pPr>
      <w:keepNext/>
      <w:keepLines/>
      <w:numPr>
        <w:ilvl w:val="5"/>
        <w:numId w:val="58"/>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7722E3"/>
    <w:pPr>
      <w:keepNext/>
      <w:keepLines/>
      <w:numPr>
        <w:ilvl w:val="6"/>
        <w:numId w:val="58"/>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7722E3"/>
    <w:pPr>
      <w:keepNext/>
      <w:keepLines/>
      <w:numPr>
        <w:ilvl w:val="7"/>
        <w:numId w:val="58"/>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722E3"/>
    <w:pPr>
      <w:keepNext/>
      <w:keepLines/>
      <w:numPr>
        <w:ilvl w:val="8"/>
        <w:numId w:val="5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link w:val="FuzeileZchn"/>
    <w:uiPriority w:val="99"/>
    <w:pPr>
      <w:tabs>
        <w:tab w:val="center" w:pos="4536"/>
        <w:tab w:val="right" w:pos="9072"/>
      </w:tabs>
    </w:pPr>
    <w:rPr>
      <w:rFonts w:ascii="Calibri" w:eastAsia="Calibri" w:hAnsi="Calibri" w:cs="Calibri"/>
      <w:color w:val="000000"/>
      <w:sz w:val="22"/>
      <w:szCs w:val="22"/>
      <w:u w:color="000000"/>
    </w:rPr>
  </w:style>
  <w:style w:type="paragraph" w:styleId="Inhaltsverzeichnisberschrift">
    <w:name w:val="TOC Heading"/>
    <w:next w:val="Standard"/>
    <w:uiPriority w:val="39"/>
    <w:qFormat/>
    <w:pPr>
      <w:keepNext/>
      <w:keepLines/>
      <w:spacing w:before="480" w:line="276" w:lineRule="auto"/>
    </w:pPr>
    <w:rPr>
      <w:rFonts w:ascii="Cambria" w:eastAsia="Cambria" w:hAnsi="Cambria" w:cs="Cambria"/>
      <w:b/>
      <w:bCs/>
      <w:color w:val="365F91"/>
      <w:sz w:val="28"/>
      <w:szCs w:val="28"/>
      <w:u w:color="365F91"/>
    </w:rPr>
  </w:style>
  <w:style w:type="paragraph" w:styleId="Verzeichnis1">
    <w:name w:val="toc 1"/>
    <w:uiPriority w:val="39"/>
    <w:pPr>
      <w:tabs>
        <w:tab w:val="left" w:pos="440"/>
        <w:tab w:val="right" w:leader="dot" w:pos="9046"/>
      </w:tabs>
      <w:spacing w:after="100"/>
    </w:pPr>
    <w:rPr>
      <w:rFonts w:ascii="Calibri" w:eastAsia="Calibri" w:hAnsi="Calibri" w:cs="Calibri"/>
      <w:color w:val="000000"/>
      <w:sz w:val="22"/>
      <w:szCs w:val="22"/>
      <w:u w:color="000000"/>
    </w:rPr>
  </w:style>
  <w:style w:type="paragraph" w:styleId="Verzeichnis2">
    <w:name w:val="toc 2"/>
    <w:uiPriority w:val="39"/>
    <w:pPr>
      <w:tabs>
        <w:tab w:val="left" w:pos="660"/>
        <w:tab w:val="right" w:leader="dot" w:pos="9046"/>
      </w:tabs>
      <w:spacing w:after="100"/>
      <w:ind w:left="220"/>
    </w:pPr>
    <w:rPr>
      <w:rFonts w:ascii="Calibri" w:eastAsia="Calibri" w:hAnsi="Calibri" w:cs="Calibri"/>
      <w:color w:val="000000"/>
      <w:sz w:val="22"/>
      <w:szCs w:val="22"/>
      <w:u w:color="000000"/>
    </w:rPr>
  </w:style>
  <w:style w:type="paragraph" w:styleId="Verzeichnis3">
    <w:name w:val="toc 3"/>
    <w:uiPriority w:val="39"/>
    <w:pPr>
      <w:tabs>
        <w:tab w:val="left" w:pos="1320"/>
        <w:tab w:val="right" w:leader="dot" w:pos="9046"/>
      </w:tabs>
      <w:spacing w:after="100" w:line="276" w:lineRule="auto"/>
      <w:ind w:left="440"/>
    </w:pPr>
    <w:rPr>
      <w:rFonts w:ascii="Calibri" w:eastAsia="Calibri" w:hAnsi="Calibri" w:cs="Calibri"/>
      <w:color w:val="000000"/>
      <w:sz w:val="22"/>
      <w:szCs w:val="22"/>
      <w:u w:color="000000"/>
    </w:rPr>
  </w:style>
  <w:style w:type="paragraph" w:styleId="Listenabsatz">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ImportierterStil1">
    <w:name w:val="Importierter Stil: 1"/>
    <w:pPr>
      <w:numPr>
        <w:numId w:val="36"/>
      </w:numPr>
    </w:pPr>
  </w:style>
  <w:style w:type="character" w:customStyle="1" w:styleId="Link1">
    <w:name w:val="Link1"/>
    <w:rPr>
      <w:color w:val="0000FF"/>
      <w:u w:val="single" w:color="0000FF"/>
      <w14:textOutline w14:w="0" w14:cap="rnd" w14:cmpd="sng" w14:algn="ctr">
        <w14:noFill/>
        <w14:prstDash w14:val="solid"/>
        <w14:bevel/>
      </w14:textOutline>
    </w:rPr>
  </w:style>
  <w:style w:type="numbering" w:customStyle="1" w:styleId="ImportierterStil2">
    <w:name w:val="Importierter Stil: 2"/>
    <w:pPr>
      <w:numPr>
        <w:numId w:val="39"/>
      </w:numPr>
    </w:pPr>
  </w:style>
  <w:style w:type="numbering" w:customStyle="1" w:styleId="ImportierterStil3">
    <w:name w:val="Importierter Stil: 3"/>
    <w:pPr>
      <w:numPr>
        <w:numId w:val="41"/>
      </w:numPr>
    </w:pPr>
  </w:style>
  <w:style w:type="numbering" w:customStyle="1" w:styleId="ImportierterStil4">
    <w:name w:val="Importierter Stil: 4"/>
    <w:pPr>
      <w:numPr>
        <w:numId w:val="43"/>
      </w:numPr>
    </w:p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paragraph" w:styleId="Endnotentext">
    <w:name w:val="endnote text"/>
    <w:link w:val="EndnotentextZchn"/>
    <w:uiPriority w:val="99"/>
    <w:rsid w:val="00801F84"/>
    <w:rPr>
      <w:rFonts w:ascii="Cambria" w:eastAsia="Calibri" w:hAnsi="Cambria" w:cs="Calibri"/>
      <w:color w:val="000000"/>
      <w:sz w:val="16"/>
      <w:szCs w:val="16"/>
      <w:u w:color="000000"/>
    </w:rPr>
  </w:style>
  <w:style w:type="character" w:customStyle="1" w:styleId="Hyperlink0">
    <w:name w:val="Hyperlink.0"/>
    <w:basedOn w:val="Link1"/>
    <w:rPr>
      <w:rFonts w:ascii="Arial" w:eastAsia="Arial" w:hAnsi="Arial" w:cs="Arial"/>
      <w:color w:val="0000FF"/>
      <w:sz w:val="14"/>
      <w:szCs w:val="14"/>
      <w:u w:val="single" w:color="0000FF"/>
      <w14:textOutline w14:w="0" w14:cap="rnd" w14:cmpd="sng" w14:algn="ctr">
        <w14:noFill/>
        <w14:prstDash w14:val="solid"/>
        <w14:bevel/>
      </w14:textOutline>
    </w:rPr>
  </w:style>
  <w:style w:type="paragraph" w:styleId="Funotentext">
    <w:name w:val="footnote text"/>
    <w:link w:val="FunotentextZchn"/>
    <w:uiPriority w:val="99"/>
    <w:rPr>
      <w:rFonts w:ascii="Calibri" w:eastAsia="Calibri" w:hAnsi="Calibri" w:cs="Calibri"/>
      <w:color w:val="000000"/>
      <w:u w:color="000000"/>
    </w:rPr>
  </w:style>
  <w:style w:type="paragraph" w:customStyle="1" w:styleId="EndNoteBibliography">
    <w:name w:val="EndNote Bibliography"/>
    <w:link w:val="EndNoteBibliographyZchn"/>
    <w:rPr>
      <w:rFonts w:ascii="Calibri" w:eastAsia="Calibri" w:hAnsi="Calibri" w:cs="Calibri"/>
      <w:color w:val="000000"/>
      <w:sz w:val="22"/>
      <w:szCs w:val="22"/>
      <w:u w:color="000000"/>
      <w:lang w:val="en-US"/>
    </w:rPr>
  </w:style>
  <w:style w:type="character" w:customStyle="1" w:styleId="Ohne">
    <w:name w:val="Ohne"/>
  </w:style>
  <w:style w:type="character" w:customStyle="1" w:styleId="Hyperlink1">
    <w:name w:val="Hyperlink.1"/>
    <w:basedOn w:val="Ohne"/>
    <w:rPr>
      <w:rFonts w:ascii="Arial" w:eastAsia="Arial" w:hAnsi="Arial" w:cs="Arial"/>
      <w:sz w:val="16"/>
      <w:szCs w:val="16"/>
      <w:shd w:val="clear" w:color="auto" w:fill="C0C0C0"/>
      <w:lang w:val="en-US"/>
    </w:rPr>
  </w:style>
  <w:style w:type="character" w:customStyle="1" w:styleId="Hyperlink2">
    <w:name w:val="Hyperlink.2"/>
    <w:basedOn w:val="Ohne"/>
    <w:rPr>
      <w:rFonts w:ascii="Arial" w:eastAsia="Arial" w:hAnsi="Arial" w:cs="Arial"/>
      <w:color w:val="0000FF"/>
      <w:sz w:val="24"/>
      <w:szCs w:val="24"/>
      <w:u w:val="single" w:color="0000FF"/>
      <w:lang w:val="de-DE"/>
      <w14:textOutline w14:w="0" w14:cap="rnd" w14:cmpd="sng" w14:algn="ctr">
        <w14:noFill/>
        <w14:prstDash w14:val="solid"/>
        <w14:bevel/>
      </w14:textOutline>
    </w:rPr>
  </w:style>
  <w:style w:type="character" w:customStyle="1" w:styleId="Hyperlink3">
    <w:name w:val="Hyperlink.3"/>
    <w:basedOn w:val="Ohne"/>
    <w:rPr>
      <w:rFonts w:ascii="Arial" w:eastAsia="Arial" w:hAnsi="Arial" w:cs="Arial"/>
      <w:color w:val="0000FF"/>
      <w:sz w:val="24"/>
      <w:szCs w:val="24"/>
      <w:u w:val="single" w:color="0000FF"/>
      <w14:textOutline w14:w="0" w14:cap="rnd" w14:cmpd="sng" w14:algn="ctr">
        <w14:noFill/>
        <w14:prstDash w14:val="solid"/>
        <w14:bevel/>
      </w14:textOutline>
    </w:rPr>
  </w:style>
  <w:style w:type="character" w:customStyle="1" w:styleId="Hyperlink4">
    <w:name w:val="Hyperlink.4"/>
    <w:basedOn w:val="Ohne"/>
    <w:rPr>
      <w:rFonts w:ascii="Arial" w:eastAsia="Arial" w:hAnsi="Arial" w:cs="Arial"/>
      <w:b/>
      <w:bCs/>
      <w:i/>
      <w:iCs/>
      <w:sz w:val="24"/>
      <w:szCs w:val="24"/>
      <w:shd w:val="clear" w:color="auto" w:fill="C0C0C0"/>
    </w:rPr>
  </w:style>
  <w:style w:type="paragraph" w:customStyle="1" w:styleId="Default">
    <w:name w:val="Default"/>
    <w:rPr>
      <w:rFonts w:ascii="Calibri" w:eastAsia="Calibri" w:hAnsi="Calibri" w:cs="Calibri"/>
      <w:color w:val="000000"/>
      <w:sz w:val="24"/>
      <w:szCs w:val="24"/>
      <w:u w:color="000000"/>
    </w:rPr>
  </w:style>
  <w:style w:type="character" w:customStyle="1" w:styleId="Hyperlink5">
    <w:name w:val="Hyperlink.5"/>
    <w:basedOn w:val="Ohne"/>
    <w:rPr>
      <w:rFonts w:ascii="Arial" w:eastAsia="Arial" w:hAnsi="Arial" w:cs="Arial"/>
      <w:sz w:val="24"/>
      <w:szCs w:val="24"/>
      <w:u w:val="single"/>
      <w:shd w:val="clear" w:color="auto" w:fill="FFFF00"/>
    </w:rPr>
  </w:style>
  <w:style w:type="numbering" w:customStyle="1" w:styleId="ImportierterStil5">
    <w:name w:val="Importierter Stil: 5"/>
    <w:pPr>
      <w:numPr>
        <w:numId w:val="79"/>
      </w:numPr>
    </w:pPr>
  </w:style>
  <w:style w:type="character" w:customStyle="1" w:styleId="Hyperlink6">
    <w:name w:val="Hyperlink.6"/>
    <w:basedOn w:val="Ohne"/>
    <w:rPr>
      <w:rFonts w:ascii="Arial" w:eastAsia="Arial" w:hAnsi="Arial" w:cs="Arial"/>
      <w:sz w:val="24"/>
      <w:szCs w:val="24"/>
      <w:lang w:val="en-US"/>
    </w:rPr>
  </w:style>
  <w:style w:type="character" w:customStyle="1" w:styleId="Hyperlink7">
    <w:name w:val="Hyperlink.7"/>
    <w:basedOn w:val="Ohne"/>
    <w:rPr>
      <w:lang w:val="en-US"/>
    </w:rPr>
  </w:style>
  <w:style w:type="character" w:customStyle="1" w:styleId="Hyperlink8">
    <w:name w:val="Hyperlink.8"/>
    <w:basedOn w:val="Ohne"/>
    <w:rPr>
      <w:u w:val="single"/>
      <w:lang w:val="en-US"/>
    </w:rPr>
  </w:style>
  <w:style w:type="character" w:customStyle="1" w:styleId="Hyperlink9">
    <w:name w:val="Hyperlink.9"/>
    <w:basedOn w:val="Link1"/>
    <w:rPr>
      <w:rFonts w:ascii="Arial" w:eastAsia="Arial" w:hAnsi="Arial" w:cs="Arial"/>
      <w:color w:val="0000FF"/>
      <w:sz w:val="24"/>
      <w:szCs w:val="24"/>
      <w:u w:val="single" w:color="0000FF"/>
      <w14:textOutline w14:w="0" w14:cap="rnd" w14:cmpd="sng" w14:algn="ctr">
        <w14:noFill/>
        <w14:prstDash w14:val="solid"/>
        <w14:bevel/>
      </w14:textOutline>
    </w:rPr>
  </w:style>
  <w:style w:type="paragraph" w:customStyle="1" w:styleId="Bullet">
    <w:name w:val="Bullet"/>
    <w:link w:val="BulletZchn"/>
    <w:pPr>
      <w:spacing w:before="120"/>
      <w:jc w:val="both"/>
    </w:pPr>
    <w:rPr>
      <w:rFonts w:eastAsia="Times New Roman"/>
      <w:color w:val="000000"/>
      <w:sz w:val="24"/>
      <w:szCs w:val="24"/>
      <w:u w:color="000000"/>
    </w:rPr>
  </w:style>
  <w:style w:type="paragraph" w:styleId="Kommentartext">
    <w:name w:val="annotation text"/>
    <w:aliases w:val="Comment Text Char"/>
    <w:basedOn w:val="Standard"/>
    <w:link w:val="KommentartextZchn"/>
    <w:uiPriority w:val="99"/>
    <w:unhideWhenUsed/>
    <w:pPr>
      <w:spacing w:line="240" w:lineRule="auto"/>
    </w:pPr>
    <w:rPr>
      <w:sz w:val="20"/>
      <w:szCs w:val="20"/>
    </w:rPr>
  </w:style>
  <w:style w:type="character" w:customStyle="1" w:styleId="KommentartextZchn">
    <w:name w:val="Kommentartext Zchn"/>
    <w:aliases w:val="Comment Text Char Zchn"/>
    <w:basedOn w:val="Absatz-Standardschriftart"/>
    <w:link w:val="Kommentartext"/>
    <w:uiPriority w:val="99"/>
    <w:rPr>
      <w:rFonts w:ascii="Calibri" w:eastAsia="Calibri" w:hAnsi="Calibri" w:cs="Calibri"/>
      <w:color w:val="000000"/>
      <w:u w:color="000000"/>
      <w14:textOutline w14:w="0" w14:cap="flat" w14:cmpd="sng" w14:algn="ctr">
        <w14:noFill/>
        <w14:prstDash w14:val="solid"/>
        <w14:bevel/>
      </w14:textOutline>
    </w:rPr>
  </w:style>
  <w:style w:type="character" w:styleId="Kommentarzeichen">
    <w:name w:val="annotation reference"/>
    <w:basedOn w:val="Absatz-Standardschriftart"/>
    <w:uiPriority w:val="99"/>
    <w:unhideWhenUsed/>
    <w:rPr>
      <w:sz w:val="16"/>
      <w:szCs w:val="16"/>
    </w:rPr>
  </w:style>
  <w:style w:type="paragraph" w:styleId="Sprechblasentext">
    <w:name w:val="Balloon Text"/>
    <w:basedOn w:val="Standard"/>
    <w:link w:val="SprechblasentextZchn"/>
    <w:uiPriority w:val="99"/>
    <w:semiHidden/>
    <w:unhideWhenUsed/>
    <w:rsid w:val="00EC3DB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C3DBA"/>
    <w:rPr>
      <w:rFonts w:ascii="Segoe UI" w:eastAsia="Calibri" w:hAnsi="Segoe UI" w:cs="Segoe UI"/>
      <w:color w:val="000000"/>
      <w:sz w:val="18"/>
      <w:szCs w:val="18"/>
      <w:u w:color="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EC3DBA"/>
    <w:rPr>
      <w:b/>
      <w:bCs/>
    </w:rPr>
  </w:style>
  <w:style w:type="character" w:customStyle="1" w:styleId="KommentarthemaZchn">
    <w:name w:val="Kommentarthema Zchn"/>
    <w:basedOn w:val="KommentartextZchn"/>
    <w:link w:val="Kommentarthema"/>
    <w:uiPriority w:val="99"/>
    <w:semiHidden/>
    <w:rsid w:val="00EC3DBA"/>
    <w:rPr>
      <w:rFonts w:ascii="Calibri" w:eastAsia="Calibri" w:hAnsi="Calibri" w:cs="Calibri"/>
      <w:b/>
      <w:bCs/>
      <w:color w:val="000000"/>
      <w:u w:color="000000"/>
      <w14:textOutline w14:w="0" w14:cap="flat" w14:cmpd="sng" w14:algn="ctr">
        <w14:noFill/>
        <w14:prstDash w14:val="solid"/>
        <w14:bevel/>
      </w14:textOutline>
    </w:rPr>
  </w:style>
  <w:style w:type="paragraph" w:styleId="KeinLeerraum">
    <w:name w:val="No Spacing"/>
    <w:uiPriority w:val="1"/>
    <w:qFormat/>
    <w:rsid w:val="009159D7"/>
    <w:rPr>
      <w:rFonts w:ascii="Cambria" w:eastAsia="Arial" w:hAnsi="Cambria" w:cs="Arial"/>
      <w:color w:val="000000"/>
      <w:spacing w:val="-2"/>
      <w:u w:color="000000"/>
      <w14:textOutline w14:w="0" w14:cap="flat" w14:cmpd="sng" w14:algn="ctr">
        <w14:noFill/>
        <w14:prstDash w14:val="solid"/>
        <w14:bevel/>
      </w14:textOutline>
    </w:rPr>
  </w:style>
  <w:style w:type="paragraph" w:styleId="Kopfzeile">
    <w:name w:val="header"/>
    <w:basedOn w:val="Standard"/>
    <w:link w:val="KopfzeileZchn"/>
    <w:uiPriority w:val="99"/>
    <w:unhideWhenUsed/>
    <w:rsid w:val="005E38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3853"/>
    <w:rPr>
      <w:rFonts w:ascii="Calibri" w:eastAsia="Calibri" w:hAnsi="Calibri" w:cs="Calibri"/>
      <w:color w:val="000000"/>
      <w:sz w:val="22"/>
      <w:szCs w:val="22"/>
      <w:u w:color="000000"/>
      <w14:textOutline w14:w="0" w14:cap="flat" w14:cmpd="sng" w14:algn="ctr">
        <w14:noFill/>
        <w14:prstDash w14:val="solid"/>
        <w14:bevel/>
      </w14:textOutline>
    </w:rPr>
  </w:style>
  <w:style w:type="character" w:styleId="Endnotenzeichen">
    <w:name w:val="endnote reference"/>
    <w:basedOn w:val="Absatz-Standardschriftart"/>
    <w:uiPriority w:val="99"/>
    <w:semiHidden/>
    <w:unhideWhenUsed/>
    <w:rsid w:val="005E3853"/>
    <w:rPr>
      <w:vertAlign w:val="superscript"/>
    </w:rPr>
  </w:style>
  <w:style w:type="paragraph" w:customStyle="1" w:styleId="Formatvorlage1">
    <w:name w:val="Formatvorlage1"/>
    <w:basedOn w:val="berschrift1"/>
    <w:link w:val="Formatvorlage1Zchn"/>
    <w:qFormat/>
    <w:rsid w:val="007722E3"/>
    <w:rPr>
      <w:rFonts w:eastAsia="Arial"/>
    </w:rPr>
  </w:style>
  <w:style w:type="character" w:customStyle="1" w:styleId="berschrift4Zchn">
    <w:name w:val="Überschrift 4 Zchn"/>
    <w:basedOn w:val="Absatz-Standardschriftart"/>
    <w:link w:val="berschrift4"/>
    <w:uiPriority w:val="9"/>
    <w:rsid w:val="007722E3"/>
    <w:rPr>
      <w:rFonts w:asciiTheme="majorHAnsi" w:eastAsiaTheme="majorEastAsia" w:hAnsiTheme="majorHAnsi" w:cstheme="majorBidi"/>
      <w:i/>
      <w:iCs/>
      <w:color w:val="365F91" w:themeColor="accent1" w:themeShade="BF"/>
      <w:sz w:val="22"/>
      <w:szCs w:val="22"/>
      <w:u w:color="000000"/>
      <w14:textOutline w14:w="0" w14:cap="flat" w14:cmpd="sng" w14:algn="ctr">
        <w14:noFill/>
        <w14:prstDash w14:val="solid"/>
        <w14:bevel/>
      </w14:textOutline>
    </w:rPr>
  </w:style>
  <w:style w:type="character" w:customStyle="1" w:styleId="berschrift1Zchn">
    <w:name w:val="Überschrift 1 Zchn"/>
    <w:basedOn w:val="Absatz-Standardschriftart"/>
    <w:link w:val="berschrift1"/>
    <w:uiPriority w:val="9"/>
    <w:rsid w:val="00691AFD"/>
    <w:rPr>
      <w:rFonts w:ascii="Cambria" w:eastAsia="Cambria" w:hAnsi="Cambria" w:cs="Arial"/>
      <w:color w:val="365F91"/>
      <w:u w:color="365F91"/>
    </w:rPr>
  </w:style>
  <w:style w:type="character" w:customStyle="1" w:styleId="Formatvorlage1Zchn">
    <w:name w:val="Formatvorlage1 Zchn"/>
    <w:basedOn w:val="berschrift1Zchn"/>
    <w:link w:val="Formatvorlage1"/>
    <w:rsid w:val="007722E3"/>
    <w:rPr>
      <w:rFonts w:ascii="Arial" w:eastAsia="Arial" w:hAnsi="Arial" w:cs="Arial"/>
      <w:b w:val="0"/>
      <w:bCs w:val="0"/>
      <w:color w:val="365F91"/>
      <w:sz w:val="24"/>
      <w:szCs w:val="24"/>
      <w:u w:color="365F91"/>
    </w:rPr>
  </w:style>
  <w:style w:type="character" w:customStyle="1" w:styleId="berschrift5Zchn">
    <w:name w:val="Überschrift 5 Zchn"/>
    <w:basedOn w:val="Absatz-Standardschriftart"/>
    <w:link w:val="berschrift5"/>
    <w:uiPriority w:val="9"/>
    <w:semiHidden/>
    <w:rsid w:val="007722E3"/>
    <w:rPr>
      <w:rFonts w:asciiTheme="majorHAnsi" w:eastAsiaTheme="majorEastAsia" w:hAnsiTheme="majorHAnsi" w:cstheme="majorBidi"/>
      <w:color w:val="365F91" w:themeColor="accent1" w:themeShade="BF"/>
      <w:sz w:val="22"/>
      <w:szCs w:val="22"/>
      <w:u w:color="000000"/>
      <w14:textOutline w14:w="0" w14:cap="flat" w14:cmpd="sng" w14:algn="ctr">
        <w14:noFill/>
        <w14:prstDash w14:val="solid"/>
        <w14:bevel/>
      </w14:textOutline>
    </w:rPr>
  </w:style>
  <w:style w:type="character" w:customStyle="1" w:styleId="berschrift6Zchn">
    <w:name w:val="Überschrift 6 Zchn"/>
    <w:basedOn w:val="Absatz-Standardschriftart"/>
    <w:link w:val="berschrift6"/>
    <w:uiPriority w:val="9"/>
    <w:semiHidden/>
    <w:rsid w:val="007722E3"/>
    <w:rPr>
      <w:rFonts w:asciiTheme="majorHAnsi" w:eastAsiaTheme="majorEastAsia" w:hAnsiTheme="majorHAnsi" w:cstheme="majorBidi"/>
      <w:color w:val="243F60" w:themeColor="accent1" w:themeShade="7F"/>
      <w:sz w:val="22"/>
      <w:szCs w:val="22"/>
      <w:u w:color="000000"/>
      <w14:textOutline w14:w="0" w14:cap="flat" w14:cmpd="sng" w14:algn="ctr">
        <w14:noFill/>
        <w14:prstDash w14:val="solid"/>
        <w14:bevel/>
      </w14:textOutline>
    </w:rPr>
  </w:style>
  <w:style w:type="character" w:customStyle="1" w:styleId="berschrift7Zchn">
    <w:name w:val="Überschrift 7 Zchn"/>
    <w:basedOn w:val="Absatz-Standardschriftart"/>
    <w:link w:val="berschrift7"/>
    <w:uiPriority w:val="9"/>
    <w:semiHidden/>
    <w:rsid w:val="007722E3"/>
    <w:rPr>
      <w:rFonts w:asciiTheme="majorHAnsi" w:eastAsiaTheme="majorEastAsia" w:hAnsiTheme="majorHAnsi" w:cstheme="majorBidi"/>
      <w:i/>
      <w:iCs/>
      <w:color w:val="243F60" w:themeColor="accent1" w:themeShade="7F"/>
      <w:sz w:val="22"/>
      <w:szCs w:val="22"/>
      <w:u w:color="000000"/>
      <w14:textOutline w14:w="0" w14:cap="flat" w14:cmpd="sng" w14:algn="ctr">
        <w14:noFill/>
        <w14:prstDash w14:val="solid"/>
        <w14:bevel/>
      </w14:textOutline>
    </w:rPr>
  </w:style>
  <w:style w:type="character" w:customStyle="1" w:styleId="berschrift8Zchn">
    <w:name w:val="Überschrift 8 Zchn"/>
    <w:basedOn w:val="Absatz-Standardschriftart"/>
    <w:link w:val="berschrift8"/>
    <w:uiPriority w:val="9"/>
    <w:semiHidden/>
    <w:rsid w:val="007722E3"/>
    <w:rPr>
      <w:rFonts w:asciiTheme="majorHAnsi" w:eastAsiaTheme="majorEastAsia" w:hAnsiTheme="majorHAnsi" w:cstheme="majorBidi"/>
      <w:color w:val="272727" w:themeColor="text1" w:themeTint="D8"/>
      <w:sz w:val="21"/>
      <w:szCs w:val="21"/>
      <w:u w:color="000000"/>
      <w14:textOutline w14:w="0" w14:cap="flat" w14:cmpd="sng" w14:algn="ctr">
        <w14:noFill/>
        <w14:prstDash w14:val="solid"/>
        <w14:bevel/>
      </w14:textOutline>
    </w:rPr>
  </w:style>
  <w:style w:type="character" w:customStyle="1" w:styleId="berschrift9Zchn">
    <w:name w:val="Überschrift 9 Zchn"/>
    <w:basedOn w:val="Absatz-Standardschriftart"/>
    <w:link w:val="berschrift9"/>
    <w:uiPriority w:val="9"/>
    <w:semiHidden/>
    <w:rsid w:val="007722E3"/>
    <w:rPr>
      <w:rFonts w:asciiTheme="majorHAnsi" w:eastAsiaTheme="majorEastAsia" w:hAnsiTheme="majorHAnsi" w:cstheme="majorBidi"/>
      <w:i/>
      <w:iCs/>
      <w:color w:val="272727" w:themeColor="text1" w:themeTint="D8"/>
      <w:sz w:val="21"/>
      <w:szCs w:val="21"/>
      <w:u w:color="000000"/>
      <w14:textOutline w14:w="0" w14:cap="flat" w14:cmpd="sng" w14:algn="ctr">
        <w14:noFill/>
        <w14:prstDash w14:val="solid"/>
        <w14:bevel/>
      </w14:textOutline>
    </w:rPr>
  </w:style>
  <w:style w:type="character" w:customStyle="1" w:styleId="FuzeileZchn">
    <w:name w:val="Fußzeile Zchn"/>
    <w:basedOn w:val="Absatz-Standardschriftart"/>
    <w:link w:val="Fuzeile"/>
    <w:uiPriority w:val="99"/>
    <w:rsid w:val="00DE1290"/>
    <w:rPr>
      <w:rFonts w:ascii="Calibri" w:eastAsia="Calibri" w:hAnsi="Calibri" w:cs="Calibri"/>
      <w:color w:val="000000"/>
      <w:sz w:val="22"/>
      <w:szCs w:val="22"/>
      <w:u w:color="000000"/>
    </w:rPr>
  </w:style>
  <w:style w:type="table" w:customStyle="1" w:styleId="TableNormal1">
    <w:name w:val="Table Normal1"/>
    <w:rsid w:val="00420A45"/>
    <w:tblPr>
      <w:tblInd w:w="0" w:type="dxa"/>
      <w:tblCellMar>
        <w:top w:w="0" w:type="dxa"/>
        <w:left w:w="0" w:type="dxa"/>
        <w:bottom w:w="0" w:type="dxa"/>
        <w:right w:w="0" w:type="dxa"/>
      </w:tblCellMar>
    </w:tblPr>
  </w:style>
  <w:style w:type="character" w:styleId="Funotenzeichen">
    <w:name w:val="footnote reference"/>
    <w:basedOn w:val="Absatz-Standardschriftart"/>
    <w:uiPriority w:val="99"/>
    <w:semiHidden/>
    <w:unhideWhenUsed/>
    <w:rsid w:val="00FC5CA1"/>
    <w:rPr>
      <w:vertAlign w:val="superscript"/>
    </w:rPr>
  </w:style>
  <w:style w:type="paragraph" w:styleId="berarbeitung">
    <w:name w:val="Revision"/>
    <w:hidden/>
    <w:uiPriority w:val="99"/>
    <w:semiHidden/>
    <w:rsid w:val="00C6182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14:textOutline w14:w="0" w14:cap="flat" w14:cmpd="sng" w14:algn="ctr">
        <w14:noFill/>
        <w14:prstDash w14:val="solid"/>
        <w14:bevel/>
      </w14:textOutline>
    </w:rPr>
  </w:style>
  <w:style w:type="numbering" w:customStyle="1" w:styleId="ImportierterStil21">
    <w:name w:val="Importierter Stil: 21"/>
    <w:rsid w:val="00264D62"/>
  </w:style>
  <w:style w:type="numbering" w:customStyle="1" w:styleId="ImportierterStil31">
    <w:name w:val="Importierter Stil: 31"/>
    <w:rsid w:val="00264D62"/>
  </w:style>
  <w:style w:type="numbering" w:customStyle="1" w:styleId="ImportierterStil41">
    <w:name w:val="Importierter Stil: 41"/>
    <w:rsid w:val="00264D62"/>
  </w:style>
  <w:style w:type="paragraph" w:customStyle="1" w:styleId="berschrift41">
    <w:name w:val="Überschrift 41"/>
    <w:basedOn w:val="Standard"/>
    <w:next w:val="Standard"/>
    <w:uiPriority w:val="9"/>
    <w:semiHidden/>
    <w:unhideWhenUsed/>
    <w:qFormat/>
    <w:rsid w:val="00264D62"/>
    <w:pPr>
      <w:keepNext/>
      <w:keepLines/>
      <w:tabs>
        <w:tab w:val="num" w:pos="360"/>
      </w:tabs>
      <w:spacing w:before="40" w:after="0"/>
      <w:outlineLvl w:val="3"/>
    </w:pPr>
    <w:rPr>
      <w:rFonts w:ascii="Helvetica Neue" w:eastAsia="Times New Roman" w:hAnsi="Helvetica Neue" w:cs="Times New Roman"/>
      <w:i/>
      <w:iCs/>
      <w:color w:val="365F91"/>
    </w:rPr>
  </w:style>
  <w:style w:type="paragraph" w:customStyle="1" w:styleId="berschrift51">
    <w:name w:val="Überschrift 51"/>
    <w:basedOn w:val="Standard"/>
    <w:next w:val="Standard"/>
    <w:uiPriority w:val="9"/>
    <w:semiHidden/>
    <w:unhideWhenUsed/>
    <w:qFormat/>
    <w:rsid w:val="00264D62"/>
    <w:pPr>
      <w:keepNext/>
      <w:keepLines/>
      <w:tabs>
        <w:tab w:val="num" w:pos="360"/>
      </w:tabs>
      <w:spacing w:before="40" w:after="0"/>
      <w:outlineLvl w:val="4"/>
    </w:pPr>
    <w:rPr>
      <w:rFonts w:ascii="Helvetica Neue" w:eastAsia="Times New Roman" w:hAnsi="Helvetica Neue" w:cs="Times New Roman"/>
      <w:color w:val="365F91"/>
    </w:rPr>
  </w:style>
  <w:style w:type="paragraph" w:customStyle="1" w:styleId="berschrift61">
    <w:name w:val="Überschrift 61"/>
    <w:basedOn w:val="Standard"/>
    <w:next w:val="Standard"/>
    <w:uiPriority w:val="9"/>
    <w:semiHidden/>
    <w:unhideWhenUsed/>
    <w:qFormat/>
    <w:rsid w:val="00264D62"/>
    <w:pPr>
      <w:keepNext/>
      <w:keepLines/>
      <w:tabs>
        <w:tab w:val="num" w:pos="360"/>
      </w:tabs>
      <w:spacing w:before="40" w:after="0"/>
      <w:outlineLvl w:val="5"/>
    </w:pPr>
    <w:rPr>
      <w:rFonts w:ascii="Helvetica Neue" w:eastAsia="Times New Roman" w:hAnsi="Helvetica Neue" w:cs="Times New Roman"/>
      <w:color w:val="243F60"/>
    </w:rPr>
  </w:style>
  <w:style w:type="paragraph" w:customStyle="1" w:styleId="berschrift71">
    <w:name w:val="Überschrift 71"/>
    <w:basedOn w:val="Standard"/>
    <w:next w:val="Standard"/>
    <w:uiPriority w:val="9"/>
    <w:semiHidden/>
    <w:unhideWhenUsed/>
    <w:qFormat/>
    <w:rsid w:val="00264D62"/>
    <w:pPr>
      <w:keepNext/>
      <w:keepLines/>
      <w:tabs>
        <w:tab w:val="num" w:pos="360"/>
      </w:tabs>
      <w:spacing w:before="40" w:after="0"/>
      <w:outlineLvl w:val="6"/>
    </w:pPr>
    <w:rPr>
      <w:rFonts w:ascii="Helvetica Neue" w:eastAsia="Times New Roman" w:hAnsi="Helvetica Neue" w:cs="Times New Roman"/>
      <w:i/>
      <w:iCs/>
      <w:color w:val="243F60"/>
    </w:rPr>
  </w:style>
  <w:style w:type="paragraph" w:customStyle="1" w:styleId="berschrift81">
    <w:name w:val="Überschrift 81"/>
    <w:basedOn w:val="Standard"/>
    <w:next w:val="Standard"/>
    <w:uiPriority w:val="9"/>
    <w:semiHidden/>
    <w:unhideWhenUsed/>
    <w:qFormat/>
    <w:rsid w:val="00264D62"/>
    <w:pPr>
      <w:keepNext/>
      <w:keepLines/>
      <w:tabs>
        <w:tab w:val="num" w:pos="360"/>
      </w:tabs>
      <w:spacing w:before="40" w:after="0"/>
      <w:outlineLvl w:val="7"/>
    </w:pPr>
    <w:rPr>
      <w:rFonts w:ascii="Helvetica Neue" w:eastAsia="Times New Roman" w:hAnsi="Helvetica Neue" w:cs="Times New Roman"/>
      <w:color w:val="272727"/>
      <w:sz w:val="21"/>
      <w:szCs w:val="21"/>
    </w:rPr>
  </w:style>
  <w:style w:type="paragraph" w:customStyle="1" w:styleId="berschrift91">
    <w:name w:val="Überschrift 91"/>
    <w:basedOn w:val="Standard"/>
    <w:next w:val="Standard"/>
    <w:uiPriority w:val="9"/>
    <w:semiHidden/>
    <w:unhideWhenUsed/>
    <w:qFormat/>
    <w:rsid w:val="00264D62"/>
    <w:pPr>
      <w:keepNext/>
      <w:keepLines/>
      <w:tabs>
        <w:tab w:val="num" w:pos="360"/>
      </w:tabs>
      <w:spacing w:before="40" w:after="0"/>
      <w:outlineLvl w:val="8"/>
    </w:pPr>
    <w:rPr>
      <w:rFonts w:ascii="Helvetica Neue" w:eastAsia="Times New Roman" w:hAnsi="Helvetica Neue" w:cs="Times New Roman"/>
      <w:i/>
      <w:iCs/>
      <w:color w:val="272727"/>
      <w:sz w:val="21"/>
      <w:szCs w:val="21"/>
    </w:rPr>
  </w:style>
  <w:style w:type="table" w:customStyle="1" w:styleId="TableNormal2">
    <w:name w:val="Table Normal2"/>
    <w:rsid w:val="00264D62"/>
    <w:tblPr>
      <w:tblInd w:w="0" w:type="dxa"/>
      <w:tblCellMar>
        <w:top w:w="0" w:type="dxa"/>
        <w:left w:w="0" w:type="dxa"/>
        <w:bottom w:w="0" w:type="dxa"/>
        <w:right w:w="0" w:type="dxa"/>
      </w:tblCellMar>
    </w:tblPr>
  </w:style>
  <w:style w:type="numbering" w:customStyle="1" w:styleId="KeineListe1">
    <w:name w:val="Keine Liste1"/>
    <w:next w:val="KeineListe"/>
    <w:uiPriority w:val="99"/>
    <w:semiHidden/>
    <w:unhideWhenUsed/>
    <w:rsid w:val="008962B5"/>
  </w:style>
  <w:style w:type="character" w:customStyle="1" w:styleId="berschrift2Zchn">
    <w:name w:val="Überschrift 2 Zchn"/>
    <w:basedOn w:val="Absatz-Standardschriftart"/>
    <w:link w:val="berschrift2"/>
    <w:uiPriority w:val="9"/>
    <w:rsid w:val="00537477"/>
    <w:rPr>
      <w:rFonts w:ascii="Cambria" w:eastAsia="Calibri" w:hAnsi="Cambria" w:cs="Arial"/>
      <w:b/>
      <w:color w:val="000000"/>
      <w:u w:color="000000"/>
      <w14:textOutline w14:w="0" w14:cap="flat" w14:cmpd="sng" w14:algn="ctr">
        <w14:noFill/>
        <w14:prstDash w14:val="solid"/>
        <w14:bevel/>
      </w14:textOutline>
    </w:rPr>
  </w:style>
  <w:style w:type="character" w:customStyle="1" w:styleId="berschrift3Zchn">
    <w:name w:val="Überschrift 3 Zchn"/>
    <w:basedOn w:val="Absatz-Standardschriftart"/>
    <w:link w:val="berschrift3"/>
    <w:uiPriority w:val="9"/>
    <w:rsid w:val="008962B5"/>
    <w:rPr>
      <w:rFonts w:ascii="Arial" w:eastAsia="Cambria" w:hAnsi="Arial" w:cs="Arial"/>
      <w:color w:val="4F81BD"/>
      <w:sz w:val="24"/>
      <w:szCs w:val="24"/>
      <w:u w:color="4F81BD"/>
      <w:lang w:val="en-US"/>
    </w:rPr>
  </w:style>
  <w:style w:type="table" w:customStyle="1" w:styleId="Tabellenraster1">
    <w:name w:val="Tabellenraster1"/>
    <w:basedOn w:val="NormaleTabelle"/>
    <w:next w:val="Tabellenraster"/>
    <w:uiPriority w:val="59"/>
    <w:rsid w:val="008962B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Standard"/>
    <w:rsid w:val="008962B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color w:val="auto"/>
      <w:sz w:val="27"/>
      <w:szCs w:val="27"/>
      <w:bdr w:val="none" w:sz="0" w:space="0" w:color="auto"/>
      <w14:textOutline w14:w="0" w14:cap="rnd" w14:cmpd="sng" w14:algn="ctr">
        <w14:noFill/>
        <w14:prstDash w14:val="solid"/>
        <w14:bevel/>
      </w14:textOutline>
    </w:rPr>
  </w:style>
  <w:style w:type="paragraph" w:customStyle="1" w:styleId="desc2">
    <w:name w:val="desc2"/>
    <w:basedOn w:val="Standard"/>
    <w:rsid w:val="008962B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style>
  <w:style w:type="paragraph" w:customStyle="1" w:styleId="details1">
    <w:name w:val="details1"/>
    <w:basedOn w:val="Standard"/>
    <w:rsid w:val="008962B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color w:val="auto"/>
      <w:bdr w:val="none" w:sz="0" w:space="0" w:color="auto"/>
      <w14:textOutline w14:w="0" w14:cap="rnd" w14:cmpd="sng" w14:algn="ctr">
        <w14:noFill/>
        <w14:prstDash w14:val="solid"/>
        <w14:bevel/>
      </w14:textOutline>
    </w:rPr>
  </w:style>
  <w:style w:type="character" w:customStyle="1" w:styleId="jrnl">
    <w:name w:val="jrnl"/>
    <w:basedOn w:val="Absatz-Standardschriftart"/>
    <w:rsid w:val="008962B5"/>
  </w:style>
  <w:style w:type="character" w:customStyle="1" w:styleId="EndnotentextZchn">
    <w:name w:val="Endnotentext Zchn"/>
    <w:basedOn w:val="Absatz-Standardschriftart"/>
    <w:link w:val="Endnotentext"/>
    <w:uiPriority w:val="99"/>
    <w:rsid w:val="00801F84"/>
    <w:rPr>
      <w:rFonts w:ascii="Cambria" w:eastAsia="Calibri" w:hAnsi="Cambria" w:cs="Calibri"/>
      <w:color w:val="000000"/>
      <w:sz w:val="16"/>
      <w:szCs w:val="16"/>
      <w:u w:color="000000"/>
    </w:rPr>
  </w:style>
  <w:style w:type="character" w:customStyle="1" w:styleId="highlight">
    <w:name w:val="highlight"/>
    <w:basedOn w:val="Absatz-Standardschriftart"/>
    <w:rsid w:val="008962B5"/>
  </w:style>
  <w:style w:type="character" w:customStyle="1" w:styleId="quality-sign">
    <w:name w:val="quality-sign"/>
    <w:basedOn w:val="Absatz-Standardschriftart"/>
    <w:rsid w:val="008962B5"/>
  </w:style>
  <w:style w:type="table" w:customStyle="1" w:styleId="Gitternetztabelle4Akzent11">
    <w:name w:val="Gitternetztabelle 4 – Akzent 11"/>
    <w:basedOn w:val="NormaleTabelle"/>
    <w:uiPriority w:val="49"/>
    <w:rsid w:val="008962B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Verzeichnis51">
    <w:name w:val="Verzeichnis 51"/>
    <w:basedOn w:val="Standard"/>
    <w:next w:val="Standard"/>
    <w:autoRedefine/>
    <w:uiPriority w:val="39"/>
    <w:semiHidden/>
    <w:unhideWhenUsed/>
    <w:rsid w:val="008962B5"/>
    <w:pPr>
      <w:pBdr>
        <w:top w:val="none" w:sz="0" w:space="0" w:color="auto"/>
        <w:left w:val="none" w:sz="0" w:space="0" w:color="auto"/>
        <w:bottom w:val="none" w:sz="0" w:space="0" w:color="auto"/>
        <w:right w:val="none" w:sz="0" w:space="0" w:color="auto"/>
        <w:between w:val="none" w:sz="0" w:space="0" w:color="auto"/>
        <w:bar w:val="none" w:sz="0" w:color="auto"/>
      </w:pBdr>
      <w:spacing w:after="100"/>
      <w:ind w:left="880"/>
    </w:pPr>
    <w:rPr>
      <w:rFonts w:cs="Times New Roman"/>
      <w:color w:val="auto"/>
      <w:bdr w:val="none" w:sz="0" w:space="0" w:color="auto"/>
      <w:lang w:eastAsia="en-US"/>
      <w14:textOutline w14:w="0" w14:cap="rnd" w14:cmpd="sng" w14:algn="ctr">
        <w14:noFill/>
        <w14:prstDash w14:val="solid"/>
        <w14:bevel/>
      </w14:textOutline>
    </w:rPr>
  </w:style>
  <w:style w:type="character" w:customStyle="1" w:styleId="FunotentextZchn">
    <w:name w:val="Fußnotentext Zchn"/>
    <w:basedOn w:val="Absatz-Standardschriftart"/>
    <w:link w:val="Funotentext"/>
    <w:uiPriority w:val="99"/>
    <w:rsid w:val="008962B5"/>
    <w:rPr>
      <w:rFonts w:ascii="Calibri" w:eastAsia="Calibri" w:hAnsi="Calibri" w:cs="Calibri"/>
      <w:color w:val="000000"/>
      <w:u w:color="000000"/>
    </w:rPr>
  </w:style>
  <w:style w:type="paragraph" w:customStyle="1" w:styleId="desc">
    <w:name w:val="desc"/>
    <w:basedOn w:val="Standard"/>
    <w:rsid w:val="008962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en-US" w:eastAsia="en-US"/>
      <w14:textOutline w14:w="0" w14:cap="rnd" w14:cmpd="sng" w14:algn="ctr">
        <w14:noFill/>
        <w14:prstDash w14:val="solid"/>
        <w14:bevel/>
      </w14:textOutline>
    </w:rPr>
  </w:style>
  <w:style w:type="paragraph" w:customStyle="1" w:styleId="details">
    <w:name w:val="details"/>
    <w:basedOn w:val="Standard"/>
    <w:rsid w:val="008962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en-US" w:eastAsia="en-US"/>
      <w14:textOutline w14:w="0" w14:cap="rnd" w14:cmpd="sng" w14:algn="ctr">
        <w14:noFill/>
        <w14:prstDash w14:val="solid"/>
        <w14:bevel/>
      </w14:textOutline>
    </w:rPr>
  </w:style>
  <w:style w:type="character" w:customStyle="1" w:styleId="highlight2">
    <w:name w:val="highlight2"/>
    <w:basedOn w:val="Absatz-Standardschriftart"/>
    <w:rsid w:val="008962B5"/>
  </w:style>
  <w:style w:type="paragraph" w:styleId="StandardWeb">
    <w:name w:val="Normal (Web)"/>
    <w:basedOn w:val="Standard"/>
    <w:uiPriority w:val="99"/>
    <w:unhideWhenUsed/>
    <w:rsid w:val="008962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style>
  <w:style w:type="paragraph" w:styleId="Textkrper">
    <w:name w:val="Body Text"/>
    <w:basedOn w:val="Standard"/>
    <w:link w:val="TextkrperZchn"/>
    <w:uiPriority w:val="99"/>
    <w:rsid w:val="008962B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pPr>
    <w:rPr>
      <w:rFonts w:ascii="Times New Roman" w:eastAsia="Times New Roman" w:hAnsi="Times New Roman" w:cs="Times New Roman"/>
      <w:color w:val="auto"/>
      <w:sz w:val="24"/>
      <w:szCs w:val="24"/>
      <w:bdr w:val="none" w:sz="0" w:space="0" w:color="auto"/>
      <w:lang w:val="x-none" w:eastAsia="x-none"/>
      <w14:textOutline w14:w="0" w14:cap="rnd" w14:cmpd="sng" w14:algn="ctr">
        <w14:noFill/>
        <w14:prstDash w14:val="solid"/>
        <w14:bevel/>
      </w14:textOutline>
    </w:rPr>
  </w:style>
  <w:style w:type="character" w:customStyle="1" w:styleId="TextkrperZchn">
    <w:name w:val="Textkörper Zchn"/>
    <w:basedOn w:val="Absatz-Standardschriftart"/>
    <w:link w:val="Textkrper"/>
    <w:uiPriority w:val="99"/>
    <w:rsid w:val="008962B5"/>
    <w:rPr>
      <w:rFonts w:eastAsia="Times New Roman"/>
      <w:sz w:val="24"/>
      <w:szCs w:val="24"/>
      <w:bdr w:val="none" w:sz="0" w:space="0" w:color="auto"/>
      <w:lang w:val="x-none" w:eastAsia="x-none"/>
    </w:rPr>
  </w:style>
  <w:style w:type="paragraph" w:customStyle="1" w:styleId="1">
    <w:name w:val="1"/>
    <w:uiPriority w:val="59"/>
    <w:rsid w:val="008962B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EndNoteBibliographyZchn">
    <w:name w:val="EndNote Bibliography Zchn"/>
    <w:basedOn w:val="Absatz-Standardschriftart"/>
    <w:link w:val="EndNoteBibliography"/>
    <w:rsid w:val="008962B5"/>
    <w:rPr>
      <w:rFonts w:ascii="Calibri" w:eastAsia="Calibri" w:hAnsi="Calibri" w:cs="Calibri"/>
      <w:color w:val="000000"/>
      <w:sz w:val="22"/>
      <w:szCs w:val="22"/>
      <w:u w:color="000000"/>
      <w:lang w:val="en-US"/>
    </w:rPr>
  </w:style>
  <w:style w:type="numbering" w:customStyle="1" w:styleId="KeineListe11">
    <w:name w:val="Keine Liste11"/>
    <w:next w:val="KeineListe"/>
    <w:uiPriority w:val="99"/>
    <w:semiHidden/>
    <w:unhideWhenUsed/>
    <w:rsid w:val="008962B5"/>
  </w:style>
  <w:style w:type="table" w:customStyle="1" w:styleId="Tabellenraster11">
    <w:name w:val="Tabellenraster11"/>
    <w:basedOn w:val="NormaleTabelle"/>
    <w:next w:val="Tabellenraster"/>
    <w:uiPriority w:val="59"/>
    <w:rsid w:val="008962B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szeichen1">
    <w:name w:val="Aufzählungszeichen1"/>
    <w:basedOn w:val="Standard"/>
    <w:next w:val="Aufzhlungszeichen"/>
    <w:uiPriority w:val="99"/>
    <w:unhideWhenUsed/>
    <w:rsid w:val="008962B5"/>
    <w:pPr>
      <w:numPr>
        <w:numId w:val="126"/>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ind w:left="396" w:hanging="396"/>
      <w:contextualSpacing/>
    </w:pPr>
    <w:rPr>
      <w:rFonts w:cs="Times New Roman"/>
      <w:color w:val="auto"/>
      <w:bdr w:val="none" w:sz="0" w:space="0" w:color="auto"/>
      <w:lang w:eastAsia="en-US"/>
      <w14:textOutline w14:w="0" w14:cap="rnd" w14:cmpd="sng" w14:algn="ctr">
        <w14:noFill/>
        <w14:prstDash w14:val="solid"/>
        <w14:bevel/>
      </w14:textOutline>
    </w:rPr>
  </w:style>
  <w:style w:type="character" w:customStyle="1" w:styleId="BulletZchn">
    <w:name w:val="Bullet Zchn"/>
    <w:basedOn w:val="Absatz-Standardschriftart"/>
    <w:link w:val="Bullet"/>
    <w:rsid w:val="008962B5"/>
    <w:rPr>
      <w:rFonts w:eastAsia="Times New Roman"/>
      <w:color w:val="000000"/>
      <w:sz w:val="24"/>
      <w:szCs w:val="24"/>
      <w:u w:color="000000"/>
    </w:rPr>
  </w:style>
  <w:style w:type="numbering" w:customStyle="1" w:styleId="KeineListe2">
    <w:name w:val="Keine Liste2"/>
    <w:next w:val="KeineListe"/>
    <w:uiPriority w:val="99"/>
    <w:semiHidden/>
    <w:unhideWhenUsed/>
    <w:rsid w:val="008962B5"/>
  </w:style>
  <w:style w:type="table" w:customStyle="1" w:styleId="MittlereSchattierung1-Akzent11">
    <w:name w:val="Mittlere Schattierung 1 - Akzent 11"/>
    <w:basedOn w:val="NormaleTabelle"/>
    <w:next w:val="MittlereSchattierung1-Akzent1"/>
    <w:uiPriority w:val="63"/>
    <w:rsid w:val="008962B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Dokumentstruktur">
    <w:name w:val="Document Map"/>
    <w:basedOn w:val="Standard"/>
    <w:link w:val="DokumentstrukturZchn"/>
    <w:uiPriority w:val="99"/>
    <w:semiHidden/>
    <w:unhideWhenUsed/>
    <w:rsid w:val="008962B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Lucida Grande" w:hAnsi="Lucida Grande" w:cs="Lucida Grande"/>
      <w:color w:val="auto"/>
      <w:sz w:val="24"/>
      <w:szCs w:val="24"/>
      <w:bdr w:val="none" w:sz="0" w:space="0" w:color="auto"/>
      <w:lang w:eastAsia="en-US"/>
      <w14:textOutline w14:w="0" w14:cap="rnd" w14:cmpd="sng" w14:algn="ctr">
        <w14:noFill/>
        <w14:prstDash w14:val="solid"/>
        <w14:bevel/>
      </w14:textOutline>
    </w:rPr>
  </w:style>
  <w:style w:type="character" w:customStyle="1" w:styleId="DokumentstrukturZchn">
    <w:name w:val="Dokumentstruktur Zchn"/>
    <w:basedOn w:val="Absatz-Standardschriftart"/>
    <w:link w:val="Dokumentstruktur"/>
    <w:uiPriority w:val="99"/>
    <w:semiHidden/>
    <w:rsid w:val="008962B5"/>
    <w:rPr>
      <w:rFonts w:ascii="Lucida Grande" w:eastAsia="Calibri" w:hAnsi="Lucida Grande" w:cs="Lucida Grande"/>
      <w:sz w:val="24"/>
      <w:szCs w:val="24"/>
      <w:bdr w:val="none" w:sz="0" w:space="0" w:color="auto"/>
      <w:lang w:eastAsia="en-US"/>
    </w:rPr>
  </w:style>
  <w:style w:type="table" w:customStyle="1" w:styleId="TableNormal3">
    <w:name w:val="Table Normal3"/>
    <w:rsid w:val="008962B5"/>
    <w:tblPr>
      <w:tblInd w:w="0" w:type="dxa"/>
      <w:tblCellMar>
        <w:top w:w="0" w:type="dxa"/>
        <w:left w:w="0" w:type="dxa"/>
        <w:bottom w:w="0" w:type="dxa"/>
        <w:right w:w="0" w:type="dxa"/>
      </w:tblCellMar>
    </w:tblPr>
  </w:style>
  <w:style w:type="table" w:customStyle="1" w:styleId="TableNormal11">
    <w:name w:val="Table Normal11"/>
    <w:rsid w:val="008962B5"/>
    <w:tblPr>
      <w:tblInd w:w="0" w:type="dxa"/>
      <w:tblCellMar>
        <w:top w:w="0" w:type="dxa"/>
        <w:left w:w="0" w:type="dxa"/>
        <w:bottom w:w="0" w:type="dxa"/>
        <w:right w:w="0" w:type="dxa"/>
      </w:tblCellMar>
    </w:tblPr>
  </w:style>
  <w:style w:type="table" w:customStyle="1" w:styleId="TableNormal21">
    <w:name w:val="Table Normal21"/>
    <w:rsid w:val="008962B5"/>
    <w:tblPr>
      <w:tblInd w:w="0" w:type="dxa"/>
      <w:tblCellMar>
        <w:top w:w="0" w:type="dxa"/>
        <w:left w:w="0" w:type="dxa"/>
        <w:bottom w:w="0" w:type="dxa"/>
        <w:right w:w="0" w:type="dxa"/>
      </w:tblCellMar>
    </w:tblPr>
  </w:style>
  <w:style w:type="table" w:styleId="Tabellenraster">
    <w:name w:val="Table Grid"/>
    <w:basedOn w:val="NormaleTabelle"/>
    <w:uiPriority w:val="39"/>
    <w:rsid w:val="00896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uiPriority w:val="99"/>
    <w:semiHidden/>
    <w:unhideWhenUsed/>
    <w:rsid w:val="008962B5"/>
    <w:pPr>
      <w:numPr>
        <w:numId w:val="109"/>
      </w:numPr>
      <w:contextualSpacing/>
    </w:pPr>
  </w:style>
  <w:style w:type="table" w:styleId="MittlereSchattierung1-Akzent1">
    <w:name w:val="Medium Shading 1 Accent 1"/>
    <w:basedOn w:val="NormaleTabelle"/>
    <w:uiPriority w:val="63"/>
    <w:semiHidden/>
    <w:unhideWhenUsed/>
    <w:rsid w:val="008962B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KeineListe3">
    <w:name w:val="Keine Liste3"/>
    <w:next w:val="KeineListe"/>
    <w:uiPriority w:val="99"/>
    <w:semiHidden/>
    <w:unhideWhenUsed/>
    <w:rsid w:val="008962B5"/>
  </w:style>
  <w:style w:type="numbering" w:customStyle="1" w:styleId="KeineListe4">
    <w:name w:val="Keine Liste4"/>
    <w:next w:val="KeineListe"/>
    <w:uiPriority w:val="99"/>
    <w:semiHidden/>
    <w:unhideWhenUsed/>
    <w:rsid w:val="008962B5"/>
  </w:style>
  <w:style w:type="numbering" w:customStyle="1" w:styleId="KeineListe5">
    <w:name w:val="Keine Liste5"/>
    <w:next w:val="KeineListe"/>
    <w:uiPriority w:val="99"/>
    <w:semiHidden/>
    <w:unhideWhenUsed/>
    <w:rsid w:val="008962B5"/>
  </w:style>
  <w:style w:type="numbering" w:customStyle="1" w:styleId="KeineListe6">
    <w:name w:val="Keine Liste6"/>
    <w:next w:val="KeineListe"/>
    <w:uiPriority w:val="99"/>
    <w:semiHidden/>
    <w:unhideWhenUsed/>
    <w:rsid w:val="008962B5"/>
  </w:style>
  <w:style w:type="numbering" w:customStyle="1" w:styleId="KeineListe7">
    <w:name w:val="Keine Liste7"/>
    <w:next w:val="KeineListe"/>
    <w:uiPriority w:val="99"/>
    <w:semiHidden/>
    <w:unhideWhenUsed/>
    <w:rsid w:val="008962B5"/>
  </w:style>
  <w:style w:type="paragraph" w:customStyle="1" w:styleId="Titel1">
    <w:name w:val="Titel1"/>
    <w:basedOn w:val="Standard"/>
    <w:rsid w:val="008962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style>
  <w:style w:type="paragraph" w:customStyle="1" w:styleId="berschrift40">
    <w:name w:val="Überschrift4"/>
    <w:basedOn w:val="Standard"/>
    <w:rsid w:val="008962B5"/>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w:color w:val="auto"/>
      <w:sz w:val="24"/>
      <w:szCs w:val="24"/>
      <w:u w:val="single"/>
      <w:bdr w:val="none" w:sz="0" w:space="0" w:color="auto"/>
      <w:lang w:eastAsia="en-US"/>
      <w14:textOutline w14:w="0" w14:cap="rnd" w14:cmpd="sng" w14:algn="ctr">
        <w14:noFill/>
        <w14:prstDash w14:val="solid"/>
        <w14:bevel/>
      </w14:textOutline>
    </w:rPr>
  </w:style>
  <w:style w:type="numbering" w:customStyle="1" w:styleId="KeineListe8">
    <w:name w:val="Keine Liste8"/>
    <w:next w:val="KeineListe"/>
    <w:uiPriority w:val="99"/>
    <w:semiHidden/>
    <w:unhideWhenUsed/>
    <w:rsid w:val="004955B8"/>
  </w:style>
  <w:style w:type="table" w:customStyle="1" w:styleId="MittlereSchattierung1-Akzent12">
    <w:name w:val="Mittlere Schattierung 1 - Akzent 12"/>
    <w:basedOn w:val="NormaleTabelle"/>
    <w:next w:val="MittlereSchattierung1-Akzent1"/>
    <w:uiPriority w:val="63"/>
    <w:rsid w:val="004955B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itel2">
    <w:name w:val="Titel2"/>
    <w:basedOn w:val="Standard"/>
    <w:next w:val="Standard"/>
    <w:link w:val="Titel2Zchn"/>
    <w:uiPriority w:val="10"/>
    <w:qFormat/>
    <w:rsid w:val="004955B8"/>
    <w:pPr>
      <w:pBdr>
        <w:top w:val="none" w:sz="0" w:space="0" w:color="auto"/>
        <w:left w:val="none" w:sz="0" w:space="0" w:color="auto"/>
        <w:bottom w:val="single" w:sz="8" w:space="4" w:color="4F81BD"/>
        <w:right w:val="none" w:sz="0" w:space="0" w:color="auto"/>
        <w:between w:val="none" w:sz="0" w:space="0" w:color="auto"/>
        <w:bar w:val="none" w:sz="0" w:color="auto"/>
      </w:pBdr>
      <w:spacing w:after="300" w:line="240" w:lineRule="auto"/>
      <w:contextualSpacing/>
    </w:pPr>
    <w:rPr>
      <w:rFonts w:ascii="Cambria" w:eastAsia="Times New Roman" w:hAnsi="Cambria" w:cs="Times New Roman"/>
      <w:color w:val="17365D"/>
      <w:spacing w:val="5"/>
      <w:kern w:val="28"/>
      <w:sz w:val="52"/>
      <w:szCs w:val="52"/>
      <w:bdr w:val="none" w:sz="0" w:space="0" w:color="auto"/>
      <w14:textOutline w14:w="0" w14:cap="rnd" w14:cmpd="sng" w14:algn="ctr">
        <w14:noFill/>
        <w14:prstDash w14:val="solid"/>
        <w14:bevel/>
      </w14:textOutline>
    </w:rPr>
  </w:style>
  <w:style w:type="character" w:customStyle="1" w:styleId="TitelZchn">
    <w:name w:val="Titel Zchn"/>
    <w:basedOn w:val="Absatz-Standardschriftart"/>
    <w:link w:val="Titel"/>
    <w:uiPriority w:val="10"/>
    <w:rsid w:val="000A612E"/>
    <w:rPr>
      <w:rFonts w:ascii="Cambria" w:eastAsia="Times New Roman" w:hAnsi="Cambria"/>
      <w:color w:val="17365D"/>
      <w:spacing w:val="5"/>
      <w:kern w:val="28"/>
      <w:u w:color="000000"/>
    </w:rPr>
  </w:style>
  <w:style w:type="paragraph" w:customStyle="1" w:styleId="Untertitel1">
    <w:name w:val="Untertitel1"/>
    <w:basedOn w:val="Standard"/>
    <w:next w:val="Standard"/>
    <w:uiPriority w:val="11"/>
    <w:qFormat/>
    <w:rsid w:val="004955B8"/>
    <w:pPr>
      <w:numPr>
        <w:ilvl w:val="1"/>
      </w:num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Times New Roman" w:hAnsi="Cambria" w:cs="Times New Roman"/>
      <w:i/>
      <w:iCs/>
      <w:color w:val="4F81BD"/>
      <w:spacing w:val="15"/>
      <w:sz w:val="24"/>
      <w:szCs w:val="24"/>
      <w:bdr w:val="none" w:sz="0" w:space="0" w:color="auto"/>
      <w14:textOutline w14:w="0" w14:cap="rnd" w14:cmpd="sng" w14:algn="ctr">
        <w14:noFill/>
        <w14:prstDash w14:val="solid"/>
        <w14:bevel/>
      </w14:textOutline>
    </w:rPr>
  </w:style>
  <w:style w:type="character" w:customStyle="1" w:styleId="UntertitelZchn">
    <w:name w:val="Untertitel Zchn"/>
    <w:basedOn w:val="Absatz-Standardschriftart"/>
    <w:link w:val="Untertitel"/>
    <w:uiPriority w:val="11"/>
    <w:rsid w:val="004955B8"/>
    <w:rPr>
      <w:rFonts w:ascii="Cambria" w:eastAsia="Times New Roman" w:hAnsi="Cambria" w:cs="Times New Roman"/>
      <w:i/>
      <w:iCs/>
      <w:color w:val="4F81BD"/>
      <w:spacing w:val="15"/>
      <w:sz w:val="24"/>
      <w:szCs w:val="24"/>
      <w:lang w:eastAsia="de-DE"/>
    </w:rPr>
  </w:style>
  <w:style w:type="paragraph" w:styleId="Titel">
    <w:name w:val="Title"/>
    <w:basedOn w:val="Standard"/>
    <w:next w:val="Standard"/>
    <w:link w:val="TitelZchn"/>
    <w:uiPriority w:val="10"/>
    <w:qFormat/>
    <w:rsid w:val="000A612E"/>
    <w:pPr>
      <w:spacing w:after="0"/>
      <w:contextualSpacing/>
    </w:pPr>
    <w:rPr>
      <w:rFonts w:ascii="Cambria" w:eastAsia="Times New Roman" w:hAnsi="Cambria" w:cs="Times New Roman"/>
      <w:color w:val="17365D"/>
      <w:spacing w:val="5"/>
      <w:kern w:val="28"/>
      <w:sz w:val="20"/>
      <w:szCs w:val="20"/>
      <w14:textOutline w14:w="0" w14:cap="rnd" w14:cmpd="sng" w14:algn="ctr">
        <w14:noFill/>
        <w14:prstDash w14:val="solid"/>
        <w14:bevel/>
      </w14:textOutline>
    </w:rPr>
  </w:style>
  <w:style w:type="character" w:customStyle="1" w:styleId="TitelZchn1">
    <w:name w:val="Titel Zchn1"/>
    <w:basedOn w:val="Absatz-Standardschriftart"/>
    <w:uiPriority w:val="10"/>
    <w:rsid w:val="004955B8"/>
    <w:rPr>
      <w:rFonts w:asciiTheme="majorHAnsi" w:eastAsiaTheme="majorEastAsia" w:hAnsiTheme="majorHAnsi" w:cstheme="majorBidi"/>
      <w:spacing w:val="-10"/>
      <w:kern w:val="28"/>
      <w:sz w:val="56"/>
      <w:szCs w:val="56"/>
      <w:u w:color="000000"/>
      <w14:textOutline w14:w="0" w14:cap="flat" w14:cmpd="sng" w14:algn="ctr">
        <w14:noFill/>
        <w14:prstDash w14:val="solid"/>
        <w14:bevel/>
      </w14:textOutline>
    </w:rPr>
  </w:style>
  <w:style w:type="paragraph" w:styleId="Untertitel">
    <w:name w:val="Subtitle"/>
    <w:basedOn w:val="Standard"/>
    <w:next w:val="Standard"/>
    <w:link w:val="UntertitelZchn"/>
    <w:uiPriority w:val="11"/>
    <w:qFormat/>
    <w:rsid w:val="004955B8"/>
    <w:pPr>
      <w:numPr>
        <w:ilvl w:val="1"/>
      </w:numPr>
      <w:spacing w:after="160"/>
    </w:pPr>
    <w:rPr>
      <w:rFonts w:ascii="Cambria" w:eastAsia="Times New Roman" w:hAnsi="Cambria" w:cs="Times New Roman"/>
      <w:i/>
      <w:iCs/>
      <w:color w:val="4F81BD"/>
      <w:spacing w:val="15"/>
      <w:sz w:val="24"/>
      <w:szCs w:val="24"/>
      <w14:textOutline w14:w="0" w14:cap="rnd" w14:cmpd="sng" w14:algn="ctr">
        <w14:noFill/>
        <w14:prstDash w14:val="solid"/>
        <w14:bevel/>
      </w14:textOutline>
    </w:rPr>
  </w:style>
  <w:style w:type="character" w:customStyle="1" w:styleId="UntertitelZchn1">
    <w:name w:val="Untertitel Zchn1"/>
    <w:basedOn w:val="Absatz-Standardschriftart"/>
    <w:uiPriority w:val="11"/>
    <w:rsid w:val="004955B8"/>
    <w:rPr>
      <w:rFonts w:asciiTheme="minorHAnsi" w:eastAsiaTheme="minorEastAsia" w:hAnsiTheme="minorHAnsi" w:cstheme="minorBidi"/>
      <w:color w:val="5A5A5A" w:themeColor="text1" w:themeTint="A5"/>
      <w:spacing w:val="15"/>
      <w:sz w:val="22"/>
      <w:szCs w:val="22"/>
      <w:u w:color="000000"/>
      <w14:textOutline w14:w="0" w14:cap="flat" w14:cmpd="sng" w14:algn="ctr">
        <w14:noFill/>
        <w14:prstDash w14:val="solid"/>
        <w14:bevel/>
      </w14:textOutline>
    </w:rPr>
  </w:style>
  <w:style w:type="character" w:styleId="Seitenzahl">
    <w:name w:val="page number"/>
    <w:basedOn w:val="Absatz-Standardschriftart"/>
    <w:uiPriority w:val="99"/>
    <w:semiHidden/>
    <w:unhideWhenUsed/>
    <w:rsid w:val="00EE4C03"/>
  </w:style>
  <w:style w:type="paragraph" w:customStyle="1" w:styleId="Formatvorlage2">
    <w:name w:val="Formatvorlage2"/>
    <w:basedOn w:val="Titel2"/>
    <w:link w:val="Formatvorlage2Zchn"/>
    <w:qFormat/>
    <w:rsid w:val="0091423B"/>
  </w:style>
  <w:style w:type="paragraph" w:customStyle="1" w:styleId="LL">
    <w:name w:val="LL"/>
    <w:basedOn w:val="Formatvorlage2"/>
    <w:link w:val="LLZchn"/>
    <w:qFormat/>
    <w:rsid w:val="0091423B"/>
  </w:style>
  <w:style w:type="character" w:customStyle="1" w:styleId="Titel2Zchn">
    <w:name w:val="Titel2 Zchn"/>
    <w:basedOn w:val="Absatz-Standardschriftart"/>
    <w:link w:val="Titel2"/>
    <w:uiPriority w:val="10"/>
    <w:rsid w:val="0091423B"/>
    <w:rPr>
      <w:rFonts w:ascii="Cambria" w:eastAsia="Times New Roman" w:hAnsi="Cambria"/>
      <w:color w:val="17365D"/>
      <w:spacing w:val="5"/>
      <w:kern w:val="28"/>
      <w:sz w:val="52"/>
      <w:szCs w:val="52"/>
      <w:u w:color="000000"/>
      <w:bdr w:val="none" w:sz="0" w:space="0" w:color="auto"/>
    </w:rPr>
  </w:style>
  <w:style w:type="character" w:customStyle="1" w:styleId="Formatvorlage2Zchn">
    <w:name w:val="Formatvorlage2 Zchn"/>
    <w:basedOn w:val="Titel2Zchn"/>
    <w:link w:val="Formatvorlage2"/>
    <w:rsid w:val="0091423B"/>
    <w:rPr>
      <w:rFonts w:ascii="Cambria" w:eastAsia="Times New Roman" w:hAnsi="Cambria"/>
      <w:color w:val="17365D"/>
      <w:spacing w:val="5"/>
      <w:kern w:val="28"/>
      <w:sz w:val="52"/>
      <w:szCs w:val="52"/>
      <w:u w:color="000000"/>
      <w:bdr w:val="none" w:sz="0" w:space="0" w:color="auto"/>
    </w:rPr>
  </w:style>
  <w:style w:type="paragraph" w:customStyle="1" w:styleId="Formatvorlage3">
    <w:name w:val="Formatvorlage3"/>
    <w:basedOn w:val="LL"/>
    <w:link w:val="Formatvorlage3Zchn"/>
    <w:autoRedefine/>
    <w:qFormat/>
    <w:rsid w:val="0091423B"/>
  </w:style>
  <w:style w:type="character" w:customStyle="1" w:styleId="LLZchn">
    <w:name w:val="LL Zchn"/>
    <w:basedOn w:val="Formatvorlage2Zchn"/>
    <w:link w:val="LL"/>
    <w:rsid w:val="0091423B"/>
    <w:rPr>
      <w:rFonts w:ascii="Cambria" w:eastAsia="Times New Roman" w:hAnsi="Cambria"/>
      <w:color w:val="17365D"/>
      <w:spacing w:val="5"/>
      <w:kern w:val="28"/>
      <w:sz w:val="52"/>
      <w:szCs w:val="52"/>
      <w:u w:color="000000"/>
      <w:bdr w:val="none" w:sz="0" w:space="0" w:color="auto"/>
    </w:rPr>
  </w:style>
  <w:style w:type="paragraph" w:customStyle="1" w:styleId="LeitLTitel">
    <w:name w:val="LeitLTitel"/>
    <w:basedOn w:val="Formatvorlage3"/>
    <w:link w:val="LeitLTitelZchn"/>
    <w:autoRedefine/>
    <w:qFormat/>
    <w:rsid w:val="0031161F"/>
  </w:style>
  <w:style w:type="character" w:customStyle="1" w:styleId="Formatvorlage3Zchn">
    <w:name w:val="Formatvorlage3 Zchn"/>
    <w:basedOn w:val="LLZchn"/>
    <w:link w:val="Formatvorlage3"/>
    <w:rsid w:val="0091423B"/>
    <w:rPr>
      <w:rFonts w:ascii="Cambria" w:eastAsia="Times New Roman" w:hAnsi="Cambria"/>
      <w:color w:val="17365D"/>
      <w:spacing w:val="5"/>
      <w:kern w:val="28"/>
      <w:sz w:val="52"/>
      <w:szCs w:val="52"/>
      <w:u w:color="000000"/>
      <w:bdr w:val="none" w:sz="0" w:space="0" w:color="auto"/>
    </w:rPr>
  </w:style>
  <w:style w:type="character" w:customStyle="1" w:styleId="LeitLTitelZchn">
    <w:name w:val="LeitLTitel Zchn"/>
    <w:basedOn w:val="Formatvorlage3Zchn"/>
    <w:link w:val="LeitLTitel"/>
    <w:rsid w:val="0031161F"/>
    <w:rPr>
      <w:rFonts w:ascii="Cambria" w:eastAsia="Times New Roman" w:hAnsi="Cambria"/>
      <w:color w:val="17365D"/>
      <w:spacing w:val="5"/>
      <w:kern w:val="28"/>
      <w:sz w:val="52"/>
      <w:szCs w:val="52"/>
      <w:u w:color="000000"/>
      <w:bdr w:val="none" w:sz="0" w:space="0" w:color="auto"/>
    </w:rPr>
  </w:style>
  <w:style w:type="paragraph" w:customStyle="1" w:styleId="Endnote">
    <w:name w:val="Endnote"/>
    <w:basedOn w:val="Standard"/>
    <w:link w:val="EndnoteZchn"/>
    <w:qFormat/>
    <w:rsid w:val="00CB26D4"/>
    <w:pPr>
      <w:spacing w:before="240"/>
    </w:pPr>
    <w:rPr>
      <w:rFonts w:ascii="Cambria" w:eastAsia="Arial" w:hAnsi="Cambria" w:cs="Arial"/>
      <w:sz w:val="20"/>
      <w:szCs w:val="20"/>
      <w:vertAlign w:val="superscript"/>
    </w:rPr>
  </w:style>
  <w:style w:type="paragraph" w:customStyle="1" w:styleId="EndnoteReal">
    <w:name w:val="EndnoteReal"/>
    <w:basedOn w:val="Standard"/>
    <w:link w:val="EndnoteRealZchn"/>
    <w:qFormat/>
    <w:rsid w:val="00CB26D4"/>
    <w:rPr>
      <w:rFonts w:ascii="Cambria" w:eastAsia="Arial" w:hAnsi="Cambria" w:cs="Arial"/>
      <w:sz w:val="20"/>
      <w:szCs w:val="20"/>
      <w:vertAlign w:val="superscript"/>
    </w:rPr>
  </w:style>
  <w:style w:type="character" w:customStyle="1" w:styleId="EndnoteZchn">
    <w:name w:val="Endnote Zchn"/>
    <w:basedOn w:val="Absatz-Standardschriftart"/>
    <w:link w:val="Endnote"/>
    <w:rsid w:val="00CB26D4"/>
    <w:rPr>
      <w:rFonts w:ascii="Cambria" w:eastAsia="Arial" w:hAnsi="Cambria" w:cs="Arial"/>
      <w:color w:val="000000"/>
      <w:u w:color="000000"/>
      <w:vertAlign w:val="superscript"/>
      <w14:textOutline w14:w="0" w14:cap="flat" w14:cmpd="sng" w14:algn="ctr">
        <w14:noFill/>
        <w14:prstDash w14:val="solid"/>
        <w14:bevel/>
      </w14:textOutline>
    </w:rPr>
  </w:style>
  <w:style w:type="character" w:customStyle="1" w:styleId="EndnoteRealZchn">
    <w:name w:val="EndnoteReal Zchn"/>
    <w:basedOn w:val="Absatz-Standardschriftart"/>
    <w:link w:val="EndnoteReal"/>
    <w:rsid w:val="00CB26D4"/>
    <w:rPr>
      <w:rFonts w:ascii="Cambria" w:eastAsia="Arial" w:hAnsi="Cambria" w:cs="Arial"/>
      <w:color w:val="000000"/>
      <w:u w:color="000000"/>
      <w:vertAlign w:val="superscript"/>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berschrift1">
    <w:name w:val="heading 1"/>
    <w:next w:val="Standard"/>
    <w:link w:val="berschrift1Zchn"/>
    <w:uiPriority w:val="9"/>
    <w:qFormat/>
    <w:rsid w:val="00691AFD"/>
    <w:pPr>
      <w:keepNext/>
      <w:keepLines/>
      <w:spacing w:before="480" w:line="276" w:lineRule="auto"/>
      <w:outlineLvl w:val="0"/>
    </w:pPr>
    <w:rPr>
      <w:rFonts w:ascii="Cambria" w:eastAsia="Cambria" w:hAnsi="Cambria" w:cs="Arial"/>
      <w:color w:val="365F91"/>
      <w:u w:color="365F91"/>
    </w:rPr>
  </w:style>
  <w:style w:type="paragraph" w:styleId="berschrift2">
    <w:name w:val="heading 2"/>
    <w:next w:val="Standard"/>
    <w:link w:val="berschrift2Zchn"/>
    <w:autoRedefine/>
    <w:uiPriority w:val="9"/>
    <w:qFormat/>
    <w:rsid w:val="00537477"/>
    <w:pPr>
      <w:keepNext/>
      <w:keepLines/>
      <w:spacing w:before="200" w:line="276" w:lineRule="auto"/>
      <w:ind w:left="360"/>
      <w:outlineLvl w:val="1"/>
    </w:pPr>
    <w:rPr>
      <w:rFonts w:ascii="Cambria" w:eastAsia="Calibri" w:hAnsi="Cambria" w:cs="Arial"/>
      <w:b/>
      <w:color w:val="000000"/>
      <w:u w:color="000000"/>
      <w14:textOutline w14:w="0" w14:cap="flat" w14:cmpd="sng" w14:algn="ctr">
        <w14:noFill/>
        <w14:prstDash w14:val="solid"/>
        <w14:bevel/>
      </w14:textOutline>
    </w:rPr>
  </w:style>
  <w:style w:type="paragraph" w:styleId="berschrift3">
    <w:name w:val="heading 3"/>
    <w:next w:val="Standard"/>
    <w:link w:val="berschrift3Zchn"/>
    <w:uiPriority w:val="9"/>
    <w:qFormat/>
    <w:rsid w:val="00342FB3"/>
    <w:pPr>
      <w:keepNext/>
      <w:keepLines/>
      <w:numPr>
        <w:ilvl w:val="2"/>
        <w:numId w:val="58"/>
      </w:numPr>
      <w:spacing w:before="200" w:line="276" w:lineRule="auto"/>
      <w:outlineLvl w:val="2"/>
    </w:pPr>
    <w:rPr>
      <w:rFonts w:ascii="Arial" w:eastAsia="Cambria" w:hAnsi="Arial" w:cs="Arial"/>
      <w:color w:val="4F81BD"/>
      <w:sz w:val="24"/>
      <w:szCs w:val="24"/>
      <w:u w:color="4F81BD"/>
      <w:lang w:val="en-US"/>
    </w:rPr>
  </w:style>
  <w:style w:type="paragraph" w:styleId="berschrift4">
    <w:name w:val="heading 4"/>
    <w:basedOn w:val="Standard"/>
    <w:next w:val="Standard"/>
    <w:link w:val="berschrift4Zchn"/>
    <w:uiPriority w:val="9"/>
    <w:unhideWhenUsed/>
    <w:qFormat/>
    <w:rsid w:val="007722E3"/>
    <w:pPr>
      <w:keepNext/>
      <w:keepLines/>
      <w:numPr>
        <w:ilvl w:val="3"/>
        <w:numId w:val="58"/>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7722E3"/>
    <w:pPr>
      <w:keepNext/>
      <w:keepLines/>
      <w:numPr>
        <w:ilvl w:val="4"/>
        <w:numId w:val="58"/>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7722E3"/>
    <w:pPr>
      <w:keepNext/>
      <w:keepLines/>
      <w:numPr>
        <w:ilvl w:val="5"/>
        <w:numId w:val="58"/>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7722E3"/>
    <w:pPr>
      <w:keepNext/>
      <w:keepLines/>
      <w:numPr>
        <w:ilvl w:val="6"/>
        <w:numId w:val="58"/>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7722E3"/>
    <w:pPr>
      <w:keepNext/>
      <w:keepLines/>
      <w:numPr>
        <w:ilvl w:val="7"/>
        <w:numId w:val="58"/>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722E3"/>
    <w:pPr>
      <w:keepNext/>
      <w:keepLines/>
      <w:numPr>
        <w:ilvl w:val="8"/>
        <w:numId w:val="5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link w:val="FuzeileZchn"/>
    <w:uiPriority w:val="99"/>
    <w:pPr>
      <w:tabs>
        <w:tab w:val="center" w:pos="4536"/>
        <w:tab w:val="right" w:pos="9072"/>
      </w:tabs>
    </w:pPr>
    <w:rPr>
      <w:rFonts w:ascii="Calibri" w:eastAsia="Calibri" w:hAnsi="Calibri" w:cs="Calibri"/>
      <w:color w:val="000000"/>
      <w:sz w:val="22"/>
      <w:szCs w:val="22"/>
      <w:u w:color="000000"/>
    </w:rPr>
  </w:style>
  <w:style w:type="paragraph" w:styleId="Inhaltsverzeichnisberschrift">
    <w:name w:val="TOC Heading"/>
    <w:next w:val="Standard"/>
    <w:uiPriority w:val="39"/>
    <w:qFormat/>
    <w:pPr>
      <w:keepNext/>
      <w:keepLines/>
      <w:spacing w:before="480" w:line="276" w:lineRule="auto"/>
    </w:pPr>
    <w:rPr>
      <w:rFonts w:ascii="Cambria" w:eastAsia="Cambria" w:hAnsi="Cambria" w:cs="Cambria"/>
      <w:b/>
      <w:bCs/>
      <w:color w:val="365F91"/>
      <w:sz w:val="28"/>
      <w:szCs w:val="28"/>
      <w:u w:color="365F91"/>
    </w:rPr>
  </w:style>
  <w:style w:type="paragraph" w:styleId="Verzeichnis1">
    <w:name w:val="toc 1"/>
    <w:uiPriority w:val="39"/>
    <w:pPr>
      <w:tabs>
        <w:tab w:val="left" w:pos="440"/>
        <w:tab w:val="right" w:leader="dot" w:pos="9046"/>
      </w:tabs>
      <w:spacing w:after="100"/>
    </w:pPr>
    <w:rPr>
      <w:rFonts w:ascii="Calibri" w:eastAsia="Calibri" w:hAnsi="Calibri" w:cs="Calibri"/>
      <w:color w:val="000000"/>
      <w:sz w:val="22"/>
      <w:szCs w:val="22"/>
      <w:u w:color="000000"/>
    </w:rPr>
  </w:style>
  <w:style w:type="paragraph" w:styleId="Verzeichnis2">
    <w:name w:val="toc 2"/>
    <w:uiPriority w:val="39"/>
    <w:pPr>
      <w:tabs>
        <w:tab w:val="left" w:pos="660"/>
        <w:tab w:val="right" w:leader="dot" w:pos="9046"/>
      </w:tabs>
      <w:spacing w:after="100"/>
      <w:ind w:left="220"/>
    </w:pPr>
    <w:rPr>
      <w:rFonts w:ascii="Calibri" w:eastAsia="Calibri" w:hAnsi="Calibri" w:cs="Calibri"/>
      <w:color w:val="000000"/>
      <w:sz w:val="22"/>
      <w:szCs w:val="22"/>
      <w:u w:color="000000"/>
    </w:rPr>
  </w:style>
  <w:style w:type="paragraph" w:styleId="Verzeichnis3">
    <w:name w:val="toc 3"/>
    <w:uiPriority w:val="39"/>
    <w:pPr>
      <w:tabs>
        <w:tab w:val="left" w:pos="1320"/>
        <w:tab w:val="right" w:leader="dot" w:pos="9046"/>
      </w:tabs>
      <w:spacing w:after="100" w:line="276" w:lineRule="auto"/>
      <w:ind w:left="440"/>
    </w:pPr>
    <w:rPr>
      <w:rFonts w:ascii="Calibri" w:eastAsia="Calibri" w:hAnsi="Calibri" w:cs="Calibri"/>
      <w:color w:val="000000"/>
      <w:sz w:val="22"/>
      <w:szCs w:val="22"/>
      <w:u w:color="000000"/>
    </w:rPr>
  </w:style>
  <w:style w:type="paragraph" w:styleId="Listenabsatz">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ImportierterStil1">
    <w:name w:val="Importierter Stil: 1"/>
    <w:pPr>
      <w:numPr>
        <w:numId w:val="36"/>
      </w:numPr>
    </w:pPr>
  </w:style>
  <w:style w:type="character" w:customStyle="1" w:styleId="Link1">
    <w:name w:val="Link1"/>
    <w:rPr>
      <w:color w:val="0000FF"/>
      <w:u w:val="single" w:color="0000FF"/>
      <w14:textOutline w14:w="0" w14:cap="rnd" w14:cmpd="sng" w14:algn="ctr">
        <w14:noFill/>
        <w14:prstDash w14:val="solid"/>
        <w14:bevel/>
      </w14:textOutline>
    </w:rPr>
  </w:style>
  <w:style w:type="numbering" w:customStyle="1" w:styleId="ImportierterStil2">
    <w:name w:val="Importierter Stil: 2"/>
    <w:pPr>
      <w:numPr>
        <w:numId w:val="39"/>
      </w:numPr>
    </w:pPr>
  </w:style>
  <w:style w:type="numbering" w:customStyle="1" w:styleId="ImportierterStil3">
    <w:name w:val="Importierter Stil: 3"/>
    <w:pPr>
      <w:numPr>
        <w:numId w:val="41"/>
      </w:numPr>
    </w:pPr>
  </w:style>
  <w:style w:type="numbering" w:customStyle="1" w:styleId="ImportierterStil4">
    <w:name w:val="Importierter Stil: 4"/>
    <w:pPr>
      <w:numPr>
        <w:numId w:val="43"/>
      </w:numPr>
    </w:p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paragraph" w:styleId="Endnotentext">
    <w:name w:val="endnote text"/>
    <w:link w:val="EndnotentextZchn"/>
    <w:uiPriority w:val="99"/>
    <w:rsid w:val="00801F84"/>
    <w:rPr>
      <w:rFonts w:ascii="Cambria" w:eastAsia="Calibri" w:hAnsi="Cambria" w:cs="Calibri"/>
      <w:color w:val="000000"/>
      <w:sz w:val="16"/>
      <w:szCs w:val="16"/>
      <w:u w:color="000000"/>
    </w:rPr>
  </w:style>
  <w:style w:type="character" w:customStyle="1" w:styleId="Hyperlink0">
    <w:name w:val="Hyperlink.0"/>
    <w:basedOn w:val="Link1"/>
    <w:rPr>
      <w:rFonts w:ascii="Arial" w:eastAsia="Arial" w:hAnsi="Arial" w:cs="Arial"/>
      <w:color w:val="0000FF"/>
      <w:sz w:val="14"/>
      <w:szCs w:val="14"/>
      <w:u w:val="single" w:color="0000FF"/>
      <w14:textOutline w14:w="0" w14:cap="rnd" w14:cmpd="sng" w14:algn="ctr">
        <w14:noFill/>
        <w14:prstDash w14:val="solid"/>
        <w14:bevel/>
      </w14:textOutline>
    </w:rPr>
  </w:style>
  <w:style w:type="paragraph" w:styleId="Funotentext">
    <w:name w:val="footnote text"/>
    <w:link w:val="FunotentextZchn"/>
    <w:uiPriority w:val="99"/>
    <w:rPr>
      <w:rFonts w:ascii="Calibri" w:eastAsia="Calibri" w:hAnsi="Calibri" w:cs="Calibri"/>
      <w:color w:val="000000"/>
      <w:u w:color="000000"/>
    </w:rPr>
  </w:style>
  <w:style w:type="paragraph" w:customStyle="1" w:styleId="EndNoteBibliography">
    <w:name w:val="EndNote Bibliography"/>
    <w:link w:val="EndNoteBibliographyZchn"/>
    <w:rPr>
      <w:rFonts w:ascii="Calibri" w:eastAsia="Calibri" w:hAnsi="Calibri" w:cs="Calibri"/>
      <w:color w:val="000000"/>
      <w:sz w:val="22"/>
      <w:szCs w:val="22"/>
      <w:u w:color="000000"/>
      <w:lang w:val="en-US"/>
    </w:rPr>
  </w:style>
  <w:style w:type="character" w:customStyle="1" w:styleId="Ohne">
    <w:name w:val="Ohne"/>
  </w:style>
  <w:style w:type="character" w:customStyle="1" w:styleId="Hyperlink1">
    <w:name w:val="Hyperlink.1"/>
    <w:basedOn w:val="Ohne"/>
    <w:rPr>
      <w:rFonts w:ascii="Arial" w:eastAsia="Arial" w:hAnsi="Arial" w:cs="Arial"/>
      <w:sz w:val="16"/>
      <w:szCs w:val="16"/>
      <w:shd w:val="clear" w:color="auto" w:fill="C0C0C0"/>
      <w:lang w:val="en-US"/>
    </w:rPr>
  </w:style>
  <w:style w:type="character" w:customStyle="1" w:styleId="Hyperlink2">
    <w:name w:val="Hyperlink.2"/>
    <w:basedOn w:val="Ohne"/>
    <w:rPr>
      <w:rFonts w:ascii="Arial" w:eastAsia="Arial" w:hAnsi="Arial" w:cs="Arial"/>
      <w:color w:val="0000FF"/>
      <w:sz w:val="24"/>
      <w:szCs w:val="24"/>
      <w:u w:val="single" w:color="0000FF"/>
      <w:lang w:val="de-DE"/>
      <w14:textOutline w14:w="0" w14:cap="rnd" w14:cmpd="sng" w14:algn="ctr">
        <w14:noFill/>
        <w14:prstDash w14:val="solid"/>
        <w14:bevel/>
      </w14:textOutline>
    </w:rPr>
  </w:style>
  <w:style w:type="character" w:customStyle="1" w:styleId="Hyperlink3">
    <w:name w:val="Hyperlink.3"/>
    <w:basedOn w:val="Ohne"/>
    <w:rPr>
      <w:rFonts w:ascii="Arial" w:eastAsia="Arial" w:hAnsi="Arial" w:cs="Arial"/>
      <w:color w:val="0000FF"/>
      <w:sz w:val="24"/>
      <w:szCs w:val="24"/>
      <w:u w:val="single" w:color="0000FF"/>
      <w14:textOutline w14:w="0" w14:cap="rnd" w14:cmpd="sng" w14:algn="ctr">
        <w14:noFill/>
        <w14:prstDash w14:val="solid"/>
        <w14:bevel/>
      </w14:textOutline>
    </w:rPr>
  </w:style>
  <w:style w:type="character" w:customStyle="1" w:styleId="Hyperlink4">
    <w:name w:val="Hyperlink.4"/>
    <w:basedOn w:val="Ohne"/>
    <w:rPr>
      <w:rFonts w:ascii="Arial" w:eastAsia="Arial" w:hAnsi="Arial" w:cs="Arial"/>
      <w:b/>
      <w:bCs/>
      <w:i/>
      <w:iCs/>
      <w:sz w:val="24"/>
      <w:szCs w:val="24"/>
      <w:shd w:val="clear" w:color="auto" w:fill="C0C0C0"/>
    </w:rPr>
  </w:style>
  <w:style w:type="paragraph" w:customStyle="1" w:styleId="Default">
    <w:name w:val="Default"/>
    <w:rPr>
      <w:rFonts w:ascii="Calibri" w:eastAsia="Calibri" w:hAnsi="Calibri" w:cs="Calibri"/>
      <w:color w:val="000000"/>
      <w:sz w:val="24"/>
      <w:szCs w:val="24"/>
      <w:u w:color="000000"/>
    </w:rPr>
  </w:style>
  <w:style w:type="character" w:customStyle="1" w:styleId="Hyperlink5">
    <w:name w:val="Hyperlink.5"/>
    <w:basedOn w:val="Ohne"/>
    <w:rPr>
      <w:rFonts w:ascii="Arial" w:eastAsia="Arial" w:hAnsi="Arial" w:cs="Arial"/>
      <w:sz w:val="24"/>
      <w:szCs w:val="24"/>
      <w:u w:val="single"/>
      <w:shd w:val="clear" w:color="auto" w:fill="FFFF00"/>
    </w:rPr>
  </w:style>
  <w:style w:type="numbering" w:customStyle="1" w:styleId="ImportierterStil5">
    <w:name w:val="Importierter Stil: 5"/>
    <w:pPr>
      <w:numPr>
        <w:numId w:val="79"/>
      </w:numPr>
    </w:pPr>
  </w:style>
  <w:style w:type="character" w:customStyle="1" w:styleId="Hyperlink6">
    <w:name w:val="Hyperlink.6"/>
    <w:basedOn w:val="Ohne"/>
    <w:rPr>
      <w:rFonts w:ascii="Arial" w:eastAsia="Arial" w:hAnsi="Arial" w:cs="Arial"/>
      <w:sz w:val="24"/>
      <w:szCs w:val="24"/>
      <w:lang w:val="en-US"/>
    </w:rPr>
  </w:style>
  <w:style w:type="character" w:customStyle="1" w:styleId="Hyperlink7">
    <w:name w:val="Hyperlink.7"/>
    <w:basedOn w:val="Ohne"/>
    <w:rPr>
      <w:lang w:val="en-US"/>
    </w:rPr>
  </w:style>
  <w:style w:type="character" w:customStyle="1" w:styleId="Hyperlink8">
    <w:name w:val="Hyperlink.8"/>
    <w:basedOn w:val="Ohne"/>
    <w:rPr>
      <w:u w:val="single"/>
      <w:lang w:val="en-US"/>
    </w:rPr>
  </w:style>
  <w:style w:type="character" w:customStyle="1" w:styleId="Hyperlink9">
    <w:name w:val="Hyperlink.9"/>
    <w:basedOn w:val="Link1"/>
    <w:rPr>
      <w:rFonts w:ascii="Arial" w:eastAsia="Arial" w:hAnsi="Arial" w:cs="Arial"/>
      <w:color w:val="0000FF"/>
      <w:sz w:val="24"/>
      <w:szCs w:val="24"/>
      <w:u w:val="single" w:color="0000FF"/>
      <w14:textOutline w14:w="0" w14:cap="rnd" w14:cmpd="sng" w14:algn="ctr">
        <w14:noFill/>
        <w14:prstDash w14:val="solid"/>
        <w14:bevel/>
      </w14:textOutline>
    </w:rPr>
  </w:style>
  <w:style w:type="paragraph" w:customStyle="1" w:styleId="Bullet">
    <w:name w:val="Bullet"/>
    <w:link w:val="BulletZchn"/>
    <w:pPr>
      <w:spacing w:before="120"/>
      <w:jc w:val="both"/>
    </w:pPr>
    <w:rPr>
      <w:rFonts w:eastAsia="Times New Roman"/>
      <w:color w:val="000000"/>
      <w:sz w:val="24"/>
      <w:szCs w:val="24"/>
      <w:u w:color="000000"/>
    </w:rPr>
  </w:style>
  <w:style w:type="paragraph" w:styleId="Kommentartext">
    <w:name w:val="annotation text"/>
    <w:aliases w:val="Comment Text Char"/>
    <w:basedOn w:val="Standard"/>
    <w:link w:val="KommentartextZchn"/>
    <w:uiPriority w:val="99"/>
    <w:unhideWhenUsed/>
    <w:pPr>
      <w:spacing w:line="240" w:lineRule="auto"/>
    </w:pPr>
    <w:rPr>
      <w:sz w:val="20"/>
      <w:szCs w:val="20"/>
    </w:rPr>
  </w:style>
  <w:style w:type="character" w:customStyle="1" w:styleId="KommentartextZchn">
    <w:name w:val="Kommentartext Zchn"/>
    <w:aliases w:val="Comment Text Char Zchn"/>
    <w:basedOn w:val="Absatz-Standardschriftart"/>
    <w:link w:val="Kommentartext"/>
    <w:uiPriority w:val="99"/>
    <w:rPr>
      <w:rFonts w:ascii="Calibri" w:eastAsia="Calibri" w:hAnsi="Calibri" w:cs="Calibri"/>
      <w:color w:val="000000"/>
      <w:u w:color="000000"/>
      <w14:textOutline w14:w="0" w14:cap="flat" w14:cmpd="sng" w14:algn="ctr">
        <w14:noFill/>
        <w14:prstDash w14:val="solid"/>
        <w14:bevel/>
      </w14:textOutline>
    </w:rPr>
  </w:style>
  <w:style w:type="character" w:styleId="Kommentarzeichen">
    <w:name w:val="annotation reference"/>
    <w:basedOn w:val="Absatz-Standardschriftart"/>
    <w:uiPriority w:val="99"/>
    <w:unhideWhenUsed/>
    <w:rPr>
      <w:sz w:val="16"/>
      <w:szCs w:val="16"/>
    </w:rPr>
  </w:style>
  <w:style w:type="paragraph" w:styleId="Sprechblasentext">
    <w:name w:val="Balloon Text"/>
    <w:basedOn w:val="Standard"/>
    <w:link w:val="SprechblasentextZchn"/>
    <w:uiPriority w:val="99"/>
    <w:semiHidden/>
    <w:unhideWhenUsed/>
    <w:rsid w:val="00EC3DB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C3DBA"/>
    <w:rPr>
      <w:rFonts w:ascii="Segoe UI" w:eastAsia="Calibri" w:hAnsi="Segoe UI" w:cs="Segoe UI"/>
      <w:color w:val="000000"/>
      <w:sz w:val="18"/>
      <w:szCs w:val="18"/>
      <w:u w:color="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EC3DBA"/>
    <w:rPr>
      <w:b/>
      <w:bCs/>
    </w:rPr>
  </w:style>
  <w:style w:type="character" w:customStyle="1" w:styleId="KommentarthemaZchn">
    <w:name w:val="Kommentarthema Zchn"/>
    <w:basedOn w:val="KommentartextZchn"/>
    <w:link w:val="Kommentarthema"/>
    <w:uiPriority w:val="99"/>
    <w:semiHidden/>
    <w:rsid w:val="00EC3DBA"/>
    <w:rPr>
      <w:rFonts w:ascii="Calibri" w:eastAsia="Calibri" w:hAnsi="Calibri" w:cs="Calibri"/>
      <w:b/>
      <w:bCs/>
      <w:color w:val="000000"/>
      <w:u w:color="000000"/>
      <w14:textOutline w14:w="0" w14:cap="flat" w14:cmpd="sng" w14:algn="ctr">
        <w14:noFill/>
        <w14:prstDash w14:val="solid"/>
        <w14:bevel/>
      </w14:textOutline>
    </w:rPr>
  </w:style>
  <w:style w:type="paragraph" w:styleId="KeinLeerraum">
    <w:name w:val="No Spacing"/>
    <w:uiPriority w:val="1"/>
    <w:qFormat/>
    <w:rsid w:val="009159D7"/>
    <w:rPr>
      <w:rFonts w:ascii="Cambria" w:eastAsia="Arial" w:hAnsi="Cambria" w:cs="Arial"/>
      <w:color w:val="000000"/>
      <w:spacing w:val="-2"/>
      <w:u w:color="000000"/>
      <w14:textOutline w14:w="0" w14:cap="flat" w14:cmpd="sng" w14:algn="ctr">
        <w14:noFill/>
        <w14:prstDash w14:val="solid"/>
        <w14:bevel/>
      </w14:textOutline>
    </w:rPr>
  </w:style>
  <w:style w:type="paragraph" w:styleId="Kopfzeile">
    <w:name w:val="header"/>
    <w:basedOn w:val="Standard"/>
    <w:link w:val="KopfzeileZchn"/>
    <w:uiPriority w:val="99"/>
    <w:unhideWhenUsed/>
    <w:rsid w:val="005E38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3853"/>
    <w:rPr>
      <w:rFonts w:ascii="Calibri" w:eastAsia="Calibri" w:hAnsi="Calibri" w:cs="Calibri"/>
      <w:color w:val="000000"/>
      <w:sz w:val="22"/>
      <w:szCs w:val="22"/>
      <w:u w:color="000000"/>
      <w14:textOutline w14:w="0" w14:cap="flat" w14:cmpd="sng" w14:algn="ctr">
        <w14:noFill/>
        <w14:prstDash w14:val="solid"/>
        <w14:bevel/>
      </w14:textOutline>
    </w:rPr>
  </w:style>
  <w:style w:type="character" w:styleId="Endnotenzeichen">
    <w:name w:val="endnote reference"/>
    <w:basedOn w:val="Absatz-Standardschriftart"/>
    <w:uiPriority w:val="99"/>
    <w:semiHidden/>
    <w:unhideWhenUsed/>
    <w:rsid w:val="005E3853"/>
    <w:rPr>
      <w:vertAlign w:val="superscript"/>
    </w:rPr>
  </w:style>
  <w:style w:type="paragraph" w:customStyle="1" w:styleId="Formatvorlage1">
    <w:name w:val="Formatvorlage1"/>
    <w:basedOn w:val="berschrift1"/>
    <w:link w:val="Formatvorlage1Zchn"/>
    <w:qFormat/>
    <w:rsid w:val="007722E3"/>
    <w:rPr>
      <w:rFonts w:eastAsia="Arial"/>
    </w:rPr>
  </w:style>
  <w:style w:type="character" w:customStyle="1" w:styleId="berschrift4Zchn">
    <w:name w:val="Überschrift 4 Zchn"/>
    <w:basedOn w:val="Absatz-Standardschriftart"/>
    <w:link w:val="berschrift4"/>
    <w:uiPriority w:val="9"/>
    <w:rsid w:val="007722E3"/>
    <w:rPr>
      <w:rFonts w:asciiTheme="majorHAnsi" w:eastAsiaTheme="majorEastAsia" w:hAnsiTheme="majorHAnsi" w:cstheme="majorBidi"/>
      <w:i/>
      <w:iCs/>
      <w:color w:val="365F91" w:themeColor="accent1" w:themeShade="BF"/>
      <w:sz w:val="22"/>
      <w:szCs w:val="22"/>
      <w:u w:color="000000"/>
      <w14:textOutline w14:w="0" w14:cap="flat" w14:cmpd="sng" w14:algn="ctr">
        <w14:noFill/>
        <w14:prstDash w14:val="solid"/>
        <w14:bevel/>
      </w14:textOutline>
    </w:rPr>
  </w:style>
  <w:style w:type="character" w:customStyle="1" w:styleId="berschrift1Zchn">
    <w:name w:val="Überschrift 1 Zchn"/>
    <w:basedOn w:val="Absatz-Standardschriftart"/>
    <w:link w:val="berschrift1"/>
    <w:uiPriority w:val="9"/>
    <w:rsid w:val="00691AFD"/>
    <w:rPr>
      <w:rFonts w:ascii="Cambria" w:eastAsia="Cambria" w:hAnsi="Cambria" w:cs="Arial"/>
      <w:color w:val="365F91"/>
      <w:u w:color="365F91"/>
    </w:rPr>
  </w:style>
  <w:style w:type="character" w:customStyle="1" w:styleId="Formatvorlage1Zchn">
    <w:name w:val="Formatvorlage1 Zchn"/>
    <w:basedOn w:val="berschrift1Zchn"/>
    <w:link w:val="Formatvorlage1"/>
    <w:rsid w:val="007722E3"/>
    <w:rPr>
      <w:rFonts w:ascii="Arial" w:eastAsia="Arial" w:hAnsi="Arial" w:cs="Arial"/>
      <w:b w:val="0"/>
      <w:bCs w:val="0"/>
      <w:color w:val="365F91"/>
      <w:sz w:val="24"/>
      <w:szCs w:val="24"/>
      <w:u w:color="365F91"/>
    </w:rPr>
  </w:style>
  <w:style w:type="character" w:customStyle="1" w:styleId="berschrift5Zchn">
    <w:name w:val="Überschrift 5 Zchn"/>
    <w:basedOn w:val="Absatz-Standardschriftart"/>
    <w:link w:val="berschrift5"/>
    <w:uiPriority w:val="9"/>
    <w:semiHidden/>
    <w:rsid w:val="007722E3"/>
    <w:rPr>
      <w:rFonts w:asciiTheme="majorHAnsi" w:eastAsiaTheme="majorEastAsia" w:hAnsiTheme="majorHAnsi" w:cstheme="majorBidi"/>
      <w:color w:val="365F91" w:themeColor="accent1" w:themeShade="BF"/>
      <w:sz w:val="22"/>
      <w:szCs w:val="22"/>
      <w:u w:color="000000"/>
      <w14:textOutline w14:w="0" w14:cap="flat" w14:cmpd="sng" w14:algn="ctr">
        <w14:noFill/>
        <w14:prstDash w14:val="solid"/>
        <w14:bevel/>
      </w14:textOutline>
    </w:rPr>
  </w:style>
  <w:style w:type="character" w:customStyle="1" w:styleId="berschrift6Zchn">
    <w:name w:val="Überschrift 6 Zchn"/>
    <w:basedOn w:val="Absatz-Standardschriftart"/>
    <w:link w:val="berschrift6"/>
    <w:uiPriority w:val="9"/>
    <w:semiHidden/>
    <w:rsid w:val="007722E3"/>
    <w:rPr>
      <w:rFonts w:asciiTheme="majorHAnsi" w:eastAsiaTheme="majorEastAsia" w:hAnsiTheme="majorHAnsi" w:cstheme="majorBidi"/>
      <w:color w:val="243F60" w:themeColor="accent1" w:themeShade="7F"/>
      <w:sz w:val="22"/>
      <w:szCs w:val="22"/>
      <w:u w:color="000000"/>
      <w14:textOutline w14:w="0" w14:cap="flat" w14:cmpd="sng" w14:algn="ctr">
        <w14:noFill/>
        <w14:prstDash w14:val="solid"/>
        <w14:bevel/>
      </w14:textOutline>
    </w:rPr>
  </w:style>
  <w:style w:type="character" w:customStyle="1" w:styleId="berschrift7Zchn">
    <w:name w:val="Überschrift 7 Zchn"/>
    <w:basedOn w:val="Absatz-Standardschriftart"/>
    <w:link w:val="berschrift7"/>
    <w:uiPriority w:val="9"/>
    <w:semiHidden/>
    <w:rsid w:val="007722E3"/>
    <w:rPr>
      <w:rFonts w:asciiTheme="majorHAnsi" w:eastAsiaTheme="majorEastAsia" w:hAnsiTheme="majorHAnsi" w:cstheme="majorBidi"/>
      <w:i/>
      <w:iCs/>
      <w:color w:val="243F60" w:themeColor="accent1" w:themeShade="7F"/>
      <w:sz w:val="22"/>
      <w:szCs w:val="22"/>
      <w:u w:color="000000"/>
      <w14:textOutline w14:w="0" w14:cap="flat" w14:cmpd="sng" w14:algn="ctr">
        <w14:noFill/>
        <w14:prstDash w14:val="solid"/>
        <w14:bevel/>
      </w14:textOutline>
    </w:rPr>
  </w:style>
  <w:style w:type="character" w:customStyle="1" w:styleId="berschrift8Zchn">
    <w:name w:val="Überschrift 8 Zchn"/>
    <w:basedOn w:val="Absatz-Standardschriftart"/>
    <w:link w:val="berschrift8"/>
    <w:uiPriority w:val="9"/>
    <w:semiHidden/>
    <w:rsid w:val="007722E3"/>
    <w:rPr>
      <w:rFonts w:asciiTheme="majorHAnsi" w:eastAsiaTheme="majorEastAsia" w:hAnsiTheme="majorHAnsi" w:cstheme="majorBidi"/>
      <w:color w:val="272727" w:themeColor="text1" w:themeTint="D8"/>
      <w:sz w:val="21"/>
      <w:szCs w:val="21"/>
      <w:u w:color="000000"/>
      <w14:textOutline w14:w="0" w14:cap="flat" w14:cmpd="sng" w14:algn="ctr">
        <w14:noFill/>
        <w14:prstDash w14:val="solid"/>
        <w14:bevel/>
      </w14:textOutline>
    </w:rPr>
  </w:style>
  <w:style w:type="character" w:customStyle="1" w:styleId="berschrift9Zchn">
    <w:name w:val="Überschrift 9 Zchn"/>
    <w:basedOn w:val="Absatz-Standardschriftart"/>
    <w:link w:val="berschrift9"/>
    <w:uiPriority w:val="9"/>
    <w:semiHidden/>
    <w:rsid w:val="007722E3"/>
    <w:rPr>
      <w:rFonts w:asciiTheme="majorHAnsi" w:eastAsiaTheme="majorEastAsia" w:hAnsiTheme="majorHAnsi" w:cstheme="majorBidi"/>
      <w:i/>
      <w:iCs/>
      <w:color w:val="272727" w:themeColor="text1" w:themeTint="D8"/>
      <w:sz w:val="21"/>
      <w:szCs w:val="21"/>
      <w:u w:color="000000"/>
      <w14:textOutline w14:w="0" w14:cap="flat" w14:cmpd="sng" w14:algn="ctr">
        <w14:noFill/>
        <w14:prstDash w14:val="solid"/>
        <w14:bevel/>
      </w14:textOutline>
    </w:rPr>
  </w:style>
  <w:style w:type="character" w:customStyle="1" w:styleId="FuzeileZchn">
    <w:name w:val="Fußzeile Zchn"/>
    <w:basedOn w:val="Absatz-Standardschriftart"/>
    <w:link w:val="Fuzeile"/>
    <w:uiPriority w:val="99"/>
    <w:rsid w:val="00DE1290"/>
    <w:rPr>
      <w:rFonts w:ascii="Calibri" w:eastAsia="Calibri" w:hAnsi="Calibri" w:cs="Calibri"/>
      <w:color w:val="000000"/>
      <w:sz w:val="22"/>
      <w:szCs w:val="22"/>
      <w:u w:color="000000"/>
    </w:rPr>
  </w:style>
  <w:style w:type="table" w:customStyle="1" w:styleId="TableNormal1">
    <w:name w:val="Table Normal1"/>
    <w:rsid w:val="00420A45"/>
    <w:tblPr>
      <w:tblInd w:w="0" w:type="dxa"/>
      <w:tblCellMar>
        <w:top w:w="0" w:type="dxa"/>
        <w:left w:w="0" w:type="dxa"/>
        <w:bottom w:w="0" w:type="dxa"/>
        <w:right w:w="0" w:type="dxa"/>
      </w:tblCellMar>
    </w:tblPr>
  </w:style>
  <w:style w:type="character" w:styleId="Funotenzeichen">
    <w:name w:val="footnote reference"/>
    <w:basedOn w:val="Absatz-Standardschriftart"/>
    <w:uiPriority w:val="99"/>
    <w:semiHidden/>
    <w:unhideWhenUsed/>
    <w:rsid w:val="00FC5CA1"/>
    <w:rPr>
      <w:vertAlign w:val="superscript"/>
    </w:rPr>
  </w:style>
  <w:style w:type="paragraph" w:styleId="berarbeitung">
    <w:name w:val="Revision"/>
    <w:hidden/>
    <w:uiPriority w:val="99"/>
    <w:semiHidden/>
    <w:rsid w:val="00C6182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14:textOutline w14:w="0" w14:cap="flat" w14:cmpd="sng" w14:algn="ctr">
        <w14:noFill/>
        <w14:prstDash w14:val="solid"/>
        <w14:bevel/>
      </w14:textOutline>
    </w:rPr>
  </w:style>
  <w:style w:type="numbering" w:customStyle="1" w:styleId="ImportierterStil21">
    <w:name w:val="Importierter Stil: 21"/>
    <w:rsid w:val="00264D62"/>
  </w:style>
  <w:style w:type="numbering" w:customStyle="1" w:styleId="ImportierterStil31">
    <w:name w:val="Importierter Stil: 31"/>
    <w:rsid w:val="00264D62"/>
  </w:style>
  <w:style w:type="numbering" w:customStyle="1" w:styleId="ImportierterStil41">
    <w:name w:val="Importierter Stil: 41"/>
    <w:rsid w:val="00264D62"/>
  </w:style>
  <w:style w:type="paragraph" w:customStyle="1" w:styleId="berschrift41">
    <w:name w:val="Überschrift 41"/>
    <w:basedOn w:val="Standard"/>
    <w:next w:val="Standard"/>
    <w:uiPriority w:val="9"/>
    <w:semiHidden/>
    <w:unhideWhenUsed/>
    <w:qFormat/>
    <w:rsid w:val="00264D62"/>
    <w:pPr>
      <w:keepNext/>
      <w:keepLines/>
      <w:tabs>
        <w:tab w:val="num" w:pos="360"/>
      </w:tabs>
      <w:spacing w:before="40" w:after="0"/>
      <w:outlineLvl w:val="3"/>
    </w:pPr>
    <w:rPr>
      <w:rFonts w:ascii="Helvetica Neue" w:eastAsia="Times New Roman" w:hAnsi="Helvetica Neue" w:cs="Times New Roman"/>
      <w:i/>
      <w:iCs/>
      <w:color w:val="365F91"/>
    </w:rPr>
  </w:style>
  <w:style w:type="paragraph" w:customStyle="1" w:styleId="berschrift51">
    <w:name w:val="Überschrift 51"/>
    <w:basedOn w:val="Standard"/>
    <w:next w:val="Standard"/>
    <w:uiPriority w:val="9"/>
    <w:semiHidden/>
    <w:unhideWhenUsed/>
    <w:qFormat/>
    <w:rsid w:val="00264D62"/>
    <w:pPr>
      <w:keepNext/>
      <w:keepLines/>
      <w:tabs>
        <w:tab w:val="num" w:pos="360"/>
      </w:tabs>
      <w:spacing w:before="40" w:after="0"/>
      <w:outlineLvl w:val="4"/>
    </w:pPr>
    <w:rPr>
      <w:rFonts w:ascii="Helvetica Neue" w:eastAsia="Times New Roman" w:hAnsi="Helvetica Neue" w:cs="Times New Roman"/>
      <w:color w:val="365F91"/>
    </w:rPr>
  </w:style>
  <w:style w:type="paragraph" w:customStyle="1" w:styleId="berschrift61">
    <w:name w:val="Überschrift 61"/>
    <w:basedOn w:val="Standard"/>
    <w:next w:val="Standard"/>
    <w:uiPriority w:val="9"/>
    <w:semiHidden/>
    <w:unhideWhenUsed/>
    <w:qFormat/>
    <w:rsid w:val="00264D62"/>
    <w:pPr>
      <w:keepNext/>
      <w:keepLines/>
      <w:tabs>
        <w:tab w:val="num" w:pos="360"/>
      </w:tabs>
      <w:spacing w:before="40" w:after="0"/>
      <w:outlineLvl w:val="5"/>
    </w:pPr>
    <w:rPr>
      <w:rFonts w:ascii="Helvetica Neue" w:eastAsia="Times New Roman" w:hAnsi="Helvetica Neue" w:cs="Times New Roman"/>
      <w:color w:val="243F60"/>
    </w:rPr>
  </w:style>
  <w:style w:type="paragraph" w:customStyle="1" w:styleId="berschrift71">
    <w:name w:val="Überschrift 71"/>
    <w:basedOn w:val="Standard"/>
    <w:next w:val="Standard"/>
    <w:uiPriority w:val="9"/>
    <w:semiHidden/>
    <w:unhideWhenUsed/>
    <w:qFormat/>
    <w:rsid w:val="00264D62"/>
    <w:pPr>
      <w:keepNext/>
      <w:keepLines/>
      <w:tabs>
        <w:tab w:val="num" w:pos="360"/>
      </w:tabs>
      <w:spacing w:before="40" w:after="0"/>
      <w:outlineLvl w:val="6"/>
    </w:pPr>
    <w:rPr>
      <w:rFonts w:ascii="Helvetica Neue" w:eastAsia="Times New Roman" w:hAnsi="Helvetica Neue" w:cs="Times New Roman"/>
      <w:i/>
      <w:iCs/>
      <w:color w:val="243F60"/>
    </w:rPr>
  </w:style>
  <w:style w:type="paragraph" w:customStyle="1" w:styleId="berschrift81">
    <w:name w:val="Überschrift 81"/>
    <w:basedOn w:val="Standard"/>
    <w:next w:val="Standard"/>
    <w:uiPriority w:val="9"/>
    <w:semiHidden/>
    <w:unhideWhenUsed/>
    <w:qFormat/>
    <w:rsid w:val="00264D62"/>
    <w:pPr>
      <w:keepNext/>
      <w:keepLines/>
      <w:tabs>
        <w:tab w:val="num" w:pos="360"/>
      </w:tabs>
      <w:spacing w:before="40" w:after="0"/>
      <w:outlineLvl w:val="7"/>
    </w:pPr>
    <w:rPr>
      <w:rFonts w:ascii="Helvetica Neue" w:eastAsia="Times New Roman" w:hAnsi="Helvetica Neue" w:cs="Times New Roman"/>
      <w:color w:val="272727"/>
      <w:sz w:val="21"/>
      <w:szCs w:val="21"/>
    </w:rPr>
  </w:style>
  <w:style w:type="paragraph" w:customStyle="1" w:styleId="berschrift91">
    <w:name w:val="Überschrift 91"/>
    <w:basedOn w:val="Standard"/>
    <w:next w:val="Standard"/>
    <w:uiPriority w:val="9"/>
    <w:semiHidden/>
    <w:unhideWhenUsed/>
    <w:qFormat/>
    <w:rsid w:val="00264D62"/>
    <w:pPr>
      <w:keepNext/>
      <w:keepLines/>
      <w:tabs>
        <w:tab w:val="num" w:pos="360"/>
      </w:tabs>
      <w:spacing w:before="40" w:after="0"/>
      <w:outlineLvl w:val="8"/>
    </w:pPr>
    <w:rPr>
      <w:rFonts w:ascii="Helvetica Neue" w:eastAsia="Times New Roman" w:hAnsi="Helvetica Neue" w:cs="Times New Roman"/>
      <w:i/>
      <w:iCs/>
      <w:color w:val="272727"/>
      <w:sz w:val="21"/>
      <w:szCs w:val="21"/>
    </w:rPr>
  </w:style>
  <w:style w:type="table" w:customStyle="1" w:styleId="TableNormal2">
    <w:name w:val="Table Normal2"/>
    <w:rsid w:val="00264D62"/>
    <w:tblPr>
      <w:tblInd w:w="0" w:type="dxa"/>
      <w:tblCellMar>
        <w:top w:w="0" w:type="dxa"/>
        <w:left w:w="0" w:type="dxa"/>
        <w:bottom w:w="0" w:type="dxa"/>
        <w:right w:w="0" w:type="dxa"/>
      </w:tblCellMar>
    </w:tblPr>
  </w:style>
  <w:style w:type="numbering" w:customStyle="1" w:styleId="KeineListe1">
    <w:name w:val="Keine Liste1"/>
    <w:next w:val="KeineListe"/>
    <w:uiPriority w:val="99"/>
    <w:semiHidden/>
    <w:unhideWhenUsed/>
    <w:rsid w:val="008962B5"/>
  </w:style>
  <w:style w:type="character" w:customStyle="1" w:styleId="berschrift2Zchn">
    <w:name w:val="Überschrift 2 Zchn"/>
    <w:basedOn w:val="Absatz-Standardschriftart"/>
    <w:link w:val="berschrift2"/>
    <w:uiPriority w:val="9"/>
    <w:rsid w:val="00537477"/>
    <w:rPr>
      <w:rFonts w:ascii="Cambria" w:eastAsia="Calibri" w:hAnsi="Cambria" w:cs="Arial"/>
      <w:b/>
      <w:color w:val="000000"/>
      <w:u w:color="000000"/>
      <w14:textOutline w14:w="0" w14:cap="flat" w14:cmpd="sng" w14:algn="ctr">
        <w14:noFill/>
        <w14:prstDash w14:val="solid"/>
        <w14:bevel/>
      </w14:textOutline>
    </w:rPr>
  </w:style>
  <w:style w:type="character" w:customStyle="1" w:styleId="berschrift3Zchn">
    <w:name w:val="Überschrift 3 Zchn"/>
    <w:basedOn w:val="Absatz-Standardschriftart"/>
    <w:link w:val="berschrift3"/>
    <w:uiPriority w:val="9"/>
    <w:rsid w:val="008962B5"/>
    <w:rPr>
      <w:rFonts w:ascii="Arial" w:eastAsia="Cambria" w:hAnsi="Arial" w:cs="Arial"/>
      <w:color w:val="4F81BD"/>
      <w:sz w:val="24"/>
      <w:szCs w:val="24"/>
      <w:u w:color="4F81BD"/>
      <w:lang w:val="en-US"/>
    </w:rPr>
  </w:style>
  <w:style w:type="table" w:customStyle="1" w:styleId="Tabellenraster1">
    <w:name w:val="Tabellenraster1"/>
    <w:basedOn w:val="NormaleTabelle"/>
    <w:next w:val="Tabellenraster"/>
    <w:uiPriority w:val="59"/>
    <w:rsid w:val="008962B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Standard"/>
    <w:rsid w:val="008962B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color w:val="auto"/>
      <w:sz w:val="27"/>
      <w:szCs w:val="27"/>
      <w:bdr w:val="none" w:sz="0" w:space="0" w:color="auto"/>
      <w14:textOutline w14:w="0" w14:cap="rnd" w14:cmpd="sng" w14:algn="ctr">
        <w14:noFill/>
        <w14:prstDash w14:val="solid"/>
        <w14:bevel/>
      </w14:textOutline>
    </w:rPr>
  </w:style>
  <w:style w:type="paragraph" w:customStyle="1" w:styleId="desc2">
    <w:name w:val="desc2"/>
    <w:basedOn w:val="Standard"/>
    <w:rsid w:val="008962B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color w:val="auto"/>
      <w:sz w:val="26"/>
      <w:szCs w:val="26"/>
      <w:bdr w:val="none" w:sz="0" w:space="0" w:color="auto"/>
      <w14:textOutline w14:w="0" w14:cap="rnd" w14:cmpd="sng" w14:algn="ctr">
        <w14:noFill/>
        <w14:prstDash w14:val="solid"/>
        <w14:bevel/>
      </w14:textOutline>
    </w:rPr>
  </w:style>
  <w:style w:type="paragraph" w:customStyle="1" w:styleId="details1">
    <w:name w:val="details1"/>
    <w:basedOn w:val="Standard"/>
    <w:rsid w:val="008962B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color w:val="auto"/>
      <w:bdr w:val="none" w:sz="0" w:space="0" w:color="auto"/>
      <w14:textOutline w14:w="0" w14:cap="rnd" w14:cmpd="sng" w14:algn="ctr">
        <w14:noFill/>
        <w14:prstDash w14:val="solid"/>
        <w14:bevel/>
      </w14:textOutline>
    </w:rPr>
  </w:style>
  <w:style w:type="character" w:customStyle="1" w:styleId="jrnl">
    <w:name w:val="jrnl"/>
    <w:basedOn w:val="Absatz-Standardschriftart"/>
    <w:rsid w:val="008962B5"/>
  </w:style>
  <w:style w:type="character" w:customStyle="1" w:styleId="EndnotentextZchn">
    <w:name w:val="Endnotentext Zchn"/>
    <w:basedOn w:val="Absatz-Standardschriftart"/>
    <w:link w:val="Endnotentext"/>
    <w:uiPriority w:val="99"/>
    <w:rsid w:val="00801F84"/>
    <w:rPr>
      <w:rFonts w:ascii="Cambria" w:eastAsia="Calibri" w:hAnsi="Cambria" w:cs="Calibri"/>
      <w:color w:val="000000"/>
      <w:sz w:val="16"/>
      <w:szCs w:val="16"/>
      <w:u w:color="000000"/>
    </w:rPr>
  </w:style>
  <w:style w:type="character" w:customStyle="1" w:styleId="highlight">
    <w:name w:val="highlight"/>
    <w:basedOn w:val="Absatz-Standardschriftart"/>
    <w:rsid w:val="008962B5"/>
  </w:style>
  <w:style w:type="character" w:customStyle="1" w:styleId="quality-sign">
    <w:name w:val="quality-sign"/>
    <w:basedOn w:val="Absatz-Standardschriftart"/>
    <w:rsid w:val="008962B5"/>
  </w:style>
  <w:style w:type="table" w:customStyle="1" w:styleId="Gitternetztabelle4Akzent11">
    <w:name w:val="Gitternetztabelle 4 – Akzent 11"/>
    <w:basedOn w:val="NormaleTabelle"/>
    <w:uiPriority w:val="49"/>
    <w:rsid w:val="008962B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Verzeichnis51">
    <w:name w:val="Verzeichnis 51"/>
    <w:basedOn w:val="Standard"/>
    <w:next w:val="Standard"/>
    <w:autoRedefine/>
    <w:uiPriority w:val="39"/>
    <w:semiHidden/>
    <w:unhideWhenUsed/>
    <w:rsid w:val="008962B5"/>
    <w:pPr>
      <w:pBdr>
        <w:top w:val="none" w:sz="0" w:space="0" w:color="auto"/>
        <w:left w:val="none" w:sz="0" w:space="0" w:color="auto"/>
        <w:bottom w:val="none" w:sz="0" w:space="0" w:color="auto"/>
        <w:right w:val="none" w:sz="0" w:space="0" w:color="auto"/>
        <w:between w:val="none" w:sz="0" w:space="0" w:color="auto"/>
        <w:bar w:val="none" w:sz="0" w:color="auto"/>
      </w:pBdr>
      <w:spacing w:after="100"/>
      <w:ind w:left="880"/>
    </w:pPr>
    <w:rPr>
      <w:rFonts w:cs="Times New Roman"/>
      <w:color w:val="auto"/>
      <w:bdr w:val="none" w:sz="0" w:space="0" w:color="auto"/>
      <w:lang w:eastAsia="en-US"/>
      <w14:textOutline w14:w="0" w14:cap="rnd" w14:cmpd="sng" w14:algn="ctr">
        <w14:noFill/>
        <w14:prstDash w14:val="solid"/>
        <w14:bevel/>
      </w14:textOutline>
    </w:rPr>
  </w:style>
  <w:style w:type="character" w:customStyle="1" w:styleId="FunotentextZchn">
    <w:name w:val="Fußnotentext Zchn"/>
    <w:basedOn w:val="Absatz-Standardschriftart"/>
    <w:link w:val="Funotentext"/>
    <w:uiPriority w:val="99"/>
    <w:rsid w:val="008962B5"/>
    <w:rPr>
      <w:rFonts w:ascii="Calibri" w:eastAsia="Calibri" w:hAnsi="Calibri" w:cs="Calibri"/>
      <w:color w:val="000000"/>
      <w:u w:color="000000"/>
    </w:rPr>
  </w:style>
  <w:style w:type="paragraph" w:customStyle="1" w:styleId="desc">
    <w:name w:val="desc"/>
    <w:basedOn w:val="Standard"/>
    <w:rsid w:val="008962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en-US" w:eastAsia="en-US"/>
      <w14:textOutline w14:w="0" w14:cap="rnd" w14:cmpd="sng" w14:algn="ctr">
        <w14:noFill/>
        <w14:prstDash w14:val="solid"/>
        <w14:bevel/>
      </w14:textOutline>
    </w:rPr>
  </w:style>
  <w:style w:type="paragraph" w:customStyle="1" w:styleId="details">
    <w:name w:val="details"/>
    <w:basedOn w:val="Standard"/>
    <w:rsid w:val="008962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en-US" w:eastAsia="en-US"/>
      <w14:textOutline w14:w="0" w14:cap="rnd" w14:cmpd="sng" w14:algn="ctr">
        <w14:noFill/>
        <w14:prstDash w14:val="solid"/>
        <w14:bevel/>
      </w14:textOutline>
    </w:rPr>
  </w:style>
  <w:style w:type="character" w:customStyle="1" w:styleId="highlight2">
    <w:name w:val="highlight2"/>
    <w:basedOn w:val="Absatz-Standardschriftart"/>
    <w:rsid w:val="008962B5"/>
  </w:style>
  <w:style w:type="paragraph" w:styleId="StandardWeb">
    <w:name w:val="Normal (Web)"/>
    <w:basedOn w:val="Standard"/>
    <w:uiPriority w:val="99"/>
    <w:unhideWhenUsed/>
    <w:rsid w:val="008962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style>
  <w:style w:type="paragraph" w:styleId="Textkrper">
    <w:name w:val="Body Text"/>
    <w:basedOn w:val="Standard"/>
    <w:link w:val="TextkrperZchn"/>
    <w:uiPriority w:val="99"/>
    <w:rsid w:val="008962B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pPr>
    <w:rPr>
      <w:rFonts w:ascii="Times New Roman" w:eastAsia="Times New Roman" w:hAnsi="Times New Roman" w:cs="Times New Roman"/>
      <w:color w:val="auto"/>
      <w:sz w:val="24"/>
      <w:szCs w:val="24"/>
      <w:bdr w:val="none" w:sz="0" w:space="0" w:color="auto"/>
      <w:lang w:val="x-none" w:eastAsia="x-none"/>
      <w14:textOutline w14:w="0" w14:cap="rnd" w14:cmpd="sng" w14:algn="ctr">
        <w14:noFill/>
        <w14:prstDash w14:val="solid"/>
        <w14:bevel/>
      </w14:textOutline>
    </w:rPr>
  </w:style>
  <w:style w:type="character" w:customStyle="1" w:styleId="TextkrperZchn">
    <w:name w:val="Textkörper Zchn"/>
    <w:basedOn w:val="Absatz-Standardschriftart"/>
    <w:link w:val="Textkrper"/>
    <w:uiPriority w:val="99"/>
    <w:rsid w:val="008962B5"/>
    <w:rPr>
      <w:rFonts w:eastAsia="Times New Roman"/>
      <w:sz w:val="24"/>
      <w:szCs w:val="24"/>
      <w:bdr w:val="none" w:sz="0" w:space="0" w:color="auto"/>
      <w:lang w:val="x-none" w:eastAsia="x-none"/>
    </w:rPr>
  </w:style>
  <w:style w:type="paragraph" w:customStyle="1" w:styleId="1">
    <w:name w:val="1"/>
    <w:uiPriority w:val="59"/>
    <w:rsid w:val="008962B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EndNoteBibliographyZchn">
    <w:name w:val="EndNote Bibliography Zchn"/>
    <w:basedOn w:val="Absatz-Standardschriftart"/>
    <w:link w:val="EndNoteBibliography"/>
    <w:rsid w:val="008962B5"/>
    <w:rPr>
      <w:rFonts w:ascii="Calibri" w:eastAsia="Calibri" w:hAnsi="Calibri" w:cs="Calibri"/>
      <w:color w:val="000000"/>
      <w:sz w:val="22"/>
      <w:szCs w:val="22"/>
      <w:u w:color="000000"/>
      <w:lang w:val="en-US"/>
    </w:rPr>
  </w:style>
  <w:style w:type="numbering" w:customStyle="1" w:styleId="KeineListe11">
    <w:name w:val="Keine Liste11"/>
    <w:next w:val="KeineListe"/>
    <w:uiPriority w:val="99"/>
    <w:semiHidden/>
    <w:unhideWhenUsed/>
    <w:rsid w:val="008962B5"/>
  </w:style>
  <w:style w:type="table" w:customStyle="1" w:styleId="Tabellenraster11">
    <w:name w:val="Tabellenraster11"/>
    <w:basedOn w:val="NormaleTabelle"/>
    <w:next w:val="Tabellenraster"/>
    <w:uiPriority w:val="59"/>
    <w:rsid w:val="008962B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szeichen1">
    <w:name w:val="Aufzählungszeichen1"/>
    <w:basedOn w:val="Standard"/>
    <w:next w:val="Aufzhlungszeichen"/>
    <w:uiPriority w:val="99"/>
    <w:unhideWhenUsed/>
    <w:rsid w:val="008962B5"/>
    <w:pPr>
      <w:numPr>
        <w:numId w:val="126"/>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ind w:left="396" w:hanging="396"/>
      <w:contextualSpacing/>
    </w:pPr>
    <w:rPr>
      <w:rFonts w:cs="Times New Roman"/>
      <w:color w:val="auto"/>
      <w:bdr w:val="none" w:sz="0" w:space="0" w:color="auto"/>
      <w:lang w:eastAsia="en-US"/>
      <w14:textOutline w14:w="0" w14:cap="rnd" w14:cmpd="sng" w14:algn="ctr">
        <w14:noFill/>
        <w14:prstDash w14:val="solid"/>
        <w14:bevel/>
      </w14:textOutline>
    </w:rPr>
  </w:style>
  <w:style w:type="character" w:customStyle="1" w:styleId="BulletZchn">
    <w:name w:val="Bullet Zchn"/>
    <w:basedOn w:val="Absatz-Standardschriftart"/>
    <w:link w:val="Bullet"/>
    <w:rsid w:val="008962B5"/>
    <w:rPr>
      <w:rFonts w:eastAsia="Times New Roman"/>
      <w:color w:val="000000"/>
      <w:sz w:val="24"/>
      <w:szCs w:val="24"/>
      <w:u w:color="000000"/>
    </w:rPr>
  </w:style>
  <w:style w:type="numbering" w:customStyle="1" w:styleId="KeineListe2">
    <w:name w:val="Keine Liste2"/>
    <w:next w:val="KeineListe"/>
    <w:uiPriority w:val="99"/>
    <w:semiHidden/>
    <w:unhideWhenUsed/>
    <w:rsid w:val="008962B5"/>
  </w:style>
  <w:style w:type="table" w:customStyle="1" w:styleId="MittlereSchattierung1-Akzent11">
    <w:name w:val="Mittlere Schattierung 1 - Akzent 11"/>
    <w:basedOn w:val="NormaleTabelle"/>
    <w:next w:val="MittlereSchattierung1-Akzent1"/>
    <w:uiPriority w:val="63"/>
    <w:rsid w:val="008962B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Dokumentstruktur">
    <w:name w:val="Document Map"/>
    <w:basedOn w:val="Standard"/>
    <w:link w:val="DokumentstrukturZchn"/>
    <w:uiPriority w:val="99"/>
    <w:semiHidden/>
    <w:unhideWhenUsed/>
    <w:rsid w:val="008962B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Lucida Grande" w:hAnsi="Lucida Grande" w:cs="Lucida Grande"/>
      <w:color w:val="auto"/>
      <w:sz w:val="24"/>
      <w:szCs w:val="24"/>
      <w:bdr w:val="none" w:sz="0" w:space="0" w:color="auto"/>
      <w:lang w:eastAsia="en-US"/>
      <w14:textOutline w14:w="0" w14:cap="rnd" w14:cmpd="sng" w14:algn="ctr">
        <w14:noFill/>
        <w14:prstDash w14:val="solid"/>
        <w14:bevel/>
      </w14:textOutline>
    </w:rPr>
  </w:style>
  <w:style w:type="character" w:customStyle="1" w:styleId="DokumentstrukturZchn">
    <w:name w:val="Dokumentstruktur Zchn"/>
    <w:basedOn w:val="Absatz-Standardschriftart"/>
    <w:link w:val="Dokumentstruktur"/>
    <w:uiPriority w:val="99"/>
    <w:semiHidden/>
    <w:rsid w:val="008962B5"/>
    <w:rPr>
      <w:rFonts w:ascii="Lucida Grande" w:eastAsia="Calibri" w:hAnsi="Lucida Grande" w:cs="Lucida Grande"/>
      <w:sz w:val="24"/>
      <w:szCs w:val="24"/>
      <w:bdr w:val="none" w:sz="0" w:space="0" w:color="auto"/>
      <w:lang w:eastAsia="en-US"/>
    </w:rPr>
  </w:style>
  <w:style w:type="table" w:customStyle="1" w:styleId="TableNormal3">
    <w:name w:val="Table Normal3"/>
    <w:rsid w:val="008962B5"/>
    <w:tblPr>
      <w:tblInd w:w="0" w:type="dxa"/>
      <w:tblCellMar>
        <w:top w:w="0" w:type="dxa"/>
        <w:left w:w="0" w:type="dxa"/>
        <w:bottom w:w="0" w:type="dxa"/>
        <w:right w:w="0" w:type="dxa"/>
      </w:tblCellMar>
    </w:tblPr>
  </w:style>
  <w:style w:type="table" w:customStyle="1" w:styleId="TableNormal11">
    <w:name w:val="Table Normal11"/>
    <w:rsid w:val="008962B5"/>
    <w:tblPr>
      <w:tblInd w:w="0" w:type="dxa"/>
      <w:tblCellMar>
        <w:top w:w="0" w:type="dxa"/>
        <w:left w:w="0" w:type="dxa"/>
        <w:bottom w:w="0" w:type="dxa"/>
        <w:right w:w="0" w:type="dxa"/>
      </w:tblCellMar>
    </w:tblPr>
  </w:style>
  <w:style w:type="table" w:customStyle="1" w:styleId="TableNormal21">
    <w:name w:val="Table Normal21"/>
    <w:rsid w:val="008962B5"/>
    <w:tblPr>
      <w:tblInd w:w="0" w:type="dxa"/>
      <w:tblCellMar>
        <w:top w:w="0" w:type="dxa"/>
        <w:left w:w="0" w:type="dxa"/>
        <w:bottom w:w="0" w:type="dxa"/>
        <w:right w:w="0" w:type="dxa"/>
      </w:tblCellMar>
    </w:tblPr>
  </w:style>
  <w:style w:type="table" w:styleId="Tabellenraster">
    <w:name w:val="Table Grid"/>
    <w:basedOn w:val="NormaleTabelle"/>
    <w:uiPriority w:val="39"/>
    <w:rsid w:val="00896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uiPriority w:val="99"/>
    <w:semiHidden/>
    <w:unhideWhenUsed/>
    <w:rsid w:val="008962B5"/>
    <w:pPr>
      <w:numPr>
        <w:numId w:val="109"/>
      </w:numPr>
      <w:contextualSpacing/>
    </w:pPr>
  </w:style>
  <w:style w:type="table" w:styleId="MittlereSchattierung1-Akzent1">
    <w:name w:val="Medium Shading 1 Accent 1"/>
    <w:basedOn w:val="NormaleTabelle"/>
    <w:uiPriority w:val="63"/>
    <w:semiHidden/>
    <w:unhideWhenUsed/>
    <w:rsid w:val="008962B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KeineListe3">
    <w:name w:val="Keine Liste3"/>
    <w:next w:val="KeineListe"/>
    <w:uiPriority w:val="99"/>
    <w:semiHidden/>
    <w:unhideWhenUsed/>
    <w:rsid w:val="008962B5"/>
  </w:style>
  <w:style w:type="numbering" w:customStyle="1" w:styleId="KeineListe4">
    <w:name w:val="Keine Liste4"/>
    <w:next w:val="KeineListe"/>
    <w:uiPriority w:val="99"/>
    <w:semiHidden/>
    <w:unhideWhenUsed/>
    <w:rsid w:val="008962B5"/>
  </w:style>
  <w:style w:type="numbering" w:customStyle="1" w:styleId="KeineListe5">
    <w:name w:val="Keine Liste5"/>
    <w:next w:val="KeineListe"/>
    <w:uiPriority w:val="99"/>
    <w:semiHidden/>
    <w:unhideWhenUsed/>
    <w:rsid w:val="008962B5"/>
  </w:style>
  <w:style w:type="numbering" w:customStyle="1" w:styleId="KeineListe6">
    <w:name w:val="Keine Liste6"/>
    <w:next w:val="KeineListe"/>
    <w:uiPriority w:val="99"/>
    <w:semiHidden/>
    <w:unhideWhenUsed/>
    <w:rsid w:val="008962B5"/>
  </w:style>
  <w:style w:type="numbering" w:customStyle="1" w:styleId="KeineListe7">
    <w:name w:val="Keine Liste7"/>
    <w:next w:val="KeineListe"/>
    <w:uiPriority w:val="99"/>
    <w:semiHidden/>
    <w:unhideWhenUsed/>
    <w:rsid w:val="008962B5"/>
  </w:style>
  <w:style w:type="paragraph" w:customStyle="1" w:styleId="Titel1">
    <w:name w:val="Titel1"/>
    <w:basedOn w:val="Standard"/>
    <w:rsid w:val="008962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style>
  <w:style w:type="paragraph" w:customStyle="1" w:styleId="berschrift40">
    <w:name w:val="Überschrift4"/>
    <w:basedOn w:val="Standard"/>
    <w:rsid w:val="008962B5"/>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w:color w:val="auto"/>
      <w:sz w:val="24"/>
      <w:szCs w:val="24"/>
      <w:u w:val="single"/>
      <w:bdr w:val="none" w:sz="0" w:space="0" w:color="auto"/>
      <w:lang w:eastAsia="en-US"/>
      <w14:textOutline w14:w="0" w14:cap="rnd" w14:cmpd="sng" w14:algn="ctr">
        <w14:noFill/>
        <w14:prstDash w14:val="solid"/>
        <w14:bevel/>
      </w14:textOutline>
    </w:rPr>
  </w:style>
  <w:style w:type="numbering" w:customStyle="1" w:styleId="KeineListe8">
    <w:name w:val="Keine Liste8"/>
    <w:next w:val="KeineListe"/>
    <w:uiPriority w:val="99"/>
    <w:semiHidden/>
    <w:unhideWhenUsed/>
    <w:rsid w:val="004955B8"/>
  </w:style>
  <w:style w:type="table" w:customStyle="1" w:styleId="MittlereSchattierung1-Akzent12">
    <w:name w:val="Mittlere Schattierung 1 - Akzent 12"/>
    <w:basedOn w:val="NormaleTabelle"/>
    <w:next w:val="MittlereSchattierung1-Akzent1"/>
    <w:uiPriority w:val="63"/>
    <w:rsid w:val="004955B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itel2">
    <w:name w:val="Titel2"/>
    <w:basedOn w:val="Standard"/>
    <w:next w:val="Standard"/>
    <w:link w:val="Titel2Zchn"/>
    <w:uiPriority w:val="10"/>
    <w:qFormat/>
    <w:rsid w:val="004955B8"/>
    <w:pPr>
      <w:pBdr>
        <w:top w:val="none" w:sz="0" w:space="0" w:color="auto"/>
        <w:left w:val="none" w:sz="0" w:space="0" w:color="auto"/>
        <w:bottom w:val="single" w:sz="8" w:space="4" w:color="4F81BD"/>
        <w:right w:val="none" w:sz="0" w:space="0" w:color="auto"/>
        <w:between w:val="none" w:sz="0" w:space="0" w:color="auto"/>
        <w:bar w:val="none" w:sz="0" w:color="auto"/>
      </w:pBdr>
      <w:spacing w:after="300" w:line="240" w:lineRule="auto"/>
      <w:contextualSpacing/>
    </w:pPr>
    <w:rPr>
      <w:rFonts w:ascii="Cambria" w:eastAsia="Times New Roman" w:hAnsi="Cambria" w:cs="Times New Roman"/>
      <w:color w:val="17365D"/>
      <w:spacing w:val="5"/>
      <w:kern w:val="28"/>
      <w:sz w:val="52"/>
      <w:szCs w:val="52"/>
      <w:bdr w:val="none" w:sz="0" w:space="0" w:color="auto"/>
      <w14:textOutline w14:w="0" w14:cap="rnd" w14:cmpd="sng" w14:algn="ctr">
        <w14:noFill/>
        <w14:prstDash w14:val="solid"/>
        <w14:bevel/>
      </w14:textOutline>
    </w:rPr>
  </w:style>
  <w:style w:type="character" w:customStyle="1" w:styleId="TitelZchn">
    <w:name w:val="Titel Zchn"/>
    <w:basedOn w:val="Absatz-Standardschriftart"/>
    <w:link w:val="Titel"/>
    <w:uiPriority w:val="10"/>
    <w:rsid w:val="000A612E"/>
    <w:rPr>
      <w:rFonts w:ascii="Cambria" w:eastAsia="Times New Roman" w:hAnsi="Cambria"/>
      <w:color w:val="17365D"/>
      <w:spacing w:val="5"/>
      <w:kern w:val="28"/>
      <w:u w:color="000000"/>
    </w:rPr>
  </w:style>
  <w:style w:type="paragraph" w:customStyle="1" w:styleId="Untertitel1">
    <w:name w:val="Untertitel1"/>
    <w:basedOn w:val="Standard"/>
    <w:next w:val="Standard"/>
    <w:uiPriority w:val="11"/>
    <w:qFormat/>
    <w:rsid w:val="004955B8"/>
    <w:pPr>
      <w:numPr>
        <w:ilvl w:val="1"/>
      </w:num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Times New Roman" w:hAnsi="Cambria" w:cs="Times New Roman"/>
      <w:i/>
      <w:iCs/>
      <w:color w:val="4F81BD"/>
      <w:spacing w:val="15"/>
      <w:sz w:val="24"/>
      <w:szCs w:val="24"/>
      <w:bdr w:val="none" w:sz="0" w:space="0" w:color="auto"/>
      <w14:textOutline w14:w="0" w14:cap="rnd" w14:cmpd="sng" w14:algn="ctr">
        <w14:noFill/>
        <w14:prstDash w14:val="solid"/>
        <w14:bevel/>
      </w14:textOutline>
    </w:rPr>
  </w:style>
  <w:style w:type="character" w:customStyle="1" w:styleId="UntertitelZchn">
    <w:name w:val="Untertitel Zchn"/>
    <w:basedOn w:val="Absatz-Standardschriftart"/>
    <w:link w:val="Untertitel"/>
    <w:uiPriority w:val="11"/>
    <w:rsid w:val="004955B8"/>
    <w:rPr>
      <w:rFonts w:ascii="Cambria" w:eastAsia="Times New Roman" w:hAnsi="Cambria" w:cs="Times New Roman"/>
      <w:i/>
      <w:iCs/>
      <w:color w:val="4F81BD"/>
      <w:spacing w:val="15"/>
      <w:sz w:val="24"/>
      <w:szCs w:val="24"/>
      <w:lang w:eastAsia="de-DE"/>
    </w:rPr>
  </w:style>
  <w:style w:type="paragraph" w:styleId="Titel">
    <w:name w:val="Title"/>
    <w:basedOn w:val="Standard"/>
    <w:next w:val="Standard"/>
    <w:link w:val="TitelZchn"/>
    <w:uiPriority w:val="10"/>
    <w:qFormat/>
    <w:rsid w:val="000A612E"/>
    <w:pPr>
      <w:spacing w:after="0"/>
      <w:contextualSpacing/>
    </w:pPr>
    <w:rPr>
      <w:rFonts w:ascii="Cambria" w:eastAsia="Times New Roman" w:hAnsi="Cambria" w:cs="Times New Roman"/>
      <w:color w:val="17365D"/>
      <w:spacing w:val="5"/>
      <w:kern w:val="28"/>
      <w:sz w:val="20"/>
      <w:szCs w:val="20"/>
      <w14:textOutline w14:w="0" w14:cap="rnd" w14:cmpd="sng" w14:algn="ctr">
        <w14:noFill/>
        <w14:prstDash w14:val="solid"/>
        <w14:bevel/>
      </w14:textOutline>
    </w:rPr>
  </w:style>
  <w:style w:type="character" w:customStyle="1" w:styleId="TitelZchn1">
    <w:name w:val="Titel Zchn1"/>
    <w:basedOn w:val="Absatz-Standardschriftart"/>
    <w:uiPriority w:val="10"/>
    <w:rsid w:val="004955B8"/>
    <w:rPr>
      <w:rFonts w:asciiTheme="majorHAnsi" w:eastAsiaTheme="majorEastAsia" w:hAnsiTheme="majorHAnsi" w:cstheme="majorBidi"/>
      <w:spacing w:val="-10"/>
      <w:kern w:val="28"/>
      <w:sz w:val="56"/>
      <w:szCs w:val="56"/>
      <w:u w:color="000000"/>
      <w14:textOutline w14:w="0" w14:cap="flat" w14:cmpd="sng" w14:algn="ctr">
        <w14:noFill/>
        <w14:prstDash w14:val="solid"/>
        <w14:bevel/>
      </w14:textOutline>
    </w:rPr>
  </w:style>
  <w:style w:type="paragraph" w:styleId="Untertitel">
    <w:name w:val="Subtitle"/>
    <w:basedOn w:val="Standard"/>
    <w:next w:val="Standard"/>
    <w:link w:val="UntertitelZchn"/>
    <w:uiPriority w:val="11"/>
    <w:qFormat/>
    <w:rsid w:val="004955B8"/>
    <w:pPr>
      <w:numPr>
        <w:ilvl w:val="1"/>
      </w:numPr>
      <w:spacing w:after="160"/>
    </w:pPr>
    <w:rPr>
      <w:rFonts w:ascii="Cambria" w:eastAsia="Times New Roman" w:hAnsi="Cambria" w:cs="Times New Roman"/>
      <w:i/>
      <w:iCs/>
      <w:color w:val="4F81BD"/>
      <w:spacing w:val="15"/>
      <w:sz w:val="24"/>
      <w:szCs w:val="24"/>
      <w14:textOutline w14:w="0" w14:cap="rnd" w14:cmpd="sng" w14:algn="ctr">
        <w14:noFill/>
        <w14:prstDash w14:val="solid"/>
        <w14:bevel/>
      </w14:textOutline>
    </w:rPr>
  </w:style>
  <w:style w:type="character" w:customStyle="1" w:styleId="UntertitelZchn1">
    <w:name w:val="Untertitel Zchn1"/>
    <w:basedOn w:val="Absatz-Standardschriftart"/>
    <w:uiPriority w:val="11"/>
    <w:rsid w:val="004955B8"/>
    <w:rPr>
      <w:rFonts w:asciiTheme="minorHAnsi" w:eastAsiaTheme="minorEastAsia" w:hAnsiTheme="minorHAnsi" w:cstheme="minorBidi"/>
      <w:color w:val="5A5A5A" w:themeColor="text1" w:themeTint="A5"/>
      <w:spacing w:val="15"/>
      <w:sz w:val="22"/>
      <w:szCs w:val="22"/>
      <w:u w:color="000000"/>
      <w14:textOutline w14:w="0" w14:cap="flat" w14:cmpd="sng" w14:algn="ctr">
        <w14:noFill/>
        <w14:prstDash w14:val="solid"/>
        <w14:bevel/>
      </w14:textOutline>
    </w:rPr>
  </w:style>
  <w:style w:type="character" w:styleId="Seitenzahl">
    <w:name w:val="page number"/>
    <w:basedOn w:val="Absatz-Standardschriftart"/>
    <w:uiPriority w:val="99"/>
    <w:semiHidden/>
    <w:unhideWhenUsed/>
    <w:rsid w:val="00EE4C03"/>
  </w:style>
  <w:style w:type="paragraph" w:customStyle="1" w:styleId="Formatvorlage2">
    <w:name w:val="Formatvorlage2"/>
    <w:basedOn w:val="Titel2"/>
    <w:link w:val="Formatvorlage2Zchn"/>
    <w:qFormat/>
    <w:rsid w:val="0091423B"/>
  </w:style>
  <w:style w:type="paragraph" w:customStyle="1" w:styleId="LL">
    <w:name w:val="LL"/>
    <w:basedOn w:val="Formatvorlage2"/>
    <w:link w:val="LLZchn"/>
    <w:qFormat/>
    <w:rsid w:val="0091423B"/>
  </w:style>
  <w:style w:type="character" w:customStyle="1" w:styleId="Titel2Zchn">
    <w:name w:val="Titel2 Zchn"/>
    <w:basedOn w:val="Absatz-Standardschriftart"/>
    <w:link w:val="Titel2"/>
    <w:uiPriority w:val="10"/>
    <w:rsid w:val="0091423B"/>
    <w:rPr>
      <w:rFonts w:ascii="Cambria" w:eastAsia="Times New Roman" w:hAnsi="Cambria"/>
      <w:color w:val="17365D"/>
      <w:spacing w:val="5"/>
      <w:kern w:val="28"/>
      <w:sz w:val="52"/>
      <w:szCs w:val="52"/>
      <w:u w:color="000000"/>
      <w:bdr w:val="none" w:sz="0" w:space="0" w:color="auto"/>
    </w:rPr>
  </w:style>
  <w:style w:type="character" w:customStyle="1" w:styleId="Formatvorlage2Zchn">
    <w:name w:val="Formatvorlage2 Zchn"/>
    <w:basedOn w:val="Titel2Zchn"/>
    <w:link w:val="Formatvorlage2"/>
    <w:rsid w:val="0091423B"/>
    <w:rPr>
      <w:rFonts w:ascii="Cambria" w:eastAsia="Times New Roman" w:hAnsi="Cambria"/>
      <w:color w:val="17365D"/>
      <w:spacing w:val="5"/>
      <w:kern w:val="28"/>
      <w:sz w:val="52"/>
      <w:szCs w:val="52"/>
      <w:u w:color="000000"/>
      <w:bdr w:val="none" w:sz="0" w:space="0" w:color="auto"/>
    </w:rPr>
  </w:style>
  <w:style w:type="paragraph" w:customStyle="1" w:styleId="Formatvorlage3">
    <w:name w:val="Formatvorlage3"/>
    <w:basedOn w:val="LL"/>
    <w:link w:val="Formatvorlage3Zchn"/>
    <w:autoRedefine/>
    <w:qFormat/>
    <w:rsid w:val="0091423B"/>
  </w:style>
  <w:style w:type="character" w:customStyle="1" w:styleId="LLZchn">
    <w:name w:val="LL Zchn"/>
    <w:basedOn w:val="Formatvorlage2Zchn"/>
    <w:link w:val="LL"/>
    <w:rsid w:val="0091423B"/>
    <w:rPr>
      <w:rFonts w:ascii="Cambria" w:eastAsia="Times New Roman" w:hAnsi="Cambria"/>
      <w:color w:val="17365D"/>
      <w:spacing w:val="5"/>
      <w:kern w:val="28"/>
      <w:sz w:val="52"/>
      <w:szCs w:val="52"/>
      <w:u w:color="000000"/>
      <w:bdr w:val="none" w:sz="0" w:space="0" w:color="auto"/>
    </w:rPr>
  </w:style>
  <w:style w:type="paragraph" w:customStyle="1" w:styleId="LeitLTitel">
    <w:name w:val="LeitLTitel"/>
    <w:basedOn w:val="Formatvorlage3"/>
    <w:link w:val="LeitLTitelZchn"/>
    <w:autoRedefine/>
    <w:qFormat/>
    <w:rsid w:val="0031161F"/>
  </w:style>
  <w:style w:type="character" w:customStyle="1" w:styleId="Formatvorlage3Zchn">
    <w:name w:val="Formatvorlage3 Zchn"/>
    <w:basedOn w:val="LLZchn"/>
    <w:link w:val="Formatvorlage3"/>
    <w:rsid w:val="0091423B"/>
    <w:rPr>
      <w:rFonts w:ascii="Cambria" w:eastAsia="Times New Roman" w:hAnsi="Cambria"/>
      <w:color w:val="17365D"/>
      <w:spacing w:val="5"/>
      <w:kern w:val="28"/>
      <w:sz w:val="52"/>
      <w:szCs w:val="52"/>
      <w:u w:color="000000"/>
      <w:bdr w:val="none" w:sz="0" w:space="0" w:color="auto"/>
    </w:rPr>
  </w:style>
  <w:style w:type="character" w:customStyle="1" w:styleId="LeitLTitelZchn">
    <w:name w:val="LeitLTitel Zchn"/>
    <w:basedOn w:val="Formatvorlage3Zchn"/>
    <w:link w:val="LeitLTitel"/>
    <w:rsid w:val="0031161F"/>
    <w:rPr>
      <w:rFonts w:ascii="Cambria" w:eastAsia="Times New Roman" w:hAnsi="Cambria"/>
      <w:color w:val="17365D"/>
      <w:spacing w:val="5"/>
      <w:kern w:val="28"/>
      <w:sz w:val="52"/>
      <w:szCs w:val="52"/>
      <w:u w:color="000000"/>
      <w:bdr w:val="none" w:sz="0" w:space="0" w:color="auto"/>
    </w:rPr>
  </w:style>
  <w:style w:type="paragraph" w:customStyle="1" w:styleId="Endnote">
    <w:name w:val="Endnote"/>
    <w:basedOn w:val="Standard"/>
    <w:link w:val="EndnoteZchn"/>
    <w:qFormat/>
    <w:rsid w:val="00CB26D4"/>
    <w:pPr>
      <w:spacing w:before="240"/>
    </w:pPr>
    <w:rPr>
      <w:rFonts w:ascii="Cambria" w:eastAsia="Arial" w:hAnsi="Cambria" w:cs="Arial"/>
      <w:sz w:val="20"/>
      <w:szCs w:val="20"/>
      <w:vertAlign w:val="superscript"/>
    </w:rPr>
  </w:style>
  <w:style w:type="paragraph" w:customStyle="1" w:styleId="EndnoteReal">
    <w:name w:val="EndnoteReal"/>
    <w:basedOn w:val="Standard"/>
    <w:link w:val="EndnoteRealZchn"/>
    <w:qFormat/>
    <w:rsid w:val="00CB26D4"/>
    <w:rPr>
      <w:rFonts w:ascii="Cambria" w:eastAsia="Arial" w:hAnsi="Cambria" w:cs="Arial"/>
      <w:sz w:val="20"/>
      <w:szCs w:val="20"/>
      <w:vertAlign w:val="superscript"/>
    </w:rPr>
  </w:style>
  <w:style w:type="character" w:customStyle="1" w:styleId="EndnoteZchn">
    <w:name w:val="Endnote Zchn"/>
    <w:basedOn w:val="Absatz-Standardschriftart"/>
    <w:link w:val="Endnote"/>
    <w:rsid w:val="00CB26D4"/>
    <w:rPr>
      <w:rFonts w:ascii="Cambria" w:eastAsia="Arial" w:hAnsi="Cambria" w:cs="Arial"/>
      <w:color w:val="000000"/>
      <w:u w:color="000000"/>
      <w:vertAlign w:val="superscript"/>
      <w14:textOutline w14:w="0" w14:cap="flat" w14:cmpd="sng" w14:algn="ctr">
        <w14:noFill/>
        <w14:prstDash w14:val="solid"/>
        <w14:bevel/>
      </w14:textOutline>
    </w:rPr>
  </w:style>
  <w:style w:type="character" w:customStyle="1" w:styleId="EndnoteRealZchn">
    <w:name w:val="EndnoteReal Zchn"/>
    <w:basedOn w:val="Absatz-Standardschriftart"/>
    <w:link w:val="EndnoteReal"/>
    <w:rsid w:val="00CB26D4"/>
    <w:rPr>
      <w:rFonts w:ascii="Cambria" w:eastAsia="Arial" w:hAnsi="Cambria" w:cs="Arial"/>
      <w:color w:val="000000"/>
      <w:u w:color="000000"/>
      <w:vertAlign w:val="superscrip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92044">
      <w:bodyDiv w:val="1"/>
      <w:marLeft w:val="0"/>
      <w:marRight w:val="0"/>
      <w:marTop w:val="0"/>
      <w:marBottom w:val="0"/>
      <w:divBdr>
        <w:top w:val="none" w:sz="0" w:space="0" w:color="auto"/>
        <w:left w:val="none" w:sz="0" w:space="0" w:color="auto"/>
        <w:bottom w:val="none" w:sz="0" w:space="0" w:color="auto"/>
        <w:right w:val="none" w:sz="0" w:space="0" w:color="auto"/>
      </w:divBdr>
    </w:div>
    <w:div w:id="623195185">
      <w:bodyDiv w:val="1"/>
      <w:marLeft w:val="0"/>
      <w:marRight w:val="0"/>
      <w:marTop w:val="0"/>
      <w:marBottom w:val="0"/>
      <w:divBdr>
        <w:top w:val="none" w:sz="0" w:space="0" w:color="auto"/>
        <w:left w:val="none" w:sz="0" w:space="0" w:color="auto"/>
        <w:bottom w:val="none" w:sz="0" w:space="0" w:color="auto"/>
        <w:right w:val="none" w:sz="0" w:space="0" w:color="auto"/>
      </w:divBdr>
    </w:div>
    <w:div w:id="934509976">
      <w:bodyDiv w:val="1"/>
      <w:marLeft w:val="0"/>
      <w:marRight w:val="0"/>
      <w:marTop w:val="0"/>
      <w:marBottom w:val="0"/>
      <w:divBdr>
        <w:top w:val="none" w:sz="0" w:space="0" w:color="auto"/>
        <w:left w:val="none" w:sz="0" w:space="0" w:color="auto"/>
        <w:bottom w:val="none" w:sz="0" w:space="0" w:color="auto"/>
        <w:right w:val="none" w:sz="0" w:space="0" w:color="auto"/>
      </w:divBdr>
    </w:div>
    <w:div w:id="1222016084">
      <w:bodyDiv w:val="1"/>
      <w:marLeft w:val="0"/>
      <w:marRight w:val="0"/>
      <w:marTop w:val="0"/>
      <w:marBottom w:val="0"/>
      <w:divBdr>
        <w:top w:val="none" w:sz="0" w:space="0" w:color="auto"/>
        <w:left w:val="none" w:sz="0" w:space="0" w:color="auto"/>
        <w:bottom w:val="none" w:sz="0" w:space="0" w:color="auto"/>
        <w:right w:val="none" w:sz="0" w:space="0" w:color="auto"/>
      </w:divBdr>
    </w:div>
    <w:div w:id="1793135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awmf.org/uploads/tx_szleitlinien/092-001l_S3_Strategien-zur-Sicherung-rationaler-Antibiotika-Anwendung-im-Krankenhaus_2019-04.pdf" TargetMode="Externa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6E500-FF79-46CC-962A-FB8669D2D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125</Pages>
  <Words>44004</Words>
  <Characters>277231</Characters>
  <Application>Microsoft Office Word</Application>
  <DocSecurity>0</DocSecurity>
  <Lines>2310</Lines>
  <Paragraphs>641</Paragraphs>
  <ScaleCrop>false</ScaleCrop>
  <HeadingPairs>
    <vt:vector size="2" baseType="variant">
      <vt:variant>
        <vt:lpstr>Titel</vt:lpstr>
      </vt:variant>
      <vt:variant>
        <vt:i4>1</vt:i4>
      </vt:variant>
    </vt:vector>
  </HeadingPairs>
  <TitlesOfParts>
    <vt:vector size="1" baseType="lpstr">
      <vt:lpstr/>
    </vt:vector>
  </TitlesOfParts>
  <Company>Universitätsklinikum Jena</Company>
  <LinksUpToDate>false</LinksUpToDate>
  <CharactersWithSpaces>320594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Wetzker, Wibke</dc:creator>
  <cp:lastModifiedBy>Brunkhorst, Frank</cp:lastModifiedBy>
  <cp:revision>2</cp:revision>
  <cp:lastPrinted>2020-01-29T09:03:00Z</cp:lastPrinted>
  <dcterms:created xsi:type="dcterms:W3CDTF">2020-01-31T09:43:00Z</dcterms:created>
  <dcterms:modified xsi:type="dcterms:W3CDTF">2020-01-31T09:43:00Z</dcterms:modified>
</cp:coreProperties>
</file>